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51</w:t>
      </w:r>
      <w:r>
        <w:rPr>
          <w:rFonts w:hint="eastAsia" w:ascii="仿宋_GB2312" w:hAnsi="黑体" w:eastAsia="仿宋_GB2312" w:cs="黑体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关于河南普菲特电子科技有限公司年产500万套仪表线路板及80万套微机保护装置电子服务外包项目环境影响报告表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告知承诺制审批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河南普菲特电子科技有限公司：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91411000395900678U</w:t>
      </w:r>
      <w:r>
        <w:rPr>
          <w:rFonts w:hint="eastAsia" w:ascii="仿宋" w:hAnsi="仿宋" w:eastAsia="仿宋" w:cs="仿宋"/>
          <w:sz w:val="32"/>
          <w:szCs w:val="32"/>
        </w:rPr>
        <w:t>）关于《河南普菲特电子科技有限公司年产500万套仪表线路板及80万套微机保护装置电子服务外包项目环境影响报告表》的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告知承诺制审批</w:t>
      </w:r>
      <w:r>
        <w:rPr>
          <w:rFonts w:hint="eastAsia" w:ascii="仿宋" w:hAnsi="仿宋" w:eastAsia="仿宋" w:cs="仿宋"/>
          <w:sz w:val="32"/>
          <w:szCs w:val="32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收悉。该项目审批事项在网站公示期满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根据《中华人民共和国环境保护法》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《中华人民共和国环境影响评价法》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《建设项目环境保护管理条例》等法律法规规定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" w:hAnsi="仿宋" w:eastAsia="仿宋" w:cs="仿宋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及环评文件编制单位的承诺，我局原则同意你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应全面落实环评文件提出的各项环境保护措施，各项环境保护设施与主体工程同时设计、同时施工、同时投入使用，确保各项污染物达标排放。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。项目建成后建设单位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抄送：许昌市生态环境综合行政执法支队，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许昌市生态环境局示范区分局，许昌绿达环保科技有限公司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3B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卜同</cp:lastModifiedBy>
  <dcterms:modified xsi:type="dcterms:W3CDTF">2020-11-16T07:47:42Z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