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宋体" w:hAnsi="宋体" w:eastAsia="宋体"/>
          <w:b/>
          <w:sz w:val="30"/>
          <w:szCs w:val="30"/>
        </w:rPr>
      </w:pPr>
      <w:bookmarkStart w:id="0" w:name="_Toc37923280"/>
      <w:r>
        <w:rPr>
          <w:rFonts w:ascii="宋体" w:hAnsi="宋体" w:eastAsia="宋体"/>
          <w:b/>
          <w:bCs/>
          <w:sz w:val="30"/>
          <w:szCs w:val="30"/>
        </w:rPr>
        <w:t>一、建设项目基本情况</w:t>
      </w:r>
      <w:bookmarkEnd w:id="0"/>
    </w:p>
    <w:tbl>
      <w:tblPr>
        <w:tblStyle w:val="1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86"/>
        <w:gridCol w:w="1616"/>
        <w:gridCol w:w="329"/>
        <w:gridCol w:w="1087"/>
        <w:gridCol w:w="254"/>
        <w:gridCol w:w="1164"/>
        <w:gridCol w:w="85"/>
        <w:gridCol w:w="1232"/>
        <w:gridCol w:w="351"/>
        <w:gridCol w:w="12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tcBorders>
              <w:top w:val="single" w:color="000000" w:sz="12" w:space="0"/>
              <w:bottom w:val="single" w:color="000000" w:sz="4" w:space="0"/>
            </w:tcBorders>
            <w:shd w:val="clear" w:color="auto" w:fill="auto"/>
            <w:vAlign w:val="center"/>
          </w:tcPr>
          <w:p>
            <w:pPr>
              <w:jc w:val="center"/>
              <w:rPr>
                <w:rFonts w:eastAsia="宋体"/>
                <w:bCs/>
                <w:snapToGrid w:val="0"/>
                <w:kern w:val="0"/>
                <w:sz w:val="24"/>
                <w:szCs w:val="21"/>
              </w:rPr>
            </w:pPr>
            <w:r>
              <w:rPr>
                <w:rFonts w:eastAsia="宋体"/>
                <w:bCs/>
                <w:snapToGrid w:val="0"/>
                <w:kern w:val="0"/>
                <w:sz w:val="24"/>
                <w:szCs w:val="21"/>
              </w:rPr>
              <w:t>项目名称</w:t>
            </w:r>
          </w:p>
        </w:tc>
        <w:tc>
          <w:tcPr>
            <w:tcW w:w="4304" w:type="pct"/>
            <w:gridSpan w:val="9"/>
            <w:tcBorders>
              <w:top w:val="single" w:color="000000" w:sz="12" w:space="0"/>
              <w:bottom w:val="single" w:color="000000" w:sz="4" w:space="0"/>
            </w:tcBorders>
            <w:shd w:val="clear" w:color="auto" w:fill="auto"/>
            <w:vAlign w:val="center"/>
          </w:tcPr>
          <w:p>
            <w:pPr>
              <w:jc w:val="center"/>
              <w:rPr>
                <w:rFonts w:eastAsia="宋体"/>
                <w:sz w:val="24"/>
              </w:rPr>
            </w:pPr>
            <w:r>
              <w:rPr>
                <w:rFonts w:hint="eastAsia" w:eastAsia="宋体"/>
                <w:sz w:val="24"/>
              </w:rPr>
              <w:t>中广核禹州市苌庄80MW风电场110kV升压站及送出线路工程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tcBorders>
              <w:top w:val="single" w:color="000000" w:sz="4" w:space="0"/>
            </w:tcBorders>
            <w:vAlign w:val="center"/>
          </w:tcPr>
          <w:p>
            <w:pPr>
              <w:jc w:val="center"/>
              <w:rPr>
                <w:rFonts w:eastAsia="宋体"/>
                <w:bCs/>
                <w:snapToGrid w:val="0"/>
                <w:kern w:val="0"/>
                <w:sz w:val="24"/>
                <w:szCs w:val="21"/>
              </w:rPr>
            </w:pPr>
            <w:r>
              <w:rPr>
                <w:rFonts w:eastAsia="宋体"/>
                <w:bCs/>
                <w:snapToGrid w:val="0"/>
                <w:kern w:val="0"/>
                <w:sz w:val="24"/>
                <w:szCs w:val="21"/>
              </w:rPr>
              <w:t>建设单位</w:t>
            </w:r>
          </w:p>
        </w:tc>
        <w:tc>
          <w:tcPr>
            <w:tcW w:w="4304" w:type="pct"/>
            <w:gridSpan w:val="9"/>
            <w:tcBorders>
              <w:top w:val="single" w:color="000000" w:sz="4" w:space="0"/>
            </w:tcBorders>
            <w:vAlign w:val="center"/>
          </w:tcPr>
          <w:p>
            <w:pPr>
              <w:jc w:val="center"/>
              <w:rPr>
                <w:rFonts w:eastAsia="宋体"/>
                <w:sz w:val="24"/>
              </w:rPr>
            </w:pPr>
            <w:r>
              <w:rPr>
                <w:rFonts w:hint="eastAsia" w:eastAsia="宋体"/>
                <w:sz w:val="24"/>
              </w:rPr>
              <w:t>禹州中广核新能源有限公司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eastAsia="宋体"/>
                <w:bCs/>
                <w:snapToGrid w:val="0"/>
                <w:kern w:val="0"/>
                <w:sz w:val="24"/>
                <w:szCs w:val="21"/>
              </w:rPr>
            </w:pPr>
            <w:r>
              <w:rPr>
                <w:rFonts w:eastAsia="宋体"/>
                <w:bCs/>
                <w:snapToGrid w:val="0"/>
                <w:kern w:val="0"/>
                <w:sz w:val="24"/>
                <w:szCs w:val="21"/>
              </w:rPr>
              <w:t>法人代表</w:t>
            </w:r>
          </w:p>
        </w:tc>
        <w:tc>
          <w:tcPr>
            <w:tcW w:w="1928" w:type="pct"/>
            <w:gridSpan w:val="4"/>
            <w:vAlign w:val="center"/>
          </w:tcPr>
          <w:p>
            <w:pPr>
              <w:jc w:val="center"/>
              <w:rPr>
                <w:rFonts w:eastAsia="宋体"/>
                <w:bCs/>
                <w:snapToGrid w:val="0"/>
                <w:kern w:val="0"/>
                <w:sz w:val="24"/>
                <w:szCs w:val="21"/>
              </w:rPr>
            </w:pPr>
            <w:r>
              <w:rPr>
                <w:rFonts w:hint="eastAsia" w:eastAsia="宋体"/>
                <w:bCs/>
                <w:snapToGrid w:val="0"/>
                <w:kern w:val="0"/>
                <w:sz w:val="24"/>
                <w:szCs w:val="21"/>
              </w:rPr>
              <w:t>计文博</w:t>
            </w:r>
          </w:p>
        </w:tc>
        <w:tc>
          <w:tcPr>
            <w:tcW w:w="733" w:type="pct"/>
            <w:gridSpan w:val="2"/>
            <w:vAlign w:val="center"/>
          </w:tcPr>
          <w:p>
            <w:pPr>
              <w:jc w:val="center"/>
              <w:rPr>
                <w:rFonts w:eastAsia="宋体"/>
                <w:bCs/>
                <w:snapToGrid w:val="0"/>
                <w:color w:val="000000"/>
                <w:kern w:val="0"/>
                <w:sz w:val="24"/>
                <w:szCs w:val="21"/>
              </w:rPr>
            </w:pPr>
            <w:r>
              <w:rPr>
                <w:rFonts w:eastAsia="宋体"/>
                <w:bCs/>
                <w:snapToGrid w:val="0"/>
                <w:color w:val="000000"/>
                <w:kern w:val="0"/>
                <w:sz w:val="24"/>
                <w:szCs w:val="21"/>
              </w:rPr>
              <w:t>联系人</w:t>
            </w:r>
          </w:p>
        </w:tc>
        <w:tc>
          <w:tcPr>
            <w:tcW w:w="1643" w:type="pct"/>
            <w:gridSpan w:val="3"/>
            <w:vAlign w:val="center"/>
          </w:tcPr>
          <w:p>
            <w:pPr>
              <w:jc w:val="center"/>
              <w:rPr>
                <w:rFonts w:eastAsia="宋体"/>
                <w:bCs/>
                <w:snapToGrid w:val="0"/>
                <w:color w:val="000000"/>
                <w:kern w:val="0"/>
                <w:sz w:val="24"/>
                <w:szCs w:val="21"/>
              </w:rPr>
            </w:pPr>
            <w:r>
              <w:rPr>
                <w:rFonts w:hint="eastAsia" w:ascii="宋体" w:hAnsi="宋体" w:eastAsia="宋体"/>
                <w:sz w:val="24"/>
              </w:rPr>
              <w:t>朱晓峰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eastAsia="宋体"/>
                <w:bCs/>
                <w:snapToGrid w:val="0"/>
                <w:kern w:val="0"/>
                <w:sz w:val="24"/>
                <w:szCs w:val="21"/>
              </w:rPr>
            </w:pPr>
            <w:r>
              <w:rPr>
                <w:rFonts w:eastAsia="宋体"/>
                <w:bCs/>
                <w:snapToGrid w:val="0"/>
                <w:kern w:val="0"/>
                <w:sz w:val="24"/>
                <w:szCs w:val="21"/>
              </w:rPr>
              <w:t>通讯地址</w:t>
            </w:r>
          </w:p>
        </w:tc>
        <w:tc>
          <w:tcPr>
            <w:tcW w:w="4304" w:type="pct"/>
            <w:gridSpan w:val="9"/>
            <w:vAlign w:val="center"/>
          </w:tcPr>
          <w:p>
            <w:pPr>
              <w:jc w:val="center"/>
              <w:rPr>
                <w:rFonts w:eastAsia="宋体"/>
                <w:bCs/>
                <w:snapToGrid w:val="0"/>
                <w:kern w:val="0"/>
                <w:sz w:val="24"/>
                <w:szCs w:val="21"/>
              </w:rPr>
            </w:pPr>
            <w:r>
              <w:rPr>
                <w:rFonts w:hint="eastAsia" w:ascii="宋体" w:hAnsi="宋体" w:eastAsia="宋体"/>
                <w:sz w:val="24"/>
              </w:rPr>
              <w:t>禹州市行政北路创业大厦三楼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eastAsia="宋体"/>
                <w:bCs/>
                <w:snapToGrid w:val="0"/>
                <w:color w:val="000000"/>
                <w:kern w:val="0"/>
                <w:sz w:val="24"/>
                <w:szCs w:val="21"/>
              </w:rPr>
            </w:pPr>
            <w:r>
              <w:rPr>
                <w:rFonts w:eastAsia="宋体"/>
                <w:bCs/>
                <w:snapToGrid w:val="0"/>
                <w:color w:val="000000"/>
                <w:kern w:val="0"/>
                <w:sz w:val="24"/>
                <w:szCs w:val="21"/>
              </w:rPr>
              <w:t>联系电话</w:t>
            </w:r>
          </w:p>
        </w:tc>
        <w:tc>
          <w:tcPr>
            <w:tcW w:w="1141" w:type="pct"/>
            <w:gridSpan w:val="2"/>
            <w:vAlign w:val="center"/>
          </w:tcPr>
          <w:p>
            <w:pPr>
              <w:widowControl/>
              <w:spacing w:line="520" w:lineRule="exact"/>
              <w:jc w:val="center"/>
              <w:rPr>
                <w:rFonts w:hint="default" w:eastAsia="宋体" w:cs="宋体"/>
                <w:bCs/>
                <w:color w:val="000000"/>
                <w:kern w:val="0"/>
                <w:sz w:val="24"/>
                <w:lang w:val="en-US" w:eastAsia="zh-CN"/>
              </w:rPr>
            </w:pPr>
            <w:r>
              <w:rPr>
                <w:rFonts w:hint="eastAsia" w:eastAsia="宋体"/>
                <w:sz w:val="24"/>
                <w:lang w:val="en-US" w:eastAsia="zh-CN"/>
              </w:rPr>
              <w:t>0371-</w:t>
            </w:r>
            <w:bookmarkStart w:id="72" w:name="_GoBack"/>
            <w:bookmarkEnd w:id="72"/>
            <w:r>
              <w:rPr>
                <w:rFonts w:hint="eastAsia" w:eastAsia="宋体"/>
                <w:sz w:val="24"/>
                <w:lang w:val="en-US" w:eastAsia="zh-CN"/>
              </w:rPr>
              <w:t>56817821</w:t>
            </w:r>
          </w:p>
        </w:tc>
        <w:tc>
          <w:tcPr>
            <w:tcW w:w="787" w:type="pct"/>
            <w:gridSpan w:val="2"/>
            <w:vAlign w:val="center"/>
          </w:tcPr>
          <w:p>
            <w:pPr>
              <w:jc w:val="center"/>
              <w:rPr>
                <w:rFonts w:eastAsia="宋体"/>
                <w:bCs/>
                <w:snapToGrid w:val="0"/>
                <w:kern w:val="0"/>
                <w:sz w:val="24"/>
                <w:szCs w:val="21"/>
              </w:rPr>
            </w:pPr>
            <w:r>
              <w:rPr>
                <w:rFonts w:eastAsia="宋体"/>
                <w:bCs/>
                <w:snapToGrid w:val="0"/>
                <w:kern w:val="0"/>
                <w:sz w:val="24"/>
                <w:szCs w:val="21"/>
              </w:rPr>
              <w:t>传 真</w:t>
            </w:r>
          </w:p>
        </w:tc>
        <w:tc>
          <w:tcPr>
            <w:tcW w:w="733" w:type="pct"/>
            <w:gridSpan w:val="2"/>
            <w:vAlign w:val="center"/>
          </w:tcPr>
          <w:p>
            <w:pPr>
              <w:jc w:val="center"/>
              <w:rPr>
                <w:rFonts w:eastAsia="宋体"/>
                <w:bCs/>
                <w:snapToGrid w:val="0"/>
                <w:kern w:val="0"/>
                <w:sz w:val="24"/>
                <w:szCs w:val="21"/>
              </w:rPr>
            </w:pPr>
            <w:r>
              <w:rPr>
                <w:rFonts w:hint="eastAsia" w:eastAsia="宋体"/>
                <w:bCs/>
                <w:snapToGrid w:val="0"/>
                <w:kern w:val="0"/>
                <w:sz w:val="24"/>
                <w:szCs w:val="21"/>
              </w:rPr>
              <w:t>/</w:t>
            </w:r>
          </w:p>
        </w:tc>
        <w:tc>
          <w:tcPr>
            <w:tcW w:w="723" w:type="pct"/>
            <w:vAlign w:val="center"/>
          </w:tcPr>
          <w:p>
            <w:pPr>
              <w:jc w:val="center"/>
              <w:rPr>
                <w:rFonts w:eastAsia="宋体"/>
                <w:bCs/>
                <w:snapToGrid w:val="0"/>
                <w:kern w:val="0"/>
                <w:sz w:val="24"/>
                <w:szCs w:val="21"/>
              </w:rPr>
            </w:pPr>
            <w:r>
              <w:rPr>
                <w:rFonts w:eastAsia="宋体"/>
                <w:bCs/>
                <w:snapToGrid w:val="0"/>
                <w:kern w:val="0"/>
                <w:sz w:val="24"/>
                <w:szCs w:val="21"/>
              </w:rPr>
              <w:t>邮政编码</w:t>
            </w:r>
          </w:p>
        </w:tc>
        <w:tc>
          <w:tcPr>
            <w:tcW w:w="920" w:type="pct"/>
            <w:gridSpan w:val="2"/>
            <w:vAlign w:val="center"/>
          </w:tcPr>
          <w:p>
            <w:pPr>
              <w:jc w:val="center"/>
              <w:rPr>
                <w:rFonts w:eastAsia="宋体"/>
                <w:bCs/>
                <w:snapToGrid w:val="0"/>
                <w:kern w:val="0"/>
                <w:sz w:val="24"/>
                <w:szCs w:val="21"/>
              </w:rPr>
            </w:pPr>
            <w:r>
              <w:rPr>
                <w:rFonts w:hint="eastAsia"/>
                <w:sz w:val="24"/>
              </w:rPr>
              <w:t>461670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eastAsia="宋体"/>
                <w:bCs/>
                <w:snapToGrid w:val="0"/>
                <w:kern w:val="0"/>
                <w:sz w:val="24"/>
                <w:szCs w:val="21"/>
              </w:rPr>
            </w:pPr>
            <w:r>
              <w:rPr>
                <w:rFonts w:eastAsia="宋体"/>
                <w:bCs/>
                <w:snapToGrid w:val="0"/>
                <w:kern w:val="0"/>
                <w:sz w:val="24"/>
                <w:szCs w:val="21"/>
              </w:rPr>
              <w:t>建设地点</w:t>
            </w:r>
          </w:p>
        </w:tc>
        <w:tc>
          <w:tcPr>
            <w:tcW w:w="4304" w:type="pct"/>
            <w:gridSpan w:val="9"/>
            <w:vAlign w:val="center"/>
          </w:tcPr>
          <w:p>
            <w:pPr>
              <w:jc w:val="center"/>
              <w:rPr>
                <w:rFonts w:eastAsia="宋体"/>
                <w:bCs/>
                <w:snapToGrid w:val="0"/>
                <w:kern w:val="0"/>
                <w:sz w:val="24"/>
                <w:szCs w:val="21"/>
              </w:rPr>
            </w:pPr>
            <w:r>
              <w:rPr>
                <w:rFonts w:hint="eastAsia" w:ascii="宋体" w:hAnsi="宋体" w:eastAsia="宋体"/>
                <w:sz w:val="24"/>
              </w:rPr>
              <w:t>禹州市苌庄乡、浅井镇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hAnsi="宋体" w:eastAsia="宋体"/>
                <w:bCs/>
                <w:snapToGrid w:val="0"/>
                <w:kern w:val="52"/>
                <w:sz w:val="24"/>
                <w:szCs w:val="21"/>
              </w:rPr>
            </w:pPr>
            <w:r>
              <w:rPr>
                <w:rFonts w:hAnsi="宋体" w:eastAsia="宋体"/>
                <w:bCs/>
                <w:snapToGrid w:val="0"/>
                <w:kern w:val="52"/>
                <w:sz w:val="24"/>
                <w:szCs w:val="21"/>
              </w:rPr>
              <w:t>立项</w:t>
            </w:r>
          </w:p>
          <w:p>
            <w:pPr>
              <w:jc w:val="center"/>
              <w:rPr>
                <w:rFonts w:hAnsi="宋体" w:eastAsia="宋体"/>
                <w:bCs/>
                <w:snapToGrid w:val="0"/>
                <w:kern w:val="52"/>
                <w:sz w:val="24"/>
                <w:szCs w:val="21"/>
              </w:rPr>
            </w:pPr>
            <w:r>
              <w:rPr>
                <w:rFonts w:hAnsi="宋体" w:eastAsia="宋体"/>
                <w:bCs/>
                <w:snapToGrid w:val="0"/>
                <w:kern w:val="52"/>
                <w:sz w:val="24"/>
                <w:szCs w:val="21"/>
              </w:rPr>
              <w:t>审批部门</w:t>
            </w:r>
          </w:p>
        </w:tc>
        <w:tc>
          <w:tcPr>
            <w:tcW w:w="1779" w:type="pct"/>
            <w:gridSpan w:val="3"/>
            <w:vAlign w:val="center"/>
          </w:tcPr>
          <w:p>
            <w:pPr>
              <w:jc w:val="center"/>
              <w:rPr>
                <w:rFonts w:hAnsi="宋体" w:eastAsia="宋体"/>
                <w:bCs/>
                <w:snapToGrid w:val="0"/>
                <w:kern w:val="52"/>
                <w:sz w:val="24"/>
                <w:szCs w:val="21"/>
              </w:rPr>
            </w:pPr>
            <w:r>
              <w:rPr>
                <w:rFonts w:hint="eastAsia" w:hAnsi="宋体" w:eastAsia="宋体"/>
                <w:bCs/>
                <w:snapToGrid w:val="0"/>
                <w:kern w:val="52"/>
                <w:sz w:val="24"/>
                <w:szCs w:val="21"/>
              </w:rPr>
              <w:t>永城市发展和改革委员会</w:t>
            </w:r>
          </w:p>
        </w:tc>
        <w:tc>
          <w:tcPr>
            <w:tcW w:w="832" w:type="pct"/>
            <w:gridSpan w:val="2"/>
            <w:vAlign w:val="center"/>
          </w:tcPr>
          <w:p>
            <w:pPr>
              <w:jc w:val="center"/>
              <w:rPr>
                <w:rFonts w:hAnsi="宋体" w:eastAsia="宋体"/>
                <w:bCs/>
                <w:snapToGrid w:val="0"/>
                <w:kern w:val="52"/>
                <w:sz w:val="24"/>
                <w:szCs w:val="21"/>
              </w:rPr>
            </w:pPr>
            <w:r>
              <w:rPr>
                <w:rFonts w:hAnsi="宋体" w:eastAsia="宋体"/>
                <w:bCs/>
                <w:snapToGrid w:val="0"/>
                <w:kern w:val="52"/>
                <w:sz w:val="24"/>
                <w:szCs w:val="21"/>
              </w:rPr>
              <w:t>批准文号</w:t>
            </w:r>
          </w:p>
        </w:tc>
        <w:tc>
          <w:tcPr>
            <w:tcW w:w="1693" w:type="pct"/>
            <w:gridSpan w:val="4"/>
            <w:vAlign w:val="center"/>
          </w:tcPr>
          <w:p>
            <w:pPr>
              <w:jc w:val="center"/>
              <w:rPr>
                <w:rFonts w:eastAsia="宋体"/>
                <w:bCs/>
                <w:snapToGrid w:val="0"/>
                <w:kern w:val="52"/>
                <w:sz w:val="24"/>
                <w:szCs w:val="21"/>
              </w:rPr>
            </w:pPr>
            <w:r>
              <w:rPr>
                <w:rFonts w:hAnsi="宋体" w:eastAsia="宋体"/>
                <w:sz w:val="24"/>
              </w:rPr>
              <w:t>许发改能源审</w:t>
            </w:r>
            <w:r>
              <w:rPr>
                <w:rFonts w:eastAsia="宋体"/>
                <w:sz w:val="24"/>
              </w:rPr>
              <w:t>[2017]92</w:t>
            </w:r>
            <w:r>
              <w:rPr>
                <w:rFonts w:hAnsi="宋体" w:eastAsia="宋体"/>
                <w:sz w:val="24"/>
              </w:rPr>
              <w:t>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hAnsi="宋体" w:eastAsia="宋体"/>
                <w:bCs/>
                <w:snapToGrid w:val="0"/>
                <w:kern w:val="52"/>
                <w:sz w:val="24"/>
                <w:szCs w:val="21"/>
              </w:rPr>
            </w:pPr>
            <w:r>
              <w:rPr>
                <w:rFonts w:hAnsi="宋体" w:eastAsia="宋体"/>
                <w:bCs/>
                <w:snapToGrid w:val="0"/>
                <w:kern w:val="52"/>
                <w:sz w:val="24"/>
                <w:szCs w:val="21"/>
              </w:rPr>
              <w:t>建设性质</w:t>
            </w:r>
          </w:p>
        </w:tc>
        <w:tc>
          <w:tcPr>
            <w:tcW w:w="1779" w:type="pct"/>
            <w:gridSpan w:val="3"/>
            <w:vAlign w:val="center"/>
          </w:tcPr>
          <w:p>
            <w:pPr>
              <w:jc w:val="center"/>
              <w:rPr>
                <w:rFonts w:hAnsi="宋体" w:eastAsia="宋体"/>
                <w:bCs/>
                <w:snapToGrid w:val="0"/>
                <w:kern w:val="52"/>
                <w:sz w:val="24"/>
                <w:szCs w:val="21"/>
              </w:rPr>
            </w:pPr>
            <w:r>
              <w:rPr>
                <w:rFonts w:eastAsia="宋体"/>
                <w:sz w:val="24"/>
              </w:rPr>
              <w:t>新建</w:t>
            </w:r>
            <w:r>
              <w:rPr>
                <w:rFonts w:eastAsia="宋体"/>
                <w:sz w:val="24"/>
              </w:rPr>
              <w:fldChar w:fldCharType="begin"/>
            </w:r>
            <w:r>
              <w:rPr>
                <w:rFonts w:eastAsia="宋体"/>
                <w:sz w:val="24"/>
              </w:rPr>
              <w:instrText xml:space="preserve"> eq \o\ac(□,√)</w:instrText>
            </w:r>
            <w:r>
              <w:rPr>
                <w:rFonts w:eastAsia="宋体"/>
                <w:sz w:val="24"/>
              </w:rPr>
              <w:fldChar w:fldCharType="end"/>
            </w:r>
            <w:r>
              <w:rPr>
                <w:rFonts w:eastAsia="宋体"/>
                <w:sz w:val="24"/>
              </w:rPr>
              <w:t xml:space="preserve">  </w:t>
            </w:r>
            <w:r>
              <w:rPr>
                <w:rFonts w:hint="eastAsia" w:eastAsia="宋体"/>
                <w:sz w:val="24"/>
              </w:rPr>
              <w:t xml:space="preserve"> </w:t>
            </w:r>
            <w:r>
              <w:rPr>
                <w:rFonts w:eastAsia="宋体"/>
                <w:sz w:val="24"/>
              </w:rPr>
              <w:t xml:space="preserve">  改建□    技改□</w:t>
            </w:r>
          </w:p>
        </w:tc>
        <w:tc>
          <w:tcPr>
            <w:tcW w:w="832" w:type="pct"/>
            <w:gridSpan w:val="2"/>
            <w:vAlign w:val="center"/>
          </w:tcPr>
          <w:p>
            <w:pPr>
              <w:jc w:val="center"/>
              <w:rPr>
                <w:rFonts w:hAnsi="宋体" w:eastAsia="宋体"/>
                <w:bCs/>
                <w:snapToGrid w:val="0"/>
                <w:kern w:val="52"/>
                <w:sz w:val="24"/>
                <w:szCs w:val="21"/>
              </w:rPr>
            </w:pPr>
            <w:r>
              <w:rPr>
                <w:rFonts w:hAnsi="宋体" w:eastAsia="宋体"/>
                <w:bCs/>
                <w:snapToGrid w:val="0"/>
                <w:kern w:val="52"/>
                <w:sz w:val="24"/>
                <w:szCs w:val="21"/>
              </w:rPr>
              <w:t>行业类别</w:t>
            </w:r>
          </w:p>
          <w:p>
            <w:pPr>
              <w:jc w:val="center"/>
              <w:rPr>
                <w:rFonts w:hAnsi="宋体" w:eastAsia="宋体"/>
                <w:bCs/>
                <w:snapToGrid w:val="0"/>
                <w:kern w:val="52"/>
                <w:sz w:val="24"/>
                <w:szCs w:val="21"/>
              </w:rPr>
            </w:pPr>
            <w:r>
              <w:rPr>
                <w:rFonts w:hAnsi="宋体" w:eastAsia="宋体"/>
                <w:bCs/>
                <w:snapToGrid w:val="0"/>
                <w:kern w:val="52"/>
                <w:sz w:val="24"/>
                <w:szCs w:val="21"/>
              </w:rPr>
              <w:t>及代码</w:t>
            </w:r>
          </w:p>
        </w:tc>
        <w:tc>
          <w:tcPr>
            <w:tcW w:w="1693" w:type="pct"/>
            <w:gridSpan w:val="4"/>
            <w:vAlign w:val="center"/>
          </w:tcPr>
          <w:p>
            <w:pPr>
              <w:jc w:val="center"/>
              <w:rPr>
                <w:rFonts w:hAnsi="宋体" w:eastAsia="宋体"/>
                <w:bCs/>
                <w:snapToGrid w:val="0"/>
                <w:kern w:val="52"/>
                <w:sz w:val="24"/>
                <w:szCs w:val="21"/>
              </w:rPr>
            </w:pPr>
            <w:r>
              <w:rPr>
                <w:rFonts w:hint="eastAsia" w:hAnsi="宋体" w:eastAsia="宋体"/>
                <w:bCs/>
                <w:snapToGrid w:val="0"/>
                <w:kern w:val="52"/>
                <w:sz w:val="24"/>
                <w:szCs w:val="21"/>
              </w:rPr>
              <w:t>D4420电力供应业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hAnsi="宋体" w:eastAsia="宋体"/>
                <w:bCs/>
                <w:snapToGrid w:val="0"/>
                <w:color w:val="000000" w:themeColor="text1"/>
                <w:kern w:val="52"/>
                <w:sz w:val="24"/>
                <w:szCs w:val="21"/>
              </w:rPr>
            </w:pPr>
            <w:r>
              <w:rPr>
                <w:rFonts w:hAnsi="宋体" w:eastAsia="宋体"/>
                <w:bCs/>
                <w:snapToGrid w:val="0"/>
                <w:color w:val="000000" w:themeColor="text1"/>
                <w:kern w:val="52"/>
                <w:sz w:val="24"/>
                <w:szCs w:val="21"/>
              </w:rPr>
              <w:t>占地面积</w:t>
            </w:r>
          </w:p>
        </w:tc>
        <w:tc>
          <w:tcPr>
            <w:tcW w:w="1779" w:type="pct"/>
            <w:gridSpan w:val="3"/>
            <w:vAlign w:val="center"/>
          </w:tcPr>
          <w:p>
            <w:pPr>
              <w:jc w:val="center"/>
              <w:rPr>
                <w:rFonts w:hAnsi="宋体" w:eastAsia="宋体"/>
                <w:bCs/>
                <w:snapToGrid w:val="0"/>
                <w:color w:val="000000" w:themeColor="text1"/>
                <w:kern w:val="52"/>
                <w:sz w:val="24"/>
                <w:szCs w:val="21"/>
                <w:vertAlign w:val="superscript"/>
              </w:rPr>
            </w:pPr>
            <w:r>
              <w:rPr>
                <w:rFonts w:hint="eastAsia" w:hAnsi="宋体" w:eastAsia="宋体"/>
                <w:bCs/>
                <w:snapToGrid w:val="0"/>
                <w:color w:val="000000" w:themeColor="text1"/>
                <w:kern w:val="52"/>
                <w:sz w:val="24"/>
                <w:szCs w:val="21"/>
              </w:rPr>
              <w:t>6580m</w:t>
            </w:r>
            <w:r>
              <w:rPr>
                <w:rFonts w:hint="eastAsia" w:hAnsi="宋体" w:eastAsia="宋体"/>
                <w:bCs/>
                <w:snapToGrid w:val="0"/>
                <w:color w:val="000000" w:themeColor="text1"/>
                <w:kern w:val="52"/>
                <w:sz w:val="24"/>
                <w:szCs w:val="21"/>
                <w:vertAlign w:val="superscript"/>
              </w:rPr>
              <w:t>2</w:t>
            </w:r>
            <w:r>
              <w:rPr>
                <w:rFonts w:hint="eastAsia" w:hAnsi="宋体" w:eastAsia="宋体"/>
                <w:bCs/>
                <w:snapToGrid w:val="0"/>
                <w:color w:val="000000" w:themeColor="text1"/>
                <w:kern w:val="52"/>
                <w:sz w:val="24"/>
                <w:szCs w:val="21"/>
              </w:rPr>
              <w:t>（升压站</w:t>
            </w:r>
            <w:r>
              <w:rPr>
                <w:rFonts w:hAnsi="宋体" w:eastAsia="宋体"/>
                <w:bCs/>
                <w:snapToGrid w:val="0"/>
                <w:color w:val="000000" w:themeColor="text1"/>
                <w:kern w:val="52"/>
                <w:sz w:val="24"/>
                <w:szCs w:val="21"/>
              </w:rPr>
              <w:t>4030 m</w:t>
            </w:r>
            <w:r>
              <w:rPr>
                <w:rFonts w:hAnsi="宋体" w:eastAsia="宋体"/>
                <w:bCs/>
                <w:snapToGrid w:val="0"/>
                <w:color w:val="000000" w:themeColor="text1"/>
                <w:kern w:val="52"/>
                <w:sz w:val="24"/>
                <w:szCs w:val="21"/>
                <w:vertAlign w:val="superscript"/>
              </w:rPr>
              <w:t>2</w:t>
            </w:r>
            <w:r>
              <w:rPr>
                <w:rFonts w:hAnsi="宋体" w:eastAsia="宋体"/>
                <w:bCs/>
                <w:snapToGrid w:val="0"/>
                <w:color w:val="000000" w:themeColor="text1"/>
                <w:kern w:val="52"/>
                <w:sz w:val="24"/>
                <w:szCs w:val="21"/>
              </w:rPr>
              <w:t>+</w:t>
            </w:r>
            <w:r>
              <w:rPr>
                <w:rFonts w:hint="eastAsia" w:hAnsi="宋体" w:eastAsia="宋体"/>
                <w:bCs/>
                <w:snapToGrid w:val="0"/>
                <w:color w:val="000000" w:themeColor="text1"/>
                <w:kern w:val="52"/>
                <w:sz w:val="24"/>
                <w:szCs w:val="21"/>
              </w:rPr>
              <w:t>线路</w:t>
            </w:r>
            <w:r>
              <w:rPr>
                <w:rFonts w:hAnsi="宋体" w:eastAsia="宋体"/>
                <w:bCs/>
                <w:snapToGrid w:val="0"/>
                <w:color w:val="000000" w:themeColor="text1"/>
                <w:kern w:val="52"/>
                <w:sz w:val="24"/>
                <w:szCs w:val="21"/>
              </w:rPr>
              <w:t>2550 m</w:t>
            </w:r>
            <w:r>
              <w:rPr>
                <w:rFonts w:hAnsi="宋体" w:eastAsia="宋体"/>
                <w:bCs/>
                <w:snapToGrid w:val="0"/>
                <w:color w:val="000000" w:themeColor="text1"/>
                <w:kern w:val="52"/>
                <w:sz w:val="24"/>
                <w:szCs w:val="21"/>
                <w:vertAlign w:val="superscript"/>
              </w:rPr>
              <w:t>2</w:t>
            </w:r>
            <w:r>
              <w:rPr>
                <w:rFonts w:hint="eastAsia" w:hAnsi="宋体" w:eastAsia="宋体"/>
                <w:bCs/>
                <w:snapToGrid w:val="0"/>
                <w:color w:val="000000" w:themeColor="text1"/>
                <w:kern w:val="52"/>
                <w:sz w:val="24"/>
                <w:szCs w:val="21"/>
              </w:rPr>
              <w:t>）</w:t>
            </w:r>
          </w:p>
        </w:tc>
        <w:tc>
          <w:tcPr>
            <w:tcW w:w="832" w:type="pct"/>
            <w:gridSpan w:val="2"/>
            <w:vAlign w:val="center"/>
          </w:tcPr>
          <w:p>
            <w:pPr>
              <w:jc w:val="center"/>
              <w:rPr>
                <w:rFonts w:hAnsi="宋体" w:eastAsia="宋体"/>
                <w:bCs/>
                <w:snapToGrid w:val="0"/>
                <w:kern w:val="52"/>
                <w:sz w:val="24"/>
                <w:szCs w:val="21"/>
              </w:rPr>
            </w:pPr>
            <w:r>
              <w:rPr>
                <w:rFonts w:hAnsi="宋体" w:eastAsia="宋体"/>
                <w:bCs/>
                <w:snapToGrid w:val="0"/>
                <w:kern w:val="52"/>
                <w:sz w:val="24"/>
                <w:szCs w:val="21"/>
              </w:rPr>
              <w:t>绿化面积</w:t>
            </w:r>
          </w:p>
          <w:p>
            <w:pPr>
              <w:jc w:val="center"/>
              <w:rPr>
                <w:rFonts w:hAnsi="宋体" w:eastAsia="宋体"/>
                <w:bCs/>
                <w:snapToGrid w:val="0"/>
                <w:kern w:val="52"/>
                <w:sz w:val="24"/>
                <w:szCs w:val="21"/>
              </w:rPr>
            </w:pPr>
            <w:r>
              <w:rPr>
                <w:rFonts w:hint="eastAsia" w:hAnsi="宋体" w:eastAsia="宋体"/>
                <w:bCs/>
                <w:snapToGrid w:val="0"/>
                <w:kern w:val="52"/>
                <w:sz w:val="24"/>
                <w:szCs w:val="21"/>
              </w:rPr>
              <w:t>（</w:t>
            </w:r>
            <w:r>
              <w:rPr>
                <w:rFonts w:hAnsi="宋体" w:eastAsia="宋体"/>
                <w:bCs/>
                <w:snapToGrid w:val="0"/>
                <w:kern w:val="52"/>
                <w:sz w:val="24"/>
                <w:szCs w:val="21"/>
              </w:rPr>
              <w:t>平方米</w:t>
            </w:r>
            <w:r>
              <w:rPr>
                <w:rFonts w:hint="eastAsia" w:hAnsi="宋体" w:eastAsia="宋体"/>
                <w:bCs/>
                <w:snapToGrid w:val="0"/>
                <w:kern w:val="52"/>
                <w:sz w:val="24"/>
                <w:szCs w:val="21"/>
              </w:rPr>
              <w:t>）</w:t>
            </w:r>
          </w:p>
        </w:tc>
        <w:tc>
          <w:tcPr>
            <w:tcW w:w="1693" w:type="pct"/>
            <w:gridSpan w:val="4"/>
            <w:vAlign w:val="center"/>
          </w:tcPr>
          <w:p>
            <w:pPr>
              <w:jc w:val="center"/>
              <w:rPr>
                <w:rFonts w:hAnsi="宋体" w:eastAsia="宋体"/>
                <w:bCs/>
                <w:snapToGrid w:val="0"/>
                <w:kern w:val="52"/>
                <w:sz w:val="24"/>
                <w:szCs w:val="21"/>
              </w:rPr>
            </w:pPr>
            <w:r>
              <w:rPr>
                <w:rFonts w:hint="eastAsia" w:eastAsia="宋体"/>
                <w:color w:val="000000"/>
                <w:sz w:val="24"/>
              </w:rPr>
              <w:t>374.23</w:t>
            </w:r>
            <w:r>
              <w:rPr>
                <w:rFonts w:hint="eastAsia" w:hAnsi="宋体" w:eastAsia="宋体"/>
                <w:bCs/>
                <w:snapToGrid w:val="0"/>
                <w:kern w:val="52"/>
                <w:sz w:val="24"/>
                <w:szCs w:val="21"/>
              </w:rPr>
              <w:t>m</w:t>
            </w:r>
            <w:r>
              <w:rPr>
                <w:rFonts w:hint="eastAsia" w:hAnsi="宋体" w:eastAsia="宋体"/>
                <w:bCs/>
                <w:snapToGrid w:val="0"/>
                <w:kern w:val="52"/>
                <w:sz w:val="24"/>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hAnsi="宋体" w:eastAsia="宋体"/>
                <w:bCs/>
                <w:snapToGrid w:val="0"/>
                <w:kern w:val="52"/>
                <w:sz w:val="24"/>
                <w:szCs w:val="21"/>
              </w:rPr>
            </w:pPr>
            <w:r>
              <w:rPr>
                <w:rFonts w:hAnsi="宋体" w:eastAsia="宋体"/>
                <w:bCs/>
                <w:snapToGrid w:val="0"/>
                <w:kern w:val="52"/>
                <w:sz w:val="24"/>
                <w:szCs w:val="21"/>
              </w:rPr>
              <w:t>总投资</w:t>
            </w:r>
          </w:p>
          <w:p>
            <w:pPr>
              <w:jc w:val="center"/>
              <w:rPr>
                <w:rFonts w:hAnsi="宋体" w:eastAsia="宋体"/>
                <w:bCs/>
                <w:snapToGrid w:val="0"/>
                <w:kern w:val="52"/>
                <w:sz w:val="24"/>
                <w:szCs w:val="21"/>
              </w:rPr>
            </w:pPr>
            <w:r>
              <w:rPr>
                <w:rFonts w:hint="eastAsia" w:hAnsi="宋体" w:eastAsia="宋体"/>
                <w:bCs/>
                <w:snapToGrid w:val="0"/>
                <w:kern w:val="52"/>
                <w:sz w:val="24"/>
                <w:szCs w:val="21"/>
              </w:rPr>
              <w:t>（</w:t>
            </w:r>
            <w:r>
              <w:rPr>
                <w:rFonts w:hAnsi="宋体" w:eastAsia="宋体"/>
                <w:bCs/>
                <w:snapToGrid w:val="0"/>
                <w:kern w:val="52"/>
                <w:sz w:val="24"/>
                <w:szCs w:val="21"/>
              </w:rPr>
              <w:t>万元</w:t>
            </w:r>
            <w:r>
              <w:rPr>
                <w:rFonts w:hint="eastAsia" w:hAnsi="宋体" w:eastAsia="宋体"/>
                <w:bCs/>
                <w:snapToGrid w:val="0"/>
                <w:kern w:val="52"/>
                <w:sz w:val="24"/>
                <w:szCs w:val="21"/>
              </w:rPr>
              <w:t>）</w:t>
            </w:r>
          </w:p>
        </w:tc>
        <w:tc>
          <w:tcPr>
            <w:tcW w:w="948" w:type="pct"/>
            <w:vAlign w:val="center"/>
          </w:tcPr>
          <w:p>
            <w:pPr>
              <w:jc w:val="center"/>
              <w:rPr>
                <w:rFonts w:hAnsi="宋体" w:eastAsia="宋体"/>
                <w:bCs/>
                <w:snapToGrid w:val="0"/>
                <w:kern w:val="52"/>
                <w:sz w:val="24"/>
                <w:szCs w:val="21"/>
              </w:rPr>
            </w:pPr>
            <w:r>
              <w:rPr>
                <w:rFonts w:hint="eastAsia" w:hAnsi="宋体" w:eastAsia="宋体"/>
                <w:bCs/>
                <w:snapToGrid w:val="0"/>
                <w:kern w:val="52"/>
                <w:sz w:val="24"/>
                <w:szCs w:val="21"/>
              </w:rPr>
              <w:t>2250.73</w:t>
            </w:r>
            <w:r>
              <w:rPr>
                <w:rFonts w:hAnsi="宋体" w:eastAsia="宋体"/>
                <w:bCs/>
                <w:snapToGrid w:val="0"/>
                <w:kern w:val="52"/>
                <w:sz w:val="24"/>
                <w:szCs w:val="21"/>
              </w:rPr>
              <w:t xml:space="preserve"> </w:t>
            </w:r>
          </w:p>
        </w:tc>
        <w:tc>
          <w:tcPr>
            <w:tcW w:w="831" w:type="pct"/>
            <w:gridSpan w:val="2"/>
            <w:vAlign w:val="center"/>
          </w:tcPr>
          <w:p>
            <w:pPr>
              <w:jc w:val="center"/>
              <w:rPr>
                <w:rFonts w:hAnsi="宋体" w:eastAsia="宋体"/>
                <w:bCs/>
                <w:snapToGrid w:val="0"/>
                <w:kern w:val="52"/>
                <w:sz w:val="24"/>
                <w:szCs w:val="21"/>
              </w:rPr>
            </w:pPr>
            <w:r>
              <w:rPr>
                <w:rFonts w:hAnsi="宋体" w:eastAsia="宋体"/>
                <w:bCs/>
                <w:snapToGrid w:val="0"/>
                <w:kern w:val="52"/>
                <w:sz w:val="24"/>
                <w:szCs w:val="21"/>
              </w:rPr>
              <w:t>其中：环保投资</w:t>
            </w:r>
            <w:r>
              <w:rPr>
                <w:rFonts w:hint="eastAsia" w:hAnsi="宋体" w:eastAsia="宋体"/>
                <w:bCs/>
                <w:snapToGrid w:val="0"/>
                <w:kern w:val="52"/>
                <w:sz w:val="24"/>
                <w:szCs w:val="21"/>
              </w:rPr>
              <w:t>（</w:t>
            </w:r>
            <w:r>
              <w:rPr>
                <w:rFonts w:hAnsi="宋体" w:eastAsia="宋体"/>
                <w:bCs/>
                <w:snapToGrid w:val="0"/>
                <w:kern w:val="52"/>
                <w:sz w:val="24"/>
                <w:szCs w:val="21"/>
              </w:rPr>
              <w:t>万元</w:t>
            </w:r>
            <w:r>
              <w:rPr>
                <w:rFonts w:hint="eastAsia" w:hAnsi="宋体" w:eastAsia="宋体"/>
                <w:bCs/>
                <w:snapToGrid w:val="0"/>
                <w:kern w:val="52"/>
                <w:sz w:val="24"/>
                <w:szCs w:val="21"/>
              </w:rPr>
              <w:t>）</w:t>
            </w:r>
          </w:p>
        </w:tc>
        <w:tc>
          <w:tcPr>
            <w:tcW w:w="832" w:type="pct"/>
            <w:gridSpan w:val="2"/>
            <w:vAlign w:val="center"/>
          </w:tcPr>
          <w:p>
            <w:pPr>
              <w:jc w:val="center"/>
              <w:rPr>
                <w:rFonts w:hAnsi="宋体" w:eastAsia="宋体"/>
                <w:bCs/>
                <w:snapToGrid w:val="0"/>
                <w:kern w:val="52"/>
                <w:sz w:val="24"/>
                <w:szCs w:val="21"/>
              </w:rPr>
            </w:pPr>
            <w:r>
              <w:rPr>
                <w:rFonts w:hint="eastAsia" w:hAnsi="宋体" w:eastAsia="宋体"/>
                <w:bCs/>
                <w:snapToGrid w:val="0"/>
                <w:kern w:val="52"/>
                <w:sz w:val="24"/>
                <w:szCs w:val="21"/>
              </w:rPr>
              <w:t>37</w:t>
            </w:r>
          </w:p>
        </w:tc>
        <w:tc>
          <w:tcPr>
            <w:tcW w:w="979" w:type="pct"/>
            <w:gridSpan w:val="3"/>
            <w:vAlign w:val="center"/>
          </w:tcPr>
          <w:p>
            <w:pPr>
              <w:jc w:val="center"/>
              <w:rPr>
                <w:rFonts w:hAnsi="宋体" w:eastAsia="宋体"/>
                <w:bCs/>
                <w:snapToGrid w:val="0"/>
                <w:kern w:val="52"/>
                <w:sz w:val="24"/>
                <w:szCs w:val="21"/>
              </w:rPr>
            </w:pPr>
            <w:r>
              <w:rPr>
                <w:rFonts w:hAnsi="宋体" w:eastAsia="宋体"/>
                <w:bCs/>
                <w:snapToGrid w:val="0"/>
                <w:kern w:val="52"/>
                <w:sz w:val="24"/>
                <w:szCs w:val="21"/>
              </w:rPr>
              <w:t>环保投资占总投资比例</w:t>
            </w:r>
          </w:p>
        </w:tc>
        <w:tc>
          <w:tcPr>
            <w:tcW w:w="714" w:type="pct"/>
            <w:vAlign w:val="center"/>
          </w:tcPr>
          <w:p>
            <w:pPr>
              <w:jc w:val="center"/>
              <w:rPr>
                <w:rFonts w:hAnsi="宋体" w:eastAsia="宋体"/>
                <w:bCs/>
                <w:snapToGrid w:val="0"/>
                <w:kern w:val="52"/>
                <w:sz w:val="24"/>
                <w:szCs w:val="21"/>
              </w:rPr>
            </w:pPr>
            <w:r>
              <w:rPr>
                <w:rFonts w:hint="eastAsia" w:hAnsi="宋体" w:eastAsia="宋体"/>
                <w:bCs/>
                <w:snapToGrid w:val="0"/>
                <w:kern w:val="52"/>
                <w:sz w:val="24"/>
                <w:szCs w:val="21"/>
              </w:rPr>
              <w:t>1.64%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696" w:type="pct"/>
            <w:vAlign w:val="center"/>
          </w:tcPr>
          <w:p>
            <w:pPr>
              <w:jc w:val="center"/>
              <w:rPr>
                <w:rFonts w:hAnsi="宋体" w:eastAsia="宋体"/>
                <w:bCs/>
                <w:snapToGrid w:val="0"/>
                <w:color w:val="000000" w:themeColor="text1"/>
                <w:kern w:val="52"/>
                <w:sz w:val="24"/>
                <w:szCs w:val="21"/>
              </w:rPr>
            </w:pPr>
            <w:r>
              <w:rPr>
                <w:rFonts w:hAnsi="宋体" w:eastAsia="宋体"/>
                <w:bCs/>
                <w:snapToGrid w:val="0"/>
                <w:color w:val="000000" w:themeColor="text1"/>
                <w:kern w:val="52"/>
                <w:sz w:val="24"/>
                <w:szCs w:val="21"/>
              </w:rPr>
              <w:t>评价经费</w:t>
            </w:r>
          </w:p>
          <w:p>
            <w:pPr>
              <w:jc w:val="center"/>
              <w:rPr>
                <w:rFonts w:hAnsi="宋体" w:eastAsia="宋体"/>
                <w:bCs/>
                <w:snapToGrid w:val="0"/>
                <w:color w:val="000000" w:themeColor="text1"/>
                <w:kern w:val="52"/>
                <w:sz w:val="24"/>
                <w:szCs w:val="21"/>
              </w:rPr>
            </w:pPr>
            <w:r>
              <w:rPr>
                <w:rFonts w:hint="eastAsia" w:hAnsi="宋体" w:eastAsia="宋体"/>
                <w:bCs/>
                <w:snapToGrid w:val="0"/>
                <w:color w:val="000000" w:themeColor="text1"/>
                <w:kern w:val="52"/>
                <w:sz w:val="24"/>
                <w:szCs w:val="21"/>
              </w:rPr>
              <w:t>（</w:t>
            </w:r>
            <w:r>
              <w:rPr>
                <w:rFonts w:hAnsi="宋体" w:eastAsia="宋体"/>
                <w:bCs/>
                <w:snapToGrid w:val="0"/>
                <w:color w:val="000000" w:themeColor="text1"/>
                <w:kern w:val="52"/>
                <w:sz w:val="24"/>
                <w:szCs w:val="21"/>
              </w:rPr>
              <w:t>万元</w:t>
            </w:r>
            <w:r>
              <w:rPr>
                <w:rFonts w:hint="eastAsia" w:hAnsi="宋体" w:eastAsia="宋体"/>
                <w:bCs/>
                <w:snapToGrid w:val="0"/>
                <w:color w:val="000000" w:themeColor="text1"/>
                <w:kern w:val="52"/>
                <w:sz w:val="24"/>
                <w:szCs w:val="21"/>
              </w:rPr>
              <w:t>）</w:t>
            </w:r>
          </w:p>
        </w:tc>
        <w:tc>
          <w:tcPr>
            <w:tcW w:w="948" w:type="pct"/>
            <w:vAlign w:val="center"/>
          </w:tcPr>
          <w:p>
            <w:pPr>
              <w:jc w:val="center"/>
              <w:rPr>
                <w:rFonts w:hAnsi="宋体" w:eastAsia="宋体"/>
                <w:bCs/>
                <w:snapToGrid w:val="0"/>
                <w:color w:val="000000" w:themeColor="text1"/>
                <w:kern w:val="52"/>
                <w:sz w:val="24"/>
                <w:szCs w:val="21"/>
              </w:rPr>
            </w:pPr>
            <w:r>
              <w:rPr>
                <w:rFonts w:hint="eastAsia" w:hAnsi="宋体" w:eastAsia="宋体"/>
                <w:bCs/>
                <w:snapToGrid w:val="0"/>
                <w:color w:val="000000" w:themeColor="text1"/>
                <w:kern w:val="52"/>
                <w:sz w:val="24"/>
                <w:szCs w:val="21"/>
              </w:rPr>
              <w:t>/</w:t>
            </w:r>
          </w:p>
        </w:tc>
        <w:tc>
          <w:tcPr>
            <w:tcW w:w="1663" w:type="pct"/>
            <w:gridSpan w:val="4"/>
            <w:vAlign w:val="center"/>
          </w:tcPr>
          <w:p>
            <w:pPr>
              <w:jc w:val="center"/>
              <w:rPr>
                <w:rFonts w:hAnsi="宋体" w:eastAsia="宋体"/>
                <w:bCs/>
                <w:snapToGrid w:val="0"/>
                <w:color w:val="000000" w:themeColor="text1"/>
                <w:kern w:val="52"/>
                <w:sz w:val="24"/>
                <w:szCs w:val="21"/>
              </w:rPr>
            </w:pPr>
            <w:r>
              <w:rPr>
                <w:rFonts w:hAnsi="宋体" w:eastAsia="宋体"/>
                <w:bCs/>
                <w:snapToGrid w:val="0"/>
                <w:color w:val="000000" w:themeColor="text1"/>
                <w:kern w:val="52"/>
                <w:sz w:val="24"/>
                <w:szCs w:val="21"/>
              </w:rPr>
              <w:t>预计投产日期</w:t>
            </w:r>
          </w:p>
        </w:tc>
        <w:tc>
          <w:tcPr>
            <w:tcW w:w="1693" w:type="pct"/>
            <w:gridSpan w:val="4"/>
            <w:vAlign w:val="center"/>
          </w:tcPr>
          <w:p>
            <w:pPr>
              <w:jc w:val="center"/>
              <w:rPr>
                <w:rFonts w:hAnsi="宋体" w:eastAsia="宋体"/>
                <w:bCs/>
                <w:snapToGrid w:val="0"/>
                <w:color w:val="000000" w:themeColor="text1"/>
                <w:kern w:val="52"/>
                <w:sz w:val="24"/>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10"/>
            <w:vAlign w:val="center"/>
          </w:tcPr>
          <w:p>
            <w:pPr>
              <w:autoSpaceDE w:val="0"/>
              <w:autoSpaceDN w:val="0"/>
              <w:adjustRightInd w:val="0"/>
              <w:spacing w:line="520" w:lineRule="exact"/>
              <w:jc w:val="left"/>
              <w:rPr>
                <w:rFonts w:eastAsia="宋体"/>
                <w:b/>
                <w:spacing w:val="-2"/>
                <w:kern w:val="16"/>
                <w:sz w:val="24"/>
              </w:rPr>
            </w:pPr>
            <w:r>
              <w:rPr>
                <w:rFonts w:eastAsia="宋体"/>
                <w:b/>
                <w:spacing w:val="-2"/>
                <w:kern w:val="16"/>
                <w:sz w:val="24"/>
              </w:rPr>
              <w:t>工程内容及规模：</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1.1工程背景及建设必要性</w:t>
            </w:r>
          </w:p>
          <w:p>
            <w:pPr>
              <w:autoSpaceDE w:val="0"/>
              <w:autoSpaceDN w:val="0"/>
              <w:adjustRightInd w:val="0"/>
              <w:spacing w:line="520" w:lineRule="exact"/>
              <w:ind w:firstLine="480" w:firstLineChars="200"/>
              <w:rPr>
                <w:rFonts w:eastAsia="宋体"/>
                <w:spacing w:val="-2"/>
                <w:kern w:val="16"/>
                <w:sz w:val="24"/>
              </w:rPr>
            </w:pPr>
            <w:r>
              <w:rPr>
                <w:rFonts w:hint="eastAsia" w:eastAsia="宋体"/>
                <w:sz w:val="24"/>
              </w:rPr>
              <w:t>为满足禹州市负荷发展需要，优化110kV电网结构，为该区域提供电源接入点，同时有效减轻禹州市升压站供电压力，提高该地区供电可靠性和安全运行水平，为禹州市经济社会发展提供克劳的电力保障，禹州中广核新能源有限公司拟在禹州市苌庄乡、浅井镇建设中广核禹州市苌庄风电场项目，</w:t>
            </w:r>
            <w:r>
              <w:rPr>
                <w:rFonts w:eastAsia="宋体"/>
                <w:sz w:val="24"/>
              </w:rPr>
              <w:t>总规划容量为</w:t>
            </w:r>
            <w:r>
              <w:rPr>
                <w:rFonts w:hint="eastAsia" w:eastAsia="宋体"/>
                <w:sz w:val="24"/>
              </w:rPr>
              <w:t>8</w:t>
            </w:r>
            <w:r>
              <w:rPr>
                <w:rFonts w:eastAsia="宋体"/>
                <w:sz w:val="24"/>
              </w:rPr>
              <w:t>0MW</w:t>
            </w:r>
            <w:r>
              <w:rPr>
                <w:rFonts w:hint="eastAsia" w:eastAsia="宋体"/>
                <w:sz w:val="24"/>
              </w:rPr>
              <w:t>，</w:t>
            </w:r>
            <w:r>
              <w:rPr>
                <w:rFonts w:eastAsia="宋体"/>
                <w:sz w:val="24"/>
              </w:rPr>
              <w:t>本项目</w:t>
            </w:r>
            <w:r>
              <w:rPr>
                <w:rFonts w:hint="eastAsia" w:eastAsia="宋体"/>
                <w:sz w:val="24"/>
              </w:rPr>
              <w:t>为中广核禹州市苌庄风电场中配套的110kV升压站和送出线路，同时本项目已被河南省发改委以“豫发改能源</w:t>
            </w:r>
            <w:r>
              <w:rPr>
                <w:rFonts w:eastAsia="宋体"/>
                <w:sz w:val="24"/>
              </w:rPr>
              <w:t>〔201</w:t>
            </w:r>
            <w:r>
              <w:rPr>
                <w:rFonts w:hint="eastAsia" w:eastAsia="宋体"/>
                <w:sz w:val="24"/>
              </w:rPr>
              <w:t>6</w:t>
            </w:r>
            <w:r>
              <w:rPr>
                <w:rFonts w:eastAsia="宋体"/>
                <w:sz w:val="24"/>
              </w:rPr>
              <w:t>〕</w:t>
            </w:r>
            <w:r>
              <w:rPr>
                <w:rFonts w:hint="eastAsia" w:eastAsia="宋体"/>
                <w:sz w:val="24"/>
              </w:rPr>
              <w:t>517</w:t>
            </w:r>
            <w:r>
              <w:rPr>
                <w:rFonts w:eastAsia="宋体"/>
                <w:sz w:val="24"/>
              </w:rPr>
              <w:t>号</w:t>
            </w:r>
            <w:r>
              <w:rPr>
                <w:rFonts w:hint="eastAsia" w:eastAsia="宋体"/>
                <w:sz w:val="24"/>
              </w:rPr>
              <w:t>”文</w:t>
            </w:r>
            <w:r>
              <w:rPr>
                <w:rFonts w:eastAsia="宋体"/>
                <w:sz w:val="24"/>
              </w:rPr>
              <w:t>纳入</w:t>
            </w:r>
            <w:r>
              <w:rPr>
                <w:rFonts w:hint="eastAsia" w:eastAsia="宋体"/>
                <w:sz w:val="24"/>
              </w:rPr>
              <w:t>河南省2016年重点管理风电项目之列，因此，</w:t>
            </w:r>
            <w:r>
              <w:rPr>
                <w:rFonts w:hint="eastAsia" w:eastAsia="宋体"/>
                <w:spacing w:val="-2"/>
                <w:kern w:val="16"/>
                <w:sz w:val="24"/>
              </w:rPr>
              <w:t>建设本工程是必要的。</w:t>
            </w:r>
          </w:p>
          <w:p>
            <w:pPr>
              <w:autoSpaceDE w:val="0"/>
              <w:autoSpaceDN w:val="0"/>
              <w:adjustRightInd w:val="0"/>
              <w:spacing w:line="520" w:lineRule="exact"/>
              <w:jc w:val="left"/>
              <w:rPr>
                <w:rFonts w:eastAsia="宋体"/>
                <w:b/>
                <w:bCs/>
                <w:sz w:val="24"/>
              </w:rPr>
            </w:pPr>
            <w:r>
              <w:rPr>
                <w:rFonts w:hint="eastAsia" w:eastAsia="宋体"/>
                <w:b/>
                <w:spacing w:val="-2"/>
                <w:kern w:val="16"/>
                <w:sz w:val="24"/>
              </w:rPr>
              <w:t>1</w:t>
            </w:r>
            <w:r>
              <w:rPr>
                <w:rFonts w:eastAsia="宋体"/>
                <w:b/>
                <w:spacing w:val="-2"/>
                <w:kern w:val="16"/>
                <w:sz w:val="24"/>
              </w:rPr>
              <w:t>.2</w:t>
            </w:r>
            <w:r>
              <w:rPr>
                <w:rFonts w:eastAsia="宋体"/>
                <w:b/>
                <w:bCs/>
                <w:sz w:val="24"/>
              </w:rPr>
              <w:t>工程进展情况</w:t>
            </w:r>
            <w:r>
              <w:rPr>
                <w:rFonts w:hint="eastAsia" w:eastAsia="宋体"/>
                <w:b/>
                <w:bCs/>
                <w:sz w:val="24"/>
              </w:rPr>
              <w:t>和</w:t>
            </w:r>
            <w:r>
              <w:rPr>
                <w:rFonts w:eastAsia="宋体"/>
                <w:b/>
                <w:bCs/>
                <w:sz w:val="24"/>
              </w:rPr>
              <w:t>环评过程</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2017年3月，中南勘测设计研究院有限公司完成《中广核禹州市苌庄风电场项目可 行 性 研 究 报 告》（该可研报告包含风电场、升压站及输电线路工程）。</w:t>
            </w:r>
          </w:p>
          <w:p>
            <w:pPr>
              <w:spacing w:line="520" w:lineRule="exact"/>
              <w:ind w:firstLine="480" w:firstLineChars="200"/>
              <w:rPr>
                <w:rFonts w:hAnsi="宋体" w:eastAsia="宋体"/>
                <w:kern w:val="0"/>
                <w:sz w:val="24"/>
              </w:rPr>
            </w:pPr>
            <w:r>
              <w:rPr>
                <w:rFonts w:hAnsi="宋体" w:eastAsia="宋体"/>
                <w:kern w:val="0"/>
                <w:sz w:val="24"/>
              </w:rPr>
              <w:t>根据《关于修改〈建设项目环境影响评价分类管理名录〉部分内容的决定》（</w:t>
            </w:r>
            <w:r>
              <w:rPr>
                <w:rFonts w:eastAsia="宋体"/>
                <w:kern w:val="0"/>
                <w:sz w:val="24"/>
              </w:rPr>
              <w:t>2018</w:t>
            </w:r>
            <w:r>
              <w:rPr>
                <w:rFonts w:hAnsi="宋体" w:eastAsia="宋体"/>
                <w:kern w:val="0"/>
                <w:sz w:val="24"/>
              </w:rPr>
              <w:t>年</w:t>
            </w:r>
            <w:r>
              <w:rPr>
                <w:rFonts w:eastAsia="宋体"/>
                <w:kern w:val="0"/>
                <w:sz w:val="24"/>
              </w:rPr>
              <w:t>4</w:t>
            </w:r>
            <w:r>
              <w:rPr>
                <w:rFonts w:hAnsi="宋体" w:eastAsia="宋体"/>
                <w:kern w:val="0"/>
                <w:sz w:val="24"/>
              </w:rPr>
              <w:t>月</w:t>
            </w:r>
            <w:r>
              <w:rPr>
                <w:rFonts w:eastAsia="宋体"/>
                <w:kern w:val="0"/>
                <w:sz w:val="24"/>
              </w:rPr>
              <w:t>28</w:t>
            </w:r>
            <w:r>
              <w:rPr>
                <w:rFonts w:hAnsi="宋体" w:eastAsia="宋体"/>
                <w:kern w:val="0"/>
                <w:sz w:val="24"/>
              </w:rPr>
              <w:t>日）</w:t>
            </w:r>
            <w:r>
              <w:rPr>
                <w:rFonts w:hint="eastAsia" w:hAnsi="宋体" w:eastAsia="宋体"/>
                <w:kern w:val="0"/>
                <w:sz w:val="24"/>
              </w:rPr>
              <w:t>，属于五十、核与辐射，181输变电工程，其中规定500千伏及以上；涉及环境敏感区的330千伏及以上工程应当编制报告书，其他（100千伏以下除外）编制报告表。本工程电压等级为110</w:t>
            </w:r>
            <w:r>
              <w:rPr>
                <w:rFonts w:eastAsia="宋体"/>
                <w:bCs/>
                <w:snapToGrid w:val="0"/>
                <w:kern w:val="0"/>
                <w:sz w:val="24"/>
                <w:szCs w:val="21"/>
              </w:rPr>
              <w:t>kV</w:t>
            </w:r>
            <w:r>
              <w:rPr>
                <w:rFonts w:hint="eastAsia" w:hAnsi="宋体" w:eastAsia="宋体"/>
                <w:kern w:val="0"/>
                <w:sz w:val="24"/>
              </w:rPr>
              <w:t>，因此应编制环境影响报告表。</w:t>
            </w:r>
          </w:p>
          <w:p>
            <w:pPr>
              <w:spacing w:line="520" w:lineRule="exact"/>
              <w:ind w:firstLine="472" w:firstLineChars="200"/>
              <w:rPr>
                <w:rFonts w:hAnsi="宋体" w:eastAsia="宋体"/>
                <w:kern w:val="0"/>
                <w:sz w:val="24"/>
              </w:rPr>
            </w:pPr>
            <w:r>
              <w:rPr>
                <w:rFonts w:hint="eastAsia" w:eastAsia="宋体"/>
                <w:spacing w:val="-2"/>
                <w:kern w:val="16"/>
                <w:sz w:val="24"/>
              </w:rPr>
              <w:t>河南雅文环保技术有限公司</w:t>
            </w:r>
            <w:r>
              <w:rPr>
                <w:rFonts w:eastAsia="宋体"/>
                <w:spacing w:val="-2"/>
                <w:kern w:val="16"/>
                <w:sz w:val="24"/>
              </w:rPr>
              <w:t>（以下简称</w:t>
            </w:r>
            <w:r>
              <w:rPr>
                <w:rFonts w:hint="eastAsia" w:eastAsia="宋体"/>
                <w:spacing w:val="-2"/>
                <w:kern w:val="16"/>
                <w:sz w:val="24"/>
              </w:rPr>
              <w:t>“</w:t>
            </w:r>
            <w:r>
              <w:rPr>
                <w:rFonts w:eastAsia="宋体"/>
                <w:spacing w:val="-2"/>
                <w:kern w:val="16"/>
                <w:sz w:val="24"/>
              </w:rPr>
              <w:t>我公司</w:t>
            </w:r>
            <w:r>
              <w:rPr>
                <w:rFonts w:hint="eastAsia" w:eastAsia="宋体"/>
                <w:spacing w:val="-2"/>
                <w:kern w:val="16"/>
                <w:sz w:val="24"/>
              </w:rPr>
              <w:t>”</w:t>
            </w:r>
            <w:r>
              <w:rPr>
                <w:rFonts w:eastAsia="宋体"/>
                <w:spacing w:val="-2"/>
                <w:kern w:val="16"/>
                <w:sz w:val="24"/>
              </w:rPr>
              <w:t>）</w:t>
            </w:r>
            <w:r>
              <w:rPr>
                <w:rFonts w:hint="eastAsia" w:eastAsia="宋体"/>
                <w:spacing w:val="-2"/>
                <w:kern w:val="16"/>
                <w:sz w:val="24"/>
              </w:rPr>
              <w:t>，</w:t>
            </w:r>
            <w:r>
              <w:rPr>
                <w:rFonts w:eastAsia="宋体"/>
                <w:spacing w:val="-2"/>
                <w:kern w:val="16"/>
                <w:sz w:val="24"/>
              </w:rPr>
              <w:t xml:space="preserve"> 受</w:t>
            </w:r>
            <w:r>
              <w:rPr>
                <w:rFonts w:hint="eastAsia" w:eastAsia="宋体"/>
                <w:sz w:val="24"/>
              </w:rPr>
              <w:t>禹州中广核新能源有限公司委托（见附件1），</w:t>
            </w:r>
            <w:r>
              <w:rPr>
                <w:rFonts w:hint="eastAsia" w:eastAsia="宋体"/>
                <w:spacing w:val="-2"/>
                <w:kern w:val="16"/>
                <w:sz w:val="24"/>
              </w:rPr>
              <w:t>河南雅文环保技术有限公司</w:t>
            </w:r>
            <w:r>
              <w:rPr>
                <w:rFonts w:eastAsia="宋体"/>
                <w:spacing w:val="-2"/>
                <w:kern w:val="16"/>
                <w:sz w:val="24"/>
              </w:rPr>
              <w:t>承担本工程的环境影响评价</w:t>
            </w:r>
            <w:r>
              <w:rPr>
                <w:rFonts w:hint="eastAsia" w:eastAsia="宋体"/>
                <w:spacing w:val="-2"/>
                <w:kern w:val="16"/>
                <w:sz w:val="24"/>
              </w:rPr>
              <w:t>的</w:t>
            </w:r>
            <w:r>
              <w:rPr>
                <w:rFonts w:eastAsia="宋体"/>
                <w:spacing w:val="-2"/>
                <w:kern w:val="16"/>
                <w:sz w:val="24"/>
              </w:rPr>
              <w:t>工作。</w:t>
            </w:r>
            <w:r>
              <w:rPr>
                <w:rFonts w:hint="eastAsia" w:eastAsia="宋体"/>
                <w:spacing w:val="-2"/>
                <w:kern w:val="16"/>
                <w:sz w:val="24"/>
              </w:rPr>
              <w:t>我公司于2020年4月对升压站周围进行</w:t>
            </w:r>
            <w:r>
              <w:rPr>
                <w:rFonts w:eastAsia="宋体"/>
                <w:spacing w:val="-2"/>
                <w:kern w:val="16"/>
                <w:sz w:val="24"/>
              </w:rPr>
              <w:t>实地踏勘、调查，收集了自然环境、社会环境及有关资料，并委</w:t>
            </w:r>
            <w:r>
              <w:rPr>
                <w:rFonts w:eastAsia="宋体"/>
                <w:color w:val="000000"/>
                <w:spacing w:val="-2"/>
                <w:kern w:val="16"/>
                <w:sz w:val="24"/>
              </w:rPr>
              <w:t>托河南凯洁环保检测技术有限公司进行</w:t>
            </w:r>
            <w:r>
              <w:rPr>
                <w:rFonts w:eastAsia="宋体"/>
                <w:spacing w:val="-2"/>
                <w:kern w:val="16"/>
                <w:sz w:val="24"/>
              </w:rPr>
              <w:t>了电磁环境及声环境的现状监测。</w:t>
            </w:r>
            <w:r>
              <w:rPr>
                <w:rFonts w:hint="eastAsia" w:eastAsia="宋体"/>
                <w:spacing w:val="-2"/>
                <w:kern w:val="16"/>
                <w:sz w:val="24"/>
              </w:rPr>
              <w:t>我公司在对项目升压站周围及线路沿线进行了实地踏勘、调查的基础上，</w:t>
            </w:r>
            <w:r>
              <w:rPr>
                <w:rFonts w:eastAsia="宋体"/>
                <w:spacing w:val="-2"/>
                <w:kern w:val="16"/>
                <w:sz w:val="24"/>
              </w:rPr>
              <w:t>结合本工程特点及实际情况，根据相关的技术规范、技术导则要求，进行环境影响预测及评价，</w:t>
            </w:r>
            <w:r>
              <w:rPr>
                <w:rFonts w:hint="eastAsia" w:eastAsia="宋体"/>
                <w:spacing w:val="-2"/>
                <w:kern w:val="16"/>
                <w:sz w:val="24"/>
              </w:rPr>
              <w:t>提出</w:t>
            </w:r>
            <w:r>
              <w:rPr>
                <w:rFonts w:eastAsia="宋体"/>
                <w:spacing w:val="-2"/>
                <w:kern w:val="16"/>
                <w:sz w:val="24"/>
              </w:rPr>
              <w:t>环境保护措施。在此基础上编制完成本环境影响报告表</w:t>
            </w:r>
            <w:r>
              <w:rPr>
                <w:rFonts w:hint="eastAsia" w:eastAsia="宋体"/>
                <w:spacing w:val="-2"/>
                <w:kern w:val="16"/>
                <w:sz w:val="24"/>
              </w:rPr>
              <w:t>。</w:t>
            </w:r>
            <w:r>
              <w:rPr>
                <w:rFonts w:hint="eastAsia" w:hAnsi="宋体" w:eastAsia="宋体"/>
                <w:kern w:val="0"/>
                <w:sz w:val="24"/>
              </w:rPr>
              <w:t>根据现场勘查，本项目已建设完成并运行，各项环保设施已建设完成并运行。</w:t>
            </w:r>
          </w:p>
          <w:p>
            <w:pPr>
              <w:autoSpaceDE w:val="0"/>
              <w:autoSpaceDN w:val="0"/>
              <w:adjustRightInd w:val="0"/>
              <w:spacing w:line="520" w:lineRule="exact"/>
              <w:jc w:val="left"/>
              <w:rPr>
                <w:rFonts w:eastAsia="宋体"/>
                <w:b/>
                <w:bCs/>
                <w:sz w:val="24"/>
              </w:rPr>
            </w:pPr>
            <w:r>
              <w:rPr>
                <w:rFonts w:eastAsia="宋体"/>
                <w:b/>
                <w:bCs/>
                <w:sz w:val="24"/>
              </w:rPr>
              <w:t>1.3、编制依据</w:t>
            </w:r>
          </w:p>
          <w:p>
            <w:pPr>
              <w:autoSpaceDE w:val="0"/>
              <w:autoSpaceDN w:val="0"/>
              <w:adjustRightInd w:val="0"/>
              <w:spacing w:line="520" w:lineRule="exact"/>
              <w:jc w:val="left"/>
              <w:rPr>
                <w:rFonts w:eastAsia="宋体"/>
                <w:b/>
                <w:bCs/>
                <w:sz w:val="24"/>
              </w:rPr>
            </w:pPr>
            <w:r>
              <w:rPr>
                <w:rFonts w:eastAsia="宋体"/>
                <w:b/>
                <w:bCs/>
                <w:sz w:val="24"/>
              </w:rPr>
              <w:t>1.3.1环境保护法规、条例和文件</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1）《中华人民共和国环境保护法》（</w:t>
            </w:r>
            <w:r>
              <w:rPr>
                <w:rFonts w:hint="eastAsia" w:eastAsia="宋体"/>
                <w:spacing w:val="-2"/>
                <w:kern w:val="16"/>
                <w:sz w:val="24"/>
              </w:rPr>
              <w:t>自2</w:t>
            </w:r>
            <w:r>
              <w:rPr>
                <w:rFonts w:eastAsia="宋体"/>
                <w:spacing w:val="-2"/>
                <w:kern w:val="16"/>
                <w:sz w:val="24"/>
              </w:rPr>
              <w:t>015年1月1日</w:t>
            </w:r>
            <w:r>
              <w:rPr>
                <w:rFonts w:hint="eastAsia" w:eastAsia="宋体"/>
                <w:spacing w:val="-2"/>
                <w:kern w:val="16"/>
                <w:sz w:val="24"/>
              </w:rPr>
              <w:t>起施行</w:t>
            </w:r>
            <w:r>
              <w:rPr>
                <w:rFonts w:eastAsia="宋体"/>
                <w:spacing w:val="-2"/>
                <w:kern w:val="16"/>
                <w:sz w:val="24"/>
              </w:rPr>
              <w:t>）；</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2）《中华人民共和国土地管理法》（</w:t>
            </w:r>
            <w:r>
              <w:rPr>
                <w:rFonts w:hint="eastAsia" w:eastAsia="宋体"/>
                <w:spacing w:val="-2"/>
                <w:kern w:val="16"/>
                <w:sz w:val="24"/>
              </w:rPr>
              <w:t>自</w:t>
            </w:r>
            <w:r>
              <w:rPr>
                <w:rFonts w:eastAsia="宋体"/>
                <w:spacing w:val="-2"/>
                <w:kern w:val="16"/>
                <w:sz w:val="24"/>
              </w:rPr>
              <w:t>2004年8月28日</w:t>
            </w:r>
            <w:r>
              <w:rPr>
                <w:rFonts w:hint="eastAsia" w:eastAsia="宋体"/>
                <w:spacing w:val="-2"/>
                <w:kern w:val="16"/>
                <w:sz w:val="24"/>
              </w:rPr>
              <w:t>起施行</w:t>
            </w:r>
            <w:r>
              <w:rPr>
                <w:rFonts w:eastAsia="宋体"/>
                <w:spacing w:val="-2"/>
                <w:kern w:val="16"/>
                <w:sz w:val="24"/>
              </w:rPr>
              <w:t>）；</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3）《中华人民共和国水土保持法》（</w:t>
            </w:r>
            <w:r>
              <w:rPr>
                <w:rFonts w:hint="eastAsia" w:eastAsia="宋体"/>
                <w:spacing w:val="-2"/>
                <w:kern w:val="16"/>
                <w:sz w:val="24"/>
              </w:rPr>
              <w:t>自</w:t>
            </w:r>
            <w:r>
              <w:rPr>
                <w:rFonts w:eastAsia="宋体"/>
                <w:spacing w:val="-2"/>
                <w:kern w:val="16"/>
                <w:sz w:val="24"/>
              </w:rPr>
              <w:t>2011年3月1日</w:t>
            </w:r>
            <w:r>
              <w:rPr>
                <w:rFonts w:hint="eastAsia" w:eastAsia="宋体"/>
                <w:spacing w:val="-2"/>
                <w:kern w:val="16"/>
                <w:sz w:val="24"/>
              </w:rPr>
              <w:t>起施行</w:t>
            </w:r>
            <w:r>
              <w:rPr>
                <w:rFonts w:eastAsia="宋体"/>
                <w:spacing w:val="-2"/>
                <w:kern w:val="16"/>
                <w:sz w:val="24"/>
              </w:rPr>
              <w:t>）；</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4）《中华人民共和国环境影响评价法》（</w:t>
            </w:r>
            <w:r>
              <w:rPr>
                <w:rFonts w:hint="eastAsia" w:eastAsia="宋体"/>
                <w:spacing w:val="-2"/>
                <w:kern w:val="16"/>
                <w:sz w:val="24"/>
              </w:rPr>
              <w:t>自</w:t>
            </w:r>
            <w:r>
              <w:rPr>
                <w:rFonts w:eastAsia="宋体"/>
                <w:spacing w:val="-2"/>
                <w:kern w:val="16"/>
                <w:sz w:val="24"/>
              </w:rPr>
              <w:t>20</w:t>
            </w:r>
            <w:r>
              <w:rPr>
                <w:rFonts w:hint="eastAsia" w:eastAsia="宋体"/>
                <w:spacing w:val="-2"/>
                <w:kern w:val="16"/>
                <w:sz w:val="24"/>
              </w:rPr>
              <w:t>18</w:t>
            </w:r>
            <w:r>
              <w:rPr>
                <w:rFonts w:eastAsia="宋体"/>
                <w:spacing w:val="-2"/>
                <w:kern w:val="16"/>
                <w:sz w:val="24"/>
              </w:rPr>
              <w:t>年</w:t>
            </w:r>
            <w:r>
              <w:rPr>
                <w:rFonts w:hint="eastAsia" w:eastAsia="宋体"/>
                <w:spacing w:val="-2"/>
                <w:kern w:val="16"/>
                <w:sz w:val="24"/>
              </w:rPr>
              <w:t>12</w:t>
            </w:r>
            <w:r>
              <w:rPr>
                <w:rFonts w:eastAsia="宋体"/>
                <w:spacing w:val="-2"/>
                <w:kern w:val="16"/>
                <w:sz w:val="24"/>
              </w:rPr>
              <w:t>月</w:t>
            </w:r>
            <w:r>
              <w:rPr>
                <w:rFonts w:hint="eastAsia" w:eastAsia="宋体"/>
                <w:spacing w:val="-2"/>
                <w:kern w:val="16"/>
                <w:sz w:val="24"/>
              </w:rPr>
              <w:t>29</w:t>
            </w:r>
            <w:r>
              <w:rPr>
                <w:rFonts w:eastAsia="宋体"/>
                <w:spacing w:val="-2"/>
                <w:kern w:val="16"/>
                <w:sz w:val="24"/>
              </w:rPr>
              <w:t>日</w:t>
            </w:r>
            <w:r>
              <w:rPr>
                <w:rFonts w:hint="eastAsia" w:eastAsia="宋体"/>
                <w:spacing w:val="-2"/>
                <w:kern w:val="16"/>
                <w:sz w:val="24"/>
              </w:rPr>
              <w:t>修订并</w:t>
            </w:r>
            <w:r>
              <w:rPr>
                <w:rFonts w:eastAsia="宋体"/>
                <w:spacing w:val="-2"/>
                <w:kern w:val="16"/>
                <w:sz w:val="24"/>
              </w:rPr>
              <w:t>实施）；</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5）</w:t>
            </w:r>
            <w:r>
              <w:rPr>
                <w:rFonts w:eastAsia="宋体"/>
                <w:snapToGrid w:val="0"/>
                <w:sz w:val="24"/>
              </w:rPr>
              <w:t>《中华人民共和国水污染防治法》（2017修正），（</w:t>
            </w:r>
            <w:r>
              <w:rPr>
                <w:rFonts w:hint="eastAsia" w:eastAsia="宋体"/>
                <w:snapToGrid w:val="0"/>
                <w:sz w:val="24"/>
              </w:rPr>
              <w:t>自</w:t>
            </w:r>
            <w:r>
              <w:rPr>
                <w:rFonts w:eastAsia="宋体"/>
                <w:snapToGrid w:val="0"/>
                <w:sz w:val="24"/>
              </w:rPr>
              <w:t>2018 年1 月1 日起施行）；</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6）《中华人民共和国环境噪声污染防治法》（</w:t>
            </w:r>
            <w:r>
              <w:rPr>
                <w:rFonts w:hint="eastAsia" w:eastAsia="宋体"/>
                <w:spacing w:val="-2"/>
                <w:kern w:val="16"/>
                <w:sz w:val="24"/>
              </w:rPr>
              <w:t>自 2018 年 12 月 29 日修订并施行</w:t>
            </w:r>
            <w:r>
              <w:rPr>
                <w:rFonts w:eastAsia="宋体"/>
                <w:spacing w:val="-2"/>
                <w:kern w:val="16"/>
                <w:sz w:val="24"/>
              </w:rPr>
              <w:t>）；</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7）《建设项目环境保护管理条例》（</w:t>
            </w:r>
            <w:r>
              <w:rPr>
                <w:rFonts w:eastAsia="宋体"/>
                <w:snapToGrid w:val="0"/>
                <w:sz w:val="24"/>
              </w:rPr>
              <w:t>中华人民共和国国务院令第682号修订），（</w:t>
            </w:r>
            <w:r>
              <w:rPr>
                <w:rFonts w:hint="eastAsia" w:eastAsia="宋体"/>
                <w:snapToGrid w:val="0"/>
                <w:sz w:val="24"/>
              </w:rPr>
              <w:t>自</w:t>
            </w:r>
            <w:r>
              <w:rPr>
                <w:rFonts w:eastAsia="宋体"/>
                <w:snapToGrid w:val="0"/>
                <w:sz w:val="24"/>
              </w:rPr>
              <w:t>2017年10月1日施行）</w:t>
            </w:r>
            <w:r>
              <w:rPr>
                <w:rFonts w:eastAsia="宋体"/>
                <w:spacing w:val="-2"/>
                <w:kern w:val="16"/>
                <w:sz w:val="24"/>
              </w:rPr>
              <w:t>；</w:t>
            </w:r>
          </w:p>
          <w:p>
            <w:pPr>
              <w:autoSpaceDE w:val="0"/>
              <w:autoSpaceDN w:val="0"/>
              <w:adjustRightInd w:val="0"/>
              <w:spacing w:line="500" w:lineRule="exact"/>
              <w:ind w:firstLine="472" w:firstLineChars="200"/>
              <w:jc w:val="left"/>
              <w:rPr>
                <w:rFonts w:eastAsia="宋体"/>
                <w:spacing w:val="-2"/>
                <w:kern w:val="16"/>
                <w:sz w:val="24"/>
              </w:rPr>
            </w:pPr>
            <w:r>
              <w:rPr>
                <w:rFonts w:eastAsia="宋体"/>
                <w:spacing w:val="-2"/>
                <w:kern w:val="16"/>
                <w:sz w:val="24"/>
              </w:rPr>
              <w:t>8）《建设项目环境影响评价分类管理名录》</w:t>
            </w:r>
            <w:r>
              <w:rPr>
                <w:rFonts w:hint="eastAsia" w:eastAsia="宋体"/>
                <w:spacing w:val="-2"/>
                <w:kern w:val="16"/>
                <w:sz w:val="24"/>
              </w:rPr>
              <w:t>及其修改单</w:t>
            </w:r>
            <w:r>
              <w:rPr>
                <w:rFonts w:eastAsia="宋体"/>
                <w:spacing w:val="-2"/>
                <w:kern w:val="16"/>
                <w:sz w:val="24"/>
              </w:rPr>
              <w:t>（</w:t>
            </w:r>
            <w:r>
              <w:rPr>
                <w:rFonts w:hint="eastAsia" w:eastAsia="宋体"/>
                <w:spacing w:val="-2"/>
                <w:kern w:val="16"/>
                <w:sz w:val="24"/>
              </w:rPr>
              <w:t>生态</w:t>
            </w:r>
            <w:r>
              <w:rPr>
                <w:rFonts w:eastAsia="宋体"/>
                <w:spacing w:val="-2"/>
                <w:kern w:val="16"/>
                <w:sz w:val="24"/>
              </w:rPr>
              <w:t>环境部令第</w:t>
            </w:r>
            <w:r>
              <w:rPr>
                <w:rFonts w:hint="eastAsia" w:eastAsia="宋体"/>
                <w:spacing w:val="-2"/>
                <w:kern w:val="16"/>
                <w:sz w:val="24"/>
              </w:rPr>
              <w:t>1</w:t>
            </w:r>
            <w:r>
              <w:rPr>
                <w:rFonts w:eastAsia="宋体"/>
                <w:spacing w:val="-2"/>
                <w:kern w:val="16"/>
                <w:sz w:val="24"/>
              </w:rPr>
              <w:t>号</w:t>
            </w:r>
            <w:r>
              <w:rPr>
                <w:rFonts w:hint="eastAsia" w:eastAsia="宋体"/>
                <w:spacing w:val="-2"/>
                <w:kern w:val="16"/>
                <w:sz w:val="24"/>
              </w:rPr>
              <w:t>）</w:t>
            </w:r>
            <w:r>
              <w:rPr>
                <w:rFonts w:eastAsia="宋体"/>
                <w:spacing w:val="-2"/>
                <w:kern w:val="16"/>
                <w:sz w:val="24"/>
              </w:rPr>
              <w:t>；</w:t>
            </w:r>
          </w:p>
          <w:p>
            <w:pPr>
              <w:autoSpaceDE w:val="0"/>
              <w:autoSpaceDN w:val="0"/>
              <w:adjustRightInd w:val="0"/>
              <w:spacing w:line="540" w:lineRule="exact"/>
              <w:ind w:firstLine="472" w:firstLineChars="200"/>
              <w:jc w:val="left"/>
              <w:rPr>
                <w:rFonts w:eastAsia="宋体"/>
                <w:spacing w:val="-2"/>
                <w:kern w:val="16"/>
                <w:sz w:val="24"/>
              </w:rPr>
            </w:pPr>
            <w:r>
              <w:rPr>
                <w:rFonts w:eastAsia="宋体"/>
                <w:spacing w:val="-2"/>
                <w:kern w:val="16"/>
                <w:sz w:val="24"/>
              </w:rPr>
              <w:t>9）</w:t>
            </w:r>
            <w:r>
              <w:rPr>
                <w:rFonts w:hint="eastAsia" w:eastAsia="宋体"/>
                <w:spacing w:val="-2"/>
                <w:kern w:val="16"/>
                <w:sz w:val="24"/>
              </w:rPr>
              <w:t>《河南省辐射污染防治条例》（2016年3月1日起施行）</w:t>
            </w:r>
          </w:p>
          <w:p>
            <w:pPr>
              <w:autoSpaceDE w:val="0"/>
              <w:autoSpaceDN w:val="0"/>
              <w:adjustRightInd w:val="0"/>
              <w:spacing w:line="540" w:lineRule="exact"/>
              <w:ind w:firstLine="472" w:firstLineChars="200"/>
              <w:jc w:val="left"/>
              <w:rPr>
                <w:rFonts w:eastAsia="宋体"/>
                <w:spacing w:val="-2"/>
                <w:kern w:val="16"/>
                <w:sz w:val="24"/>
              </w:rPr>
            </w:pPr>
            <w:r>
              <w:rPr>
                <w:rFonts w:eastAsia="宋体"/>
                <w:spacing w:val="-2"/>
                <w:kern w:val="16"/>
                <w:sz w:val="24"/>
              </w:rPr>
              <w:t>10）</w:t>
            </w:r>
            <w:r>
              <w:rPr>
                <w:rFonts w:eastAsia="宋体"/>
                <w:sz w:val="24"/>
                <w:lang w:val="sq-AL"/>
              </w:rPr>
              <w:t>《国家危险废物名录》（原环境保护部令第39号）</w:t>
            </w:r>
          </w:p>
          <w:p>
            <w:pPr>
              <w:autoSpaceDE w:val="0"/>
              <w:autoSpaceDN w:val="0"/>
              <w:adjustRightInd w:val="0"/>
              <w:spacing w:line="540" w:lineRule="exact"/>
              <w:ind w:firstLine="472" w:firstLineChars="200"/>
              <w:jc w:val="left"/>
              <w:rPr>
                <w:rFonts w:eastAsia="宋体"/>
                <w:sz w:val="24"/>
              </w:rPr>
            </w:pPr>
            <w:r>
              <w:rPr>
                <w:rFonts w:eastAsia="宋体"/>
                <w:spacing w:val="-2"/>
                <w:kern w:val="16"/>
                <w:sz w:val="24"/>
              </w:rPr>
              <w:t>11）</w:t>
            </w:r>
            <w:r>
              <w:rPr>
                <w:rFonts w:hint="eastAsia" w:eastAsia="宋体"/>
                <w:sz w:val="24"/>
              </w:rPr>
              <w:t>《产业结构调整指导目录（2019年本）》</w:t>
            </w:r>
          </w:p>
          <w:p>
            <w:pPr>
              <w:autoSpaceDE w:val="0"/>
              <w:autoSpaceDN w:val="0"/>
              <w:adjustRightInd w:val="0"/>
              <w:spacing w:line="540" w:lineRule="exact"/>
              <w:ind w:firstLine="472" w:firstLineChars="200"/>
              <w:rPr>
                <w:rFonts w:eastAsia="宋体"/>
                <w:spacing w:val="-2"/>
                <w:kern w:val="16"/>
                <w:sz w:val="24"/>
              </w:rPr>
            </w:pPr>
            <w:r>
              <w:rPr>
                <w:rFonts w:eastAsia="宋体"/>
                <w:spacing w:val="-2"/>
                <w:kern w:val="16"/>
                <w:sz w:val="24"/>
              </w:rPr>
              <w:t>12）</w:t>
            </w:r>
            <w:r>
              <w:rPr>
                <w:rFonts w:eastAsia="宋体"/>
                <w:sz w:val="24"/>
              </w:rPr>
              <w:t>《河南省人民政府关于印发河南省污染防治攻坚战三年行动计划(2018—2020年)的通知》（豫政〔2018〕30号）</w:t>
            </w:r>
          </w:p>
          <w:p>
            <w:pPr>
              <w:autoSpaceDE w:val="0"/>
              <w:autoSpaceDN w:val="0"/>
              <w:adjustRightInd w:val="0"/>
              <w:spacing w:line="540" w:lineRule="exact"/>
              <w:ind w:firstLine="480" w:firstLineChars="200"/>
              <w:rPr>
                <w:rFonts w:eastAsia="宋体"/>
                <w:sz w:val="24"/>
              </w:rPr>
            </w:pPr>
            <w:r>
              <w:rPr>
                <w:rFonts w:eastAsia="宋体"/>
                <w:sz w:val="24"/>
              </w:rPr>
              <w:t>13）</w:t>
            </w:r>
            <w:r>
              <w:rPr>
                <w:rFonts w:hint="eastAsia" w:eastAsia="宋体"/>
                <w:sz w:val="24"/>
              </w:rPr>
              <w:t>《许昌市人民政府关于印发许昌市污染防治攻坚战三年行动实施方案（2018-2020年）的通知》（许政[2018]24号）</w:t>
            </w:r>
          </w:p>
          <w:p>
            <w:pPr>
              <w:autoSpaceDE w:val="0"/>
              <w:autoSpaceDN w:val="0"/>
              <w:adjustRightInd w:val="0"/>
              <w:spacing w:line="540" w:lineRule="exact"/>
              <w:ind w:firstLine="480" w:firstLineChars="200"/>
              <w:rPr>
                <w:rFonts w:eastAsia="宋体"/>
                <w:sz w:val="24"/>
              </w:rPr>
            </w:pPr>
            <w:r>
              <w:rPr>
                <w:rFonts w:hint="eastAsia" w:eastAsia="宋体"/>
                <w:sz w:val="24"/>
              </w:rPr>
              <w:t>14）《许昌市污染防治攻坚领导小组文件 关于印发许昌市2019年大气污染防治攻坚战实施方案的通知》（许环攻坚〔2019 〕4号）</w:t>
            </w:r>
          </w:p>
          <w:p>
            <w:pPr>
              <w:autoSpaceDE w:val="0"/>
              <w:autoSpaceDN w:val="0"/>
              <w:adjustRightInd w:val="0"/>
              <w:spacing w:line="540" w:lineRule="exact"/>
              <w:jc w:val="left"/>
              <w:rPr>
                <w:rFonts w:eastAsia="宋体"/>
                <w:b/>
                <w:bCs/>
                <w:sz w:val="24"/>
              </w:rPr>
            </w:pPr>
            <w:r>
              <w:rPr>
                <w:rFonts w:eastAsia="宋体"/>
                <w:b/>
                <w:bCs/>
                <w:sz w:val="24"/>
              </w:rPr>
              <w:t>1.3.2相关的标准和技术导则</w:t>
            </w:r>
          </w:p>
          <w:p>
            <w:pPr>
              <w:autoSpaceDE w:val="0"/>
              <w:autoSpaceDN w:val="0"/>
              <w:adjustRightInd w:val="0"/>
              <w:spacing w:line="540" w:lineRule="exact"/>
              <w:ind w:firstLine="472" w:firstLineChars="200"/>
              <w:jc w:val="left"/>
              <w:rPr>
                <w:rFonts w:eastAsia="宋体"/>
                <w:spacing w:val="-2"/>
                <w:kern w:val="16"/>
                <w:sz w:val="24"/>
              </w:rPr>
            </w:pPr>
            <w:bookmarkStart w:id="1" w:name="_Toc422900657"/>
            <w:r>
              <w:rPr>
                <w:rFonts w:eastAsia="宋体"/>
                <w:spacing w:val="-2"/>
                <w:kern w:val="16"/>
                <w:sz w:val="24"/>
              </w:rPr>
              <w:t>1）《声环境质量标准》（GB3096-2008）；</w:t>
            </w:r>
            <w:bookmarkEnd w:id="1"/>
          </w:p>
          <w:p>
            <w:pPr>
              <w:autoSpaceDE w:val="0"/>
              <w:autoSpaceDN w:val="0"/>
              <w:adjustRightInd w:val="0"/>
              <w:spacing w:line="540" w:lineRule="exact"/>
              <w:ind w:firstLine="472" w:firstLineChars="200"/>
              <w:jc w:val="left"/>
              <w:rPr>
                <w:rFonts w:eastAsia="宋体"/>
                <w:spacing w:val="-2"/>
                <w:kern w:val="16"/>
                <w:sz w:val="24"/>
              </w:rPr>
            </w:pPr>
            <w:bookmarkStart w:id="2" w:name="_Toc422900658"/>
            <w:r>
              <w:rPr>
                <w:rFonts w:eastAsia="宋体"/>
                <w:spacing w:val="-2"/>
                <w:kern w:val="16"/>
                <w:sz w:val="24"/>
              </w:rPr>
              <w:t>2）《工业企业厂界环境噪声排放标准》（GB12348-2008）；</w:t>
            </w:r>
            <w:bookmarkEnd w:id="2"/>
          </w:p>
          <w:p>
            <w:pPr>
              <w:autoSpaceDE w:val="0"/>
              <w:autoSpaceDN w:val="0"/>
              <w:adjustRightInd w:val="0"/>
              <w:spacing w:line="540" w:lineRule="exact"/>
              <w:ind w:firstLine="472" w:firstLineChars="200"/>
              <w:jc w:val="left"/>
              <w:rPr>
                <w:rFonts w:eastAsia="宋体"/>
                <w:spacing w:val="-2"/>
                <w:kern w:val="16"/>
                <w:sz w:val="24"/>
              </w:rPr>
            </w:pPr>
            <w:bookmarkStart w:id="3" w:name="_Toc422900659"/>
            <w:r>
              <w:rPr>
                <w:rFonts w:eastAsia="宋体"/>
                <w:spacing w:val="-2"/>
                <w:kern w:val="16"/>
                <w:sz w:val="24"/>
              </w:rPr>
              <w:t>3）《建筑施工场界环境噪声排放标准》（GB12523-2011）；</w:t>
            </w:r>
            <w:bookmarkEnd w:id="3"/>
          </w:p>
          <w:p>
            <w:pPr>
              <w:autoSpaceDE w:val="0"/>
              <w:autoSpaceDN w:val="0"/>
              <w:adjustRightInd w:val="0"/>
              <w:spacing w:line="540" w:lineRule="exact"/>
              <w:ind w:firstLine="472" w:firstLineChars="200"/>
              <w:jc w:val="left"/>
              <w:rPr>
                <w:rFonts w:eastAsia="宋体"/>
                <w:spacing w:val="-2"/>
                <w:kern w:val="16"/>
                <w:sz w:val="24"/>
              </w:rPr>
            </w:pPr>
            <w:bookmarkStart w:id="4" w:name="_Toc422900660"/>
            <w:r>
              <w:rPr>
                <w:rFonts w:eastAsia="宋体"/>
                <w:spacing w:val="-2"/>
                <w:kern w:val="16"/>
                <w:sz w:val="24"/>
              </w:rPr>
              <w:t>4）《电磁环境控制限值》（GB8702-2014）；</w:t>
            </w:r>
            <w:bookmarkEnd w:id="4"/>
          </w:p>
          <w:p>
            <w:pPr>
              <w:autoSpaceDE w:val="0"/>
              <w:autoSpaceDN w:val="0"/>
              <w:adjustRightInd w:val="0"/>
              <w:spacing w:line="540" w:lineRule="exact"/>
              <w:ind w:firstLine="472" w:firstLineChars="200"/>
              <w:jc w:val="left"/>
              <w:rPr>
                <w:rFonts w:eastAsia="宋体"/>
                <w:spacing w:val="-2"/>
                <w:kern w:val="16"/>
                <w:sz w:val="24"/>
              </w:rPr>
            </w:pPr>
            <w:bookmarkStart w:id="5" w:name="_Toc422900661"/>
            <w:r>
              <w:rPr>
                <w:rFonts w:eastAsia="宋体"/>
                <w:spacing w:val="-2"/>
                <w:kern w:val="16"/>
                <w:sz w:val="24"/>
              </w:rPr>
              <w:t>5）《建设项目环境影响评价技术导则 总纲》（HJ2.1-2016）；</w:t>
            </w:r>
            <w:bookmarkEnd w:id="5"/>
          </w:p>
          <w:p>
            <w:pPr>
              <w:autoSpaceDE w:val="0"/>
              <w:autoSpaceDN w:val="0"/>
              <w:adjustRightInd w:val="0"/>
              <w:spacing w:line="540" w:lineRule="exact"/>
              <w:ind w:firstLine="472" w:firstLineChars="200"/>
              <w:jc w:val="left"/>
              <w:rPr>
                <w:rFonts w:eastAsia="宋体"/>
                <w:spacing w:val="-2"/>
                <w:kern w:val="16"/>
                <w:sz w:val="24"/>
              </w:rPr>
            </w:pPr>
            <w:bookmarkStart w:id="6" w:name="_Toc422900662"/>
            <w:r>
              <w:rPr>
                <w:rFonts w:eastAsia="宋体"/>
                <w:spacing w:val="-2"/>
                <w:kern w:val="16"/>
                <w:sz w:val="24"/>
              </w:rPr>
              <w:t>6）《环境影响评价技术导则 输变电工程》（HJ24-2014）；</w:t>
            </w:r>
            <w:bookmarkEnd w:id="6"/>
          </w:p>
          <w:p>
            <w:pPr>
              <w:autoSpaceDE w:val="0"/>
              <w:autoSpaceDN w:val="0"/>
              <w:adjustRightInd w:val="0"/>
              <w:spacing w:line="540" w:lineRule="exact"/>
              <w:ind w:firstLine="472" w:firstLineChars="200"/>
              <w:jc w:val="left"/>
              <w:rPr>
                <w:rFonts w:eastAsia="宋体"/>
                <w:spacing w:val="-2"/>
                <w:kern w:val="16"/>
                <w:sz w:val="24"/>
              </w:rPr>
            </w:pPr>
            <w:bookmarkStart w:id="7" w:name="_Toc422900663"/>
            <w:r>
              <w:rPr>
                <w:rFonts w:eastAsia="宋体"/>
                <w:spacing w:val="-2"/>
                <w:kern w:val="16"/>
                <w:sz w:val="24"/>
              </w:rPr>
              <w:t>7）《环境影响评价技术导则 生态影响》（HJ19-2011）；</w:t>
            </w:r>
            <w:bookmarkEnd w:id="7"/>
          </w:p>
          <w:p>
            <w:pPr>
              <w:autoSpaceDE w:val="0"/>
              <w:autoSpaceDN w:val="0"/>
              <w:adjustRightInd w:val="0"/>
              <w:spacing w:line="540" w:lineRule="exact"/>
              <w:ind w:firstLine="472" w:firstLineChars="200"/>
              <w:jc w:val="left"/>
              <w:rPr>
                <w:rFonts w:eastAsia="宋体"/>
                <w:spacing w:val="-2"/>
                <w:kern w:val="16"/>
                <w:sz w:val="24"/>
              </w:rPr>
            </w:pPr>
            <w:bookmarkStart w:id="8" w:name="_Toc422900664"/>
            <w:r>
              <w:rPr>
                <w:rFonts w:eastAsia="宋体"/>
                <w:spacing w:val="-2"/>
                <w:kern w:val="16"/>
                <w:sz w:val="24"/>
              </w:rPr>
              <w:t>8）《环境影响评价技术导则 声环境》（HJ2.4-2009）；</w:t>
            </w:r>
            <w:bookmarkEnd w:id="8"/>
          </w:p>
          <w:p>
            <w:pPr>
              <w:autoSpaceDE w:val="0"/>
              <w:autoSpaceDN w:val="0"/>
              <w:adjustRightInd w:val="0"/>
              <w:spacing w:line="540" w:lineRule="exact"/>
              <w:ind w:firstLine="472" w:firstLineChars="200"/>
              <w:jc w:val="left"/>
              <w:rPr>
                <w:rFonts w:eastAsia="宋体"/>
                <w:spacing w:val="-2"/>
                <w:kern w:val="16"/>
                <w:sz w:val="24"/>
              </w:rPr>
            </w:pPr>
            <w:bookmarkStart w:id="9" w:name="_Toc422900665"/>
            <w:r>
              <w:rPr>
                <w:rFonts w:eastAsia="宋体"/>
                <w:spacing w:val="-2"/>
                <w:kern w:val="16"/>
                <w:sz w:val="24"/>
              </w:rPr>
              <w:t>9）</w:t>
            </w:r>
            <w:bookmarkEnd w:id="9"/>
            <w:r>
              <w:rPr>
                <w:rFonts w:eastAsia="宋体"/>
                <w:spacing w:val="-2"/>
                <w:kern w:val="16"/>
                <w:sz w:val="24"/>
              </w:rPr>
              <w:t>《建设项目环境风险评价技术导则》（HJ169-2018）；</w:t>
            </w:r>
          </w:p>
          <w:p>
            <w:pPr>
              <w:autoSpaceDE w:val="0"/>
              <w:autoSpaceDN w:val="0"/>
              <w:adjustRightInd w:val="0"/>
              <w:spacing w:line="540" w:lineRule="exact"/>
              <w:ind w:firstLine="472" w:firstLineChars="200"/>
              <w:jc w:val="left"/>
              <w:rPr>
                <w:rFonts w:eastAsia="宋体"/>
                <w:spacing w:val="-2"/>
                <w:kern w:val="16"/>
                <w:sz w:val="24"/>
              </w:rPr>
            </w:pPr>
            <w:r>
              <w:rPr>
                <w:rFonts w:eastAsia="宋体"/>
                <w:spacing w:val="-2"/>
                <w:kern w:val="16"/>
                <w:sz w:val="24"/>
              </w:rPr>
              <w:t>10）《交流输变电工程电磁环境监测方法（试行）》（HJ 681-2013）</w:t>
            </w:r>
            <w:r>
              <w:rPr>
                <w:rFonts w:hint="eastAsia" w:eastAsia="宋体"/>
                <w:spacing w:val="-2"/>
                <w:kern w:val="16"/>
                <w:sz w:val="24"/>
              </w:rPr>
              <w:t>；</w:t>
            </w:r>
          </w:p>
          <w:p>
            <w:pPr>
              <w:autoSpaceDE w:val="0"/>
              <w:autoSpaceDN w:val="0"/>
              <w:adjustRightInd w:val="0"/>
              <w:spacing w:line="540" w:lineRule="exact"/>
              <w:ind w:firstLine="472" w:firstLineChars="200"/>
              <w:jc w:val="left"/>
              <w:rPr>
                <w:rFonts w:eastAsia="宋体"/>
                <w:spacing w:val="-2"/>
                <w:kern w:val="16"/>
                <w:sz w:val="24"/>
              </w:rPr>
            </w:pPr>
            <w:r>
              <w:rPr>
                <w:rFonts w:hint="eastAsia" w:eastAsia="宋体"/>
                <w:spacing w:val="-2"/>
                <w:kern w:val="16"/>
                <w:sz w:val="24"/>
              </w:rPr>
              <w:t>12）《危险废物贮存污染控制标准》（GB 18597-2001）(2013年修改)；</w:t>
            </w:r>
          </w:p>
          <w:p>
            <w:pPr>
              <w:autoSpaceDE w:val="0"/>
              <w:autoSpaceDN w:val="0"/>
              <w:adjustRightInd w:val="0"/>
              <w:spacing w:line="540" w:lineRule="exact"/>
              <w:jc w:val="left"/>
              <w:rPr>
                <w:rFonts w:eastAsia="宋体"/>
                <w:b/>
                <w:bCs/>
                <w:sz w:val="24"/>
              </w:rPr>
            </w:pPr>
            <w:r>
              <w:rPr>
                <w:rFonts w:hint="eastAsia" w:eastAsia="宋体"/>
                <w:b/>
                <w:bCs/>
                <w:sz w:val="24"/>
              </w:rPr>
              <w:t>1.3.3行业规范</w:t>
            </w:r>
          </w:p>
          <w:p>
            <w:pPr>
              <w:autoSpaceDE w:val="0"/>
              <w:autoSpaceDN w:val="0"/>
              <w:adjustRightInd w:val="0"/>
              <w:spacing w:line="540" w:lineRule="exact"/>
              <w:ind w:firstLine="472" w:firstLineChars="200"/>
              <w:jc w:val="left"/>
              <w:rPr>
                <w:rFonts w:eastAsia="宋体"/>
                <w:spacing w:val="-2"/>
                <w:kern w:val="16"/>
                <w:sz w:val="24"/>
              </w:rPr>
            </w:pPr>
            <w:r>
              <w:rPr>
                <w:rFonts w:hint="eastAsia" w:eastAsia="宋体"/>
                <w:spacing w:val="-2"/>
                <w:kern w:val="16"/>
                <w:sz w:val="24"/>
              </w:rPr>
              <w:t>《110～750kV架空输电线路设计规范》GB50545-2010；</w:t>
            </w:r>
          </w:p>
          <w:p>
            <w:pPr>
              <w:autoSpaceDE w:val="0"/>
              <w:autoSpaceDN w:val="0"/>
              <w:adjustRightInd w:val="0"/>
              <w:spacing w:line="540" w:lineRule="exact"/>
              <w:jc w:val="left"/>
              <w:rPr>
                <w:rFonts w:eastAsia="宋体"/>
                <w:b/>
                <w:bCs/>
                <w:sz w:val="24"/>
              </w:rPr>
            </w:pPr>
            <w:r>
              <w:rPr>
                <w:rFonts w:eastAsia="宋体"/>
                <w:b/>
                <w:bCs/>
                <w:sz w:val="24"/>
              </w:rPr>
              <w:t>1.4工程概况</w:t>
            </w:r>
          </w:p>
          <w:p>
            <w:pPr>
              <w:autoSpaceDE w:val="0"/>
              <w:autoSpaceDN w:val="0"/>
              <w:adjustRightInd w:val="0"/>
              <w:spacing w:line="540" w:lineRule="exact"/>
              <w:jc w:val="left"/>
              <w:rPr>
                <w:rFonts w:eastAsia="宋体"/>
                <w:b/>
                <w:bCs/>
                <w:sz w:val="24"/>
              </w:rPr>
            </w:pPr>
            <w:r>
              <w:rPr>
                <w:rFonts w:eastAsia="宋体"/>
                <w:b/>
                <w:bCs/>
                <w:sz w:val="24"/>
              </w:rPr>
              <w:t>1.4.1项目组成和规模</w:t>
            </w:r>
          </w:p>
          <w:p>
            <w:pPr>
              <w:autoSpaceDE w:val="0"/>
              <w:autoSpaceDN w:val="0"/>
              <w:adjustRightInd w:val="0"/>
              <w:spacing w:line="520" w:lineRule="exact"/>
              <w:ind w:firstLine="480" w:firstLineChars="200"/>
              <w:jc w:val="left"/>
              <w:rPr>
                <w:rFonts w:eastAsia="宋体"/>
                <w:spacing w:val="-2"/>
                <w:kern w:val="16"/>
                <w:sz w:val="24"/>
              </w:rPr>
            </w:pPr>
            <w:r>
              <w:rPr>
                <w:rFonts w:hint="eastAsia" w:eastAsia="宋体"/>
                <w:sz w:val="24"/>
              </w:rPr>
              <w:t>中广核禹州市苌庄80MW风电场110kV升压站及送出线路工程</w:t>
            </w:r>
            <w:r>
              <w:rPr>
                <w:rFonts w:hint="eastAsia" w:eastAsia="宋体"/>
                <w:spacing w:val="-2"/>
                <w:kern w:val="16"/>
                <w:sz w:val="24"/>
              </w:rPr>
              <w:t>组成一览表</w:t>
            </w:r>
            <w:r>
              <w:rPr>
                <w:rFonts w:eastAsia="宋体"/>
                <w:spacing w:val="-2"/>
                <w:kern w:val="16"/>
                <w:sz w:val="24"/>
              </w:rPr>
              <w:t>见表</w:t>
            </w:r>
            <w:r>
              <w:rPr>
                <w:rFonts w:hint="eastAsia" w:eastAsia="宋体"/>
                <w:spacing w:val="-2"/>
                <w:kern w:val="16"/>
                <w:sz w:val="24"/>
              </w:rPr>
              <w:t>1-1。</w:t>
            </w:r>
          </w:p>
          <w:p>
            <w:pPr>
              <w:autoSpaceDE w:val="0"/>
              <w:autoSpaceDN w:val="0"/>
              <w:adjustRightInd w:val="0"/>
              <w:spacing w:line="500" w:lineRule="exact"/>
              <w:ind w:firstLine="472" w:firstLineChars="200"/>
              <w:jc w:val="left"/>
              <w:rPr>
                <w:rFonts w:eastAsia="黑体"/>
                <w:spacing w:val="-2"/>
                <w:kern w:val="16"/>
                <w:sz w:val="24"/>
              </w:rPr>
            </w:pPr>
            <w:r>
              <w:rPr>
                <w:rFonts w:hAnsi="黑体" w:eastAsia="黑体"/>
                <w:spacing w:val="-2"/>
                <w:kern w:val="16"/>
                <w:sz w:val="24"/>
              </w:rPr>
              <w:t>表</w:t>
            </w:r>
            <w:r>
              <w:rPr>
                <w:rFonts w:eastAsia="黑体"/>
                <w:spacing w:val="-2"/>
                <w:kern w:val="16"/>
                <w:sz w:val="24"/>
              </w:rPr>
              <w:t xml:space="preserve">1-1                        </w:t>
            </w:r>
            <w:r>
              <w:rPr>
                <w:rFonts w:hAnsi="黑体" w:eastAsia="黑体"/>
                <w:spacing w:val="-2"/>
                <w:kern w:val="16"/>
                <w:sz w:val="24"/>
              </w:rPr>
              <w:t>项目建设内容一览表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8"/>
              <w:gridCol w:w="1672"/>
              <w:gridCol w:w="709"/>
              <w:gridCol w:w="51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38" w:type="dxa"/>
                  <w:vAlign w:val="center"/>
                </w:tcPr>
                <w:p>
                  <w:pPr>
                    <w:autoSpaceDE w:val="0"/>
                    <w:autoSpaceDN w:val="0"/>
                    <w:adjustRightInd w:val="0"/>
                    <w:spacing w:line="360" w:lineRule="auto"/>
                    <w:jc w:val="center"/>
                    <w:rPr>
                      <w:rFonts w:eastAsia="宋体"/>
                      <w:b/>
                      <w:spacing w:val="-2"/>
                      <w:kern w:val="16"/>
                      <w:sz w:val="21"/>
                    </w:rPr>
                  </w:pPr>
                  <w:r>
                    <w:rPr>
                      <w:rFonts w:hint="eastAsia" w:eastAsia="宋体"/>
                      <w:b/>
                      <w:spacing w:val="-2"/>
                      <w:kern w:val="16"/>
                      <w:sz w:val="21"/>
                    </w:rPr>
                    <w:t>序号</w:t>
                  </w:r>
                </w:p>
              </w:tc>
              <w:tc>
                <w:tcPr>
                  <w:tcW w:w="1672" w:type="dxa"/>
                  <w:vAlign w:val="center"/>
                </w:tcPr>
                <w:p>
                  <w:pPr>
                    <w:autoSpaceDE w:val="0"/>
                    <w:autoSpaceDN w:val="0"/>
                    <w:adjustRightInd w:val="0"/>
                    <w:spacing w:line="360" w:lineRule="auto"/>
                    <w:jc w:val="center"/>
                    <w:rPr>
                      <w:rFonts w:eastAsia="宋体"/>
                      <w:b/>
                      <w:spacing w:val="-2"/>
                      <w:kern w:val="16"/>
                      <w:sz w:val="21"/>
                    </w:rPr>
                  </w:pPr>
                  <w:r>
                    <w:rPr>
                      <w:rFonts w:hint="eastAsia" w:eastAsia="宋体"/>
                      <w:b/>
                      <w:spacing w:val="-2"/>
                      <w:kern w:val="16"/>
                      <w:sz w:val="21"/>
                    </w:rPr>
                    <w:t>工程名称</w:t>
                  </w:r>
                </w:p>
              </w:tc>
              <w:tc>
                <w:tcPr>
                  <w:tcW w:w="709" w:type="dxa"/>
                  <w:vAlign w:val="center"/>
                </w:tcPr>
                <w:p>
                  <w:pPr>
                    <w:autoSpaceDE w:val="0"/>
                    <w:autoSpaceDN w:val="0"/>
                    <w:adjustRightInd w:val="0"/>
                    <w:spacing w:line="360" w:lineRule="auto"/>
                    <w:jc w:val="center"/>
                    <w:rPr>
                      <w:rFonts w:eastAsia="宋体"/>
                      <w:b/>
                      <w:spacing w:val="-2"/>
                      <w:kern w:val="16"/>
                      <w:sz w:val="21"/>
                    </w:rPr>
                  </w:pPr>
                  <w:r>
                    <w:rPr>
                      <w:rFonts w:hint="eastAsia" w:eastAsia="宋体"/>
                      <w:b/>
                      <w:spacing w:val="-2"/>
                      <w:kern w:val="16"/>
                      <w:sz w:val="21"/>
                    </w:rPr>
                    <w:t>性质</w:t>
                  </w:r>
                </w:p>
              </w:tc>
              <w:tc>
                <w:tcPr>
                  <w:tcW w:w="5187" w:type="dxa"/>
                  <w:vAlign w:val="center"/>
                </w:tcPr>
                <w:p>
                  <w:pPr>
                    <w:autoSpaceDE w:val="0"/>
                    <w:autoSpaceDN w:val="0"/>
                    <w:adjustRightInd w:val="0"/>
                    <w:spacing w:line="360" w:lineRule="auto"/>
                    <w:jc w:val="center"/>
                    <w:rPr>
                      <w:rFonts w:eastAsia="宋体"/>
                      <w:b/>
                      <w:spacing w:val="-2"/>
                      <w:kern w:val="16"/>
                      <w:sz w:val="21"/>
                    </w:rPr>
                  </w:pPr>
                  <w:r>
                    <w:rPr>
                      <w:rFonts w:hint="eastAsia" w:eastAsia="宋体"/>
                      <w:b/>
                      <w:spacing w:val="-2"/>
                      <w:kern w:val="16"/>
                      <w:sz w:val="21"/>
                    </w:rPr>
                    <w:t>建设内容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38"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1</w:t>
                  </w:r>
                </w:p>
              </w:tc>
              <w:tc>
                <w:tcPr>
                  <w:tcW w:w="1672"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升压站工程</w:t>
                  </w:r>
                </w:p>
              </w:tc>
              <w:tc>
                <w:tcPr>
                  <w:tcW w:w="709"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新建</w:t>
                  </w:r>
                </w:p>
              </w:tc>
              <w:tc>
                <w:tcPr>
                  <w:tcW w:w="5187" w:type="dxa"/>
                  <w:vAlign w:val="center"/>
                </w:tcPr>
                <w:p>
                  <w:pPr>
                    <w:wordWrap w:val="0"/>
                    <w:autoSpaceDE w:val="0"/>
                    <w:autoSpaceDN w:val="0"/>
                    <w:adjustRightInd w:val="0"/>
                    <w:spacing w:line="276" w:lineRule="auto"/>
                    <w:jc w:val="left"/>
                    <w:rPr>
                      <w:rFonts w:eastAsia="宋体"/>
                      <w:spacing w:val="-2"/>
                      <w:kern w:val="16"/>
                      <w:sz w:val="21"/>
                    </w:rPr>
                  </w:pPr>
                  <w:r>
                    <w:rPr>
                      <w:rFonts w:hint="eastAsia" w:eastAsia="宋体"/>
                      <w:spacing w:val="-2"/>
                      <w:kern w:val="16"/>
                      <w:sz w:val="21"/>
                    </w:rPr>
                    <w:t>本项目</w:t>
                  </w:r>
                  <w:r>
                    <w:rPr>
                      <w:rFonts w:eastAsia="宋体"/>
                      <w:spacing w:val="-2"/>
                      <w:kern w:val="16"/>
                      <w:sz w:val="21"/>
                    </w:rPr>
                    <w:t>站址</w:t>
                  </w:r>
                  <w:r>
                    <w:rPr>
                      <w:rFonts w:hint="eastAsia" w:eastAsia="宋体"/>
                      <w:spacing w:val="-2"/>
                      <w:kern w:val="16"/>
                      <w:sz w:val="21"/>
                    </w:rPr>
                    <w:t>位于禹州市苌庄乡、浅井镇，四周为低山丘陵。站址处地形较为平整、紧邻村路，对外交通便利，出线较为方便。占地</w:t>
                  </w:r>
                  <w:r>
                    <w:rPr>
                      <w:rFonts w:eastAsia="宋体"/>
                      <w:spacing w:val="-2"/>
                      <w:kern w:val="16"/>
                      <w:sz w:val="21"/>
                    </w:rPr>
                    <w:t>面积为</w:t>
                  </w:r>
                  <w:r>
                    <w:rPr>
                      <w:rFonts w:hint="eastAsia" w:eastAsia="宋体"/>
                      <w:spacing w:val="-2"/>
                      <w:kern w:val="16"/>
                      <w:sz w:val="21"/>
                    </w:rPr>
                    <w:t>40</w:t>
                  </w:r>
                  <w:r>
                    <w:rPr>
                      <w:rFonts w:eastAsia="宋体"/>
                      <w:spacing w:val="-2"/>
                      <w:kern w:val="16"/>
                      <w:sz w:val="21"/>
                    </w:rPr>
                    <w:t>30</w:t>
                  </w:r>
                  <w:r>
                    <w:rPr>
                      <w:rFonts w:hint="eastAsia" w:eastAsia="宋体"/>
                      <w:spacing w:val="-2"/>
                      <w:kern w:val="16"/>
                      <w:sz w:val="21"/>
                    </w:rPr>
                    <w:t>m</w:t>
                  </w:r>
                  <w:r>
                    <w:rPr>
                      <w:rFonts w:eastAsia="宋体"/>
                      <w:spacing w:val="-2"/>
                      <w:kern w:val="16"/>
                      <w:sz w:val="21"/>
                      <w:vertAlign w:val="superscript"/>
                    </w:rPr>
                    <w:t>2</w:t>
                  </w:r>
                  <w:r>
                    <w:rPr>
                      <w:rFonts w:hint="eastAsia" w:eastAsia="宋体"/>
                      <w:spacing w:val="-2"/>
                      <w:kern w:val="16"/>
                      <w:sz w:val="21"/>
                    </w:rPr>
                    <w:t>。本项目新建主变压器</w:t>
                  </w:r>
                  <w:r>
                    <w:rPr>
                      <w:rFonts w:eastAsia="宋体"/>
                      <w:spacing w:val="-2"/>
                      <w:kern w:val="16"/>
                      <w:sz w:val="21"/>
                    </w:rPr>
                    <w:t>1</w:t>
                  </w:r>
                  <w:r>
                    <w:rPr>
                      <w:rFonts w:hint="eastAsia" w:eastAsia="宋体"/>
                      <w:spacing w:val="-2"/>
                      <w:kern w:val="16"/>
                      <w:sz w:val="21"/>
                    </w:rPr>
                    <w:t>台，</w:t>
                  </w:r>
                  <w:r>
                    <w:rPr>
                      <w:rFonts w:eastAsia="宋体"/>
                      <w:spacing w:val="-2"/>
                      <w:kern w:val="16"/>
                      <w:sz w:val="21"/>
                    </w:rPr>
                    <w:t>容量</w:t>
                  </w:r>
                  <w:r>
                    <w:rPr>
                      <w:rFonts w:hint="eastAsia" w:eastAsia="宋体"/>
                      <w:spacing w:val="-2"/>
                      <w:kern w:val="16"/>
                      <w:sz w:val="21"/>
                    </w:rPr>
                    <w:t>80</w:t>
                  </w:r>
                  <w:r>
                    <w:rPr>
                      <w:rFonts w:eastAsia="宋体"/>
                      <w:spacing w:val="-2"/>
                      <w:kern w:val="16"/>
                      <w:sz w:val="21"/>
                    </w:rPr>
                    <w:t>MVA</w:t>
                  </w:r>
                  <w:r>
                    <w:rPr>
                      <w:rFonts w:hint="eastAsia" w:eastAsia="宋体"/>
                      <w:spacing w:val="-2"/>
                      <w:kern w:val="16"/>
                      <w:sz w:val="21"/>
                    </w:rPr>
                    <w:t>，</w:t>
                  </w:r>
                  <w:r>
                    <w:rPr>
                      <w:rFonts w:eastAsia="宋体"/>
                      <w:spacing w:val="-2"/>
                      <w:kern w:val="16"/>
                      <w:sz w:val="21"/>
                    </w:rPr>
                    <w:t>采用</w:t>
                  </w:r>
                  <w:r>
                    <w:rPr>
                      <w:rFonts w:hint="eastAsia" w:eastAsia="宋体"/>
                      <w:spacing w:val="-2"/>
                      <w:kern w:val="16"/>
                      <w:sz w:val="21"/>
                    </w:rPr>
                    <w:t>的110/35kV三相、双绕组、自冷型油浸式低损耗有载调压电力变压器。主变压器户外布置</w:t>
                  </w:r>
                  <w:r>
                    <w:rPr>
                      <w:rFonts w:eastAsia="宋体"/>
                      <w:spacing w:val="-2"/>
                      <w:kern w:val="16"/>
                      <w:sz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38"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2</w:t>
                  </w:r>
                </w:p>
              </w:tc>
              <w:tc>
                <w:tcPr>
                  <w:tcW w:w="1672"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110kV线路工程</w:t>
                  </w:r>
                </w:p>
              </w:tc>
              <w:tc>
                <w:tcPr>
                  <w:tcW w:w="709"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新建</w:t>
                  </w:r>
                </w:p>
              </w:tc>
              <w:tc>
                <w:tcPr>
                  <w:tcW w:w="5187" w:type="dxa"/>
                  <w:vAlign w:val="center"/>
                </w:tcPr>
                <w:p>
                  <w:pPr>
                    <w:autoSpaceDE w:val="0"/>
                    <w:autoSpaceDN w:val="0"/>
                    <w:adjustRightInd w:val="0"/>
                    <w:spacing w:line="276" w:lineRule="auto"/>
                    <w:rPr>
                      <w:rFonts w:eastAsia="宋体"/>
                      <w:spacing w:val="-2"/>
                      <w:kern w:val="16"/>
                      <w:sz w:val="21"/>
                    </w:rPr>
                  </w:pPr>
                  <w:r>
                    <w:rPr>
                      <w:rFonts w:eastAsia="宋体"/>
                      <w:spacing w:val="-2"/>
                      <w:kern w:val="16"/>
                      <w:sz w:val="21"/>
                    </w:rPr>
                    <w:t>本期110kV</w:t>
                  </w:r>
                  <w:r>
                    <w:rPr>
                      <w:rFonts w:hint="eastAsia" w:eastAsia="宋体"/>
                      <w:spacing w:val="-2"/>
                      <w:kern w:val="16"/>
                      <w:sz w:val="21"/>
                    </w:rPr>
                    <w:t>线路</w:t>
                  </w:r>
                  <w:r>
                    <w:rPr>
                      <w:rFonts w:eastAsia="宋体"/>
                      <w:spacing w:val="-2"/>
                      <w:kern w:val="16"/>
                      <w:sz w:val="21"/>
                    </w:rPr>
                    <w:t>出线1回，</w:t>
                  </w:r>
                  <w:r>
                    <w:rPr>
                      <w:rFonts w:hint="eastAsia" w:eastAsia="宋体"/>
                      <w:spacing w:val="-2"/>
                      <w:kern w:val="16"/>
                      <w:sz w:val="21"/>
                    </w:rPr>
                    <w:t>单回路架</w:t>
                  </w:r>
                  <w:r>
                    <w:rPr>
                      <w:rFonts w:hint="eastAsia" w:eastAsia="宋体"/>
                      <w:color w:val="000000" w:themeColor="text1"/>
                      <w:spacing w:val="-2"/>
                      <w:kern w:val="16"/>
                      <w:sz w:val="21"/>
                    </w:rPr>
                    <w:t>设，线路 14.56km，新</w:t>
                  </w:r>
                  <w:r>
                    <w:rPr>
                      <w:rFonts w:hint="eastAsia" w:eastAsia="宋体"/>
                      <w:spacing w:val="-2"/>
                      <w:kern w:val="16"/>
                      <w:sz w:val="21"/>
                    </w:rPr>
                    <w:t>建线路选用导线</w:t>
                  </w:r>
                  <w:r>
                    <w:rPr>
                      <w:rFonts w:eastAsia="宋体"/>
                      <w:spacing w:val="-2"/>
                      <w:kern w:val="16"/>
                      <w:sz w:val="21"/>
                    </w:rPr>
                    <w:t>JL</w:t>
                  </w:r>
                  <w:r>
                    <w:rPr>
                      <w:rFonts w:hint="eastAsia" w:eastAsia="宋体"/>
                      <w:spacing w:val="-2"/>
                      <w:kern w:val="16"/>
                      <w:sz w:val="21"/>
                    </w:rPr>
                    <w:t>/</w:t>
                  </w:r>
                  <w:r>
                    <w:rPr>
                      <w:rFonts w:eastAsia="宋体"/>
                      <w:spacing w:val="-2"/>
                      <w:kern w:val="16"/>
                      <w:sz w:val="21"/>
                    </w:rPr>
                    <w:t>G</w:t>
                  </w:r>
                  <w:r>
                    <w:rPr>
                      <w:rFonts w:hint="eastAsia" w:eastAsia="宋体"/>
                      <w:spacing w:val="-2"/>
                      <w:kern w:val="16"/>
                      <w:sz w:val="21"/>
                    </w:rPr>
                    <w:t>1A</w:t>
                  </w:r>
                  <w:r>
                    <w:rPr>
                      <w:rFonts w:eastAsia="宋体"/>
                      <w:spacing w:val="-2"/>
                      <w:kern w:val="16"/>
                      <w:sz w:val="21"/>
                    </w:rPr>
                    <w:t>-</w:t>
                  </w:r>
                  <w:r>
                    <w:rPr>
                      <w:rFonts w:hint="eastAsia" w:eastAsia="宋体"/>
                      <w:spacing w:val="-2"/>
                      <w:kern w:val="16"/>
                      <w:sz w:val="21"/>
                    </w:rPr>
                    <w:t>240/30。新建杆塔</w:t>
                  </w:r>
                  <w:r>
                    <w:rPr>
                      <w:rFonts w:hint="eastAsia" w:eastAsia="宋体"/>
                      <w:spacing w:val="-2"/>
                      <w:kern w:val="16"/>
                      <w:sz w:val="21"/>
                      <w:szCs w:val="21"/>
                    </w:rPr>
                    <w:t>51基，</w:t>
                  </w:r>
                  <w:r>
                    <w:rPr>
                      <w:rFonts w:hint="eastAsia" w:eastAsia="宋体"/>
                      <w:spacing w:val="-2"/>
                      <w:kern w:val="16"/>
                      <w:sz w:val="21"/>
                    </w:rPr>
                    <w:t>占地</w:t>
                  </w:r>
                  <w:r>
                    <w:rPr>
                      <w:rFonts w:eastAsia="宋体"/>
                      <w:spacing w:val="-2"/>
                      <w:kern w:val="16"/>
                      <w:sz w:val="21"/>
                    </w:rPr>
                    <w:t>面积为</w:t>
                  </w:r>
                  <w:r>
                    <w:rPr>
                      <w:rFonts w:hint="eastAsia" w:eastAsia="宋体"/>
                      <w:spacing w:val="-2"/>
                      <w:kern w:val="16"/>
                      <w:sz w:val="21"/>
                    </w:rPr>
                    <w:t>2550m</w:t>
                  </w:r>
                  <w:r>
                    <w:rPr>
                      <w:rFonts w:eastAsia="宋体"/>
                      <w:spacing w:val="-2"/>
                      <w:kern w:val="16"/>
                      <w:sz w:val="21"/>
                      <w:vertAlign w:val="superscript"/>
                    </w:rPr>
                    <w:t>2</w:t>
                  </w:r>
                  <w:r>
                    <w:rPr>
                      <w:rFonts w:hint="eastAsia" w:eastAsia="宋体"/>
                      <w:spacing w:val="-2"/>
                      <w:kern w:val="16"/>
                      <w:sz w:val="21"/>
                      <w:szCs w:val="21"/>
                    </w:rPr>
                    <w:t>，</w:t>
                  </w:r>
                  <w:r>
                    <w:rPr>
                      <w:rFonts w:eastAsia="宋体"/>
                      <w:spacing w:val="-2"/>
                      <w:kern w:val="16"/>
                      <w:sz w:val="21"/>
                      <w:szCs w:val="21"/>
                    </w:rPr>
                    <w:t>其中</w:t>
                  </w:r>
                  <w:r>
                    <w:rPr>
                      <w:rFonts w:hint="eastAsia" w:eastAsia="宋体"/>
                      <w:sz w:val="21"/>
                      <w:szCs w:val="21"/>
                    </w:rPr>
                    <w:t>直线塔31</w:t>
                  </w:r>
                  <w:r>
                    <w:rPr>
                      <w:rFonts w:eastAsia="宋体"/>
                      <w:sz w:val="21"/>
                      <w:szCs w:val="21"/>
                    </w:rPr>
                    <w:t>基，</w:t>
                  </w:r>
                  <w:r>
                    <w:rPr>
                      <w:rFonts w:hint="eastAsia" w:eastAsia="宋体"/>
                      <w:sz w:val="21"/>
                      <w:szCs w:val="21"/>
                    </w:rPr>
                    <w:t>转角塔18</w:t>
                  </w:r>
                  <w:r>
                    <w:rPr>
                      <w:rFonts w:eastAsia="宋体"/>
                      <w:sz w:val="21"/>
                      <w:szCs w:val="21"/>
                    </w:rPr>
                    <w:t>基</w:t>
                  </w:r>
                  <w:r>
                    <w:rPr>
                      <w:rFonts w:hint="eastAsia" w:eastAsia="宋体"/>
                      <w:sz w:val="21"/>
                      <w:szCs w:val="21"/>
                    </w:rPr>
                    <w:t>，</w:t>
                  </w:r>
                  <w:r>
                    <w:rPr>
                      <w:rFonts w:eastAsia="宋体"/>
                      <w:sz w:val="21"/>
                      <w:szCs w:val="21"/>
                    </w:rPr>
                    <w:t>终端塔</w:t>
                  </w:r>
                  <w:r>
                    <w:rPr>
                      <w:rFonts w:hint="eastAsia" w:eastAsia="宋体"/>
                      <w:sz w:val="21"/>
                      <w:szCs w:val="21"/>
                    </w:rPr>
                    <w:t>2基</w:t>
                  </w:r>
                  <w:r>
                    <w:rPr>
                      <w:rFonts w:hint="eastAsia" w:eastAsia="宋体"/>
                      <w:spacing w:val="-2"/>
                      <w:kern w:val="16"/>
                      <w:sz w:val="21"/>
                    </w:rPr>
                    <w:t>，</w:t>
                  </w:r>
                  <w:r>
                    <w:rPr>
                      <w:rFonts w:eastAsia="宋体"/>
                      <w:color w:val="000000"/>
                      <w:sz w:val="21"/>
                    </w:rPr>
                    <w:t>具体见表</w:t>
                  </w:r>
                  <w:r>
                    <w:rPr>
                      <w:rFonts w:hint="eastAsia" w:eastAsia="宋体"/>
                      <w:color w:val="000000"/>
                      <w:sz w:val="21"/>
                    </w:rPr>
                    <w:t>1-</w:t>
                  </w:r>
                  <w:r>
                    <w:rPr>
                      <w:rFonts w:eastAsia="宋体"/>
                      <w:color w:val="000000"/>
                      <w:sz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38"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3</w:t>
                  </w:r>
                </w:p>
              </w:tc>
              <w:tc>
                <w:tcPr>
                  <w:tcW w:w="1672"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间隔扩建工程</w:t>
                  </w:r>
                </w:p>
              </w:tc>
              <w:tc>
                <w:tcPr>
                  <w:tcW w:w="709" w:type="dxa"/>
                  <w:vAlign w:val="center"/>
                </w:tcPr>
                <w:p>
                  <w:pPr>
                    <w:autoSpaceDE w:val="0"/>
                    <w:autoSpaceDN w:val="0"/>
                    <w:adjustRightInd w:val="0"/>
                    <w:spacing w:line="360" w:lineRule="auto"/>
                    <w:jc w:val="center"/>
                    <w:rPr>
                      <w:rFonts w:eastAsia="宋体"/>
                      <w:spacing w:val="-2"/>
                      <w:kern w:val="16"/>
                      <w:sz w:val="21"/>
                    </w:rPr>
                  </w:pPr>
                  <w:r>
                    <w:rPr>
                      <w:rFonts w:hint="eastAsia" w:eastAsia="宋体"/>
                      <w:spacing w:val="-2"/>
                      <w:kern w:val="16"/>
                      <w:sz w:val="21"/>
                    </w:rPr>
                    <w:t>新建</w:t>
                  </w:r>
                </w:p>
              </w:tc>
              <w:tc>
                <w:tcPr>
                  <w:tcW w:w="5187" w:type="dxa"/>
                  <w:vAlign w:val="center"/>
                </w:tcPr>
                <w:p>
                  <w:pPr>
                    <w:autoSpaceDE w:val="0"/>
                    <w:autoSpaceDN w:val="0"/>
                    <w:adjustRightInd w:val="0"/>
                    <w:spacing w:line="276" w:lineRule="auto"/>
                    <w:rPr>
                      <w:rFonts w:eastAsia="宋体"/>
                      <w:spacing w:val="-2"/>
                      <w:kern w:val="16"/>
                      <w:sz w:val="21"/>
                    </w:rPr>
                  </w:pPr>
                  <w:r>
                    <w:rPr>
                      <w:rFonts w:hint="eastAsia" w:eastAsia="宋体"/>
                      <w:spacing w:val="-2"/>
                      <w:kern w:val="16"/>
                      <w:sz w:val="21"/>
                    </w:rPr>
                    <w:t>本项目以1回110kV架空线路接至110kV月湾变，并在月湾变扩建一个间隔，不新增占地。</w:t>
                  </w:r>
                </w:p>
              </w:tc>
            </w:tr>
          </w:tbl>
          <w:p>
            <w:pPr>
              <w:autoSpaceDE w:val="0"/>
              <w:autoSpaceDN w:val="0"/>
              <w:adjustRightInd w:val="0"/>
              <w:spacing w:line="520" w:lineRule="exact"/>
              <w:jc w:val="left"/>
              <w:rPr>
                <w:rFonts w:eastAsia="宋体"/>
                <w:b/>
                <w:bCs/>
                <w:sz w:val="24"/>
              </w:rPr>
            </w:pPr>
            <w:r>
              <w:rPr>
                <w:rFonts w:eastAsia="宋体"/>
                <w:b/>
                <w:bCs/>
                <w:sz w:val="24"/>
              </w:rPr>
              <w:t>1.4.2新建110kV升压站工程</w:t>
            </w:r>
          </w:p>
          <w:p>
            <w:pPr>
              <w:autoSpaceDE w:val="0"/>
              <w:autoSpaceDN w:val="0"/>
              <w:adjustRightInd w:val="0"/>
              <w:spacing w:line="520" w:lineRule="exact"/>
              <w:rPr>
                <w:rFonts w:eastAsia="宋体"/>
                <w:spacing w:val="-2"/>
                <w:kern w:val="16"/>
                <w:sz w:val="24"/>
              </w:rPr>
            </w:pPr>
            <w:r>
              <w:rPr>
                <w:rFonts w:eastAsia="宋体"/>
                <w:b/>
                <w:bCs/>
                <w:sz w:val="24"/>
              </w:rPr>
              <w:t>1.4.2.1站址概况</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升压站站址位于河南省禹州市苌庄乡、浅井镇，升压站在风电场的南部位置，四周为低山丘陵。站址处地形较为平整，对外交通便利，出线较为方便。站址征地采用一次性征地，站内公共设施、主构筑物与建筑物以及电气设备本期全部建成。</w:t>
            </w:r>
            <w:r>
              <w:rPr>
                <w:rFonts w:hint="eastAsia" w:eastAsia="宋体"/>
                <w:sz w:val="24"/>
              </w:rPr>
              <w:t>中广核禹州市苌庄80MW风电场110kV升压站及送出线路工程</w:t>
            </w:r>
            <w:r>
              <w:rPr>
                <w:rFonts w:eastAsia="宋体"/>
                <w:spacing w:val="-2"/>
                <w:kern w:val="16"/>
                <w:sz w:val="24"/>
              </w:rPr>
              <w:t>地理位置</w:t>
            </w:r>
            <w:r>
              <w:rPr>
                <w:rFonts w:hint="eastAsia" w:eastAsia="宋体"/>
                <w:spacing w:val="-2"/>
                <w:kern w:val="16"/>
                <w:sz w:val="24"/>
              </w:rPr>
              <w:t>图</w:t>
            </w:r>
            <w:r>
              <w:rPr>
                <w:rFonts w:eastAsia="宋体"/>
                <w:spacing w:val="-2"/>
                <w:kern w:val="16"/>
                <w:sz w:val="24"/>
              </w:rPr>
              <w:t>见附图1。</w:t>
            </w:r>
          </w:p>
          <w:p>
            <w:pPr>
              <w:autoSpaceDE w:val="0"/>
              <w:autoSpaceDN w:val="0"/>
              <w:adjustRightInd w:val="0"/>
              <w:spacing w:line="520" w:lineRule="exact"/>
              <w:jc w:val="left"/>
              <w:rPr>
                <w:rFonts w:eastAsia="宋体"/>
                <w:b/>
                <w:bCs/>
                <w:sz w:val="24"/>
              </w:rPr>
            </w:pPr>
            <w:r>
              <w:rPr>
                <w:rFonts w:eastAsia="宋体"/>
                <w:b/>
                <w:bCs/>
                <w:sz w:val="24"/>
              </w:rPr>
              <w:t>1.4.2.2站址选择的合理性分析</w:t>
            </w:r>
          </w:p>
          <w:p>
            <w:pPr>
              <w:pStyle w:val="22"/>
              <w:spacing w:line="520" w:lineRule="exact"/>
              <w:ind w:firstLine="472" w:firstLineChars="200"/>
              <w:jc w:val="both"/>
            </w:pPr>
            <w:r>
              <w:rPr>
                <w:spacing w:val="-2"/>
                <w:kern w:val="16"/>
              </w:rPr>
              <w:t>110kV升压站站址所在地附近评价范围内均无生态类环境敏感区，尽量避让了居民密集区，升压站位于</w:t>
            </w:r>
            <w:r>
              <w:rPr>
                <w:rFonts w:hint="eastAsia"/>
                <w:spacing w:val="-2"/>
                <w:kern w:val="16"/>
              </w:rPr>
              <w:t>河南省禹州市</w:t>
            </w:r>
            <w:r>
              <w:rPr>
                <w:rFonts w:hint="eastAsia"/>
                <w:color w:val="auto"/>
                <w:spacing w:val="-2"/>
                <w:kern w:val="16"/>
              </w:rPr>
              <w:t>苌庄乡、浅井镇</w:t>
            </w:r>
            <w:r>
              <w:rPr>
                <w:spacing w:val="-2"/>
                <w:kern w:val="16"/>
              </w:rPr>
              <w:t>。</w:t>
            </w:r>
            <w:r>
              <w:rPr>
                <w:rFonts w:hint="eastAsia"/>
                <w:spacing w:val="-2"/>
                <w:kern w:val="16"/>
              </w:rPr>
              <w:t>站址所在地为低山丘陵区，海拔高度为526m</w:t>
            </w:r>
            <w:r>
              <w:rPr>
                <w:rFonts w:hint="eastAsia"/>
              </w:rPr>
              <w:t>，</w:t>
            </w:r>
            <w:r>
              <w:rPr>
                <w:spacing w:val="-2"/>
                <w:kern w:val="16"/>
              </w:rPr>
              <w:t>升压站四周均为</w:t>
            </w:r>
            <w:r>
              <w:rPr>
                <w:rFonts w:hint="eastAsia"/>
                <w:spacing w:val="-2"/>
                <w:kern w:val="16"/>
              </w:rPr>
              <w:t>低山丘陵，</w:t>
            </w:r>
            <w:r>
              <w:rPr>
                <w:spacing w:val="-2"/>
                <w:kern w:val="16"/>
              </w:rPr>
              <w:t>附近评价范围内均无生态类环境敏感区，</w:t>
            </w:r>
            <w:r>
              <w:rPr>
                <w:rFonts w:hint="eastAsia"/>
                <w:spacing w:val="-2"/>
                <w:kern w:val="16"/>
              </w:rPr>
              <w:t>且</w:t>
            </w:r>
            <w:r>
              <w:rPr>
                <w:spacing w:val="-2"/>
                <w:kern w:val="16"/>
              </w:rPr>
              <w:t>避让了居民密集区</w:t>
            </w:r>
            <w:r>
              <w:rPr>
                <w:rFonts w:hint="eastAsia"/>
                <w:spacing w:val="-2"/>
                <w:kern w:val="16"/>
              </w:rPr>
              <w:t>。</w:t>
            </w:r>
            <w:r>
              <w:t>本次规划线路塔基位于丘陵、农田，尽量避开了居民区。本项目土地性质为建设用地，本工程站址所在风电场已取得当地规划部门同意，</w:t>
            </w:r>
            <w:r>
              <w:rPr>
                <w:rFonts w:hint="eastAsia"/>
              </w:rPr>
              <w:t>许昌市</w:t>
            </w:r>
            <w:r>
              <w:t>国土资源局关于本项目所在风电场的土地预审意见附件5。因此，从环境保护角度，本项目站址是合理可行的。</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1.4.2.3总平面布置</w:t>
            </w:r>
          </w:p>
          <w:p>
            <w:pPr>
              <w:autoSpaceDE w:val="0"/>
              <w:autoSpaceDN w:val="0"/>
              <w:adjustRightInd w:val="0"/>
              <w:spacing w:line="520" w:lineRule="exact"/>
              <w:ind w:firstLine="472" w:firstLineChars="200"/>
              <w:rPr>
                <w:rFonts w:hAnsi="宋体" w:eastAsia="宋体"/>
                <w:spacing w:val="-2"/>
                <w:kern w:val="16"/>
                <w:sz w:val="24"/>
              </w:rPr>
            </w:pPr>
            <w:r>
              <w:rPr>
                <w:rFonts w:hAnsi="宋体" w:eastAsia="宋体"/>
                <w:spacing w:val="-2"/>
                <w:kern w:val="16"/>
                <w:sz w:val="24"/>
              </w:rPr>
              <w:t>本项目</w:t>
            </w:r>
            <w:r>
              <w:rPr>
                <w:rFonts w:eastAsia="宋体"/>
                <w:spacing w:val="-2"/>
                <w:kern w:val="16"/>
                <w:sz w:val="24"/>
              </w:rPr>
              <w:t>110kV</w:t>
            </w:r>
            <w:r>
              <w:rPr>
                <w:rFonts w:hAnsi="宋体" w:eastAsia="宋体"/>
                <w:spacing w:val="-2"/>
                <w:kern w:val="16"/>
                <w:sz w:val="24"/>
              </w:rPr>
              <w:t>主变压器及配电装置采用户外布置；围墙</w:t>
            </w:r>
            <w:r>
              <w:rPr>
                <w:rFonts w:hint="eastAsia" w:hAnsi="宋体" w:eastAsia="宋体"/>
                <w:spacing w:val="-2"/>
                <w:kern w:val="16"/>
                <w:sz w:val="24"/>
              </w:rPr>
              <w:t>内布置</w:t>
            </w:r>
            <w:r>
              <w:rPr>
                <w:rFonts w:hAnsi="宋体" w:eastAsia="宋体"/>
                <w:spacing w:val="-2"/>
                <w:kern w:val="16"/>
                <w:sz w:val="24"/>
              </w:rPr>
              <w:t>尺寸</w:t>
            </w:r>
            <w:r>
              <w:rPr>
                <w:rFonts w:hint="eastAsia" w:hAnsi="宋体" w:eastAsia="宋体"/>
                <w:spacing w:val="-2"/>
                <w:kern w:val="16"/>
                <w:sz w:val="24"/>
              </w:rPr>
              <w:t>65</w:t>
            </w:r>
            <w:r>
              <w:rPr>
                <w:rFonts w:hAnsi="宋体" w:eastAsia="宋体"/>
                <w:spacing w:val="-2"/>
                <w:kern w:val="16"/>
                <w:sz w:val="24"/>
              </w:rPr>
              <w:t>m×</w:t>
            </w:r>
            <w:r>
              <w:rPr>
                <w:rFonts w:hint="eastAsia" w:hAnsi="宋体" w:eastAsia="宋体"/>
                <w:spacing w:val="-2"/>
                <w:kern w:val="16"/>
                <w:sz w:val="24"/>
              </w:rPr>
              <w:t>62</w:t>
            </w:r>
            <w:r>
              <w:rPr>
                <w:rFonts w:hAnsi="宋体" w:eastAsia="宋体"/>
                <w:spacing w:val="-2"/>
                <w:kern w:val="16"/>
                <w:sz w:val="24"/>
              </w:rPr>
              <w:t>m</w:t>
            </w:r>
            <w:r>
              <w:rPr>
                <w:rFonts w:hint="eastAsia" w:hAnsi="宋体" w:eastAsia="宋体"/>
                <w:spacing w:val="-2"/>
                <w:kern w:val="16"/>
                <w:sz w:val="24"/>
              </w:rPr>
              <w:t>，站区</w:t>
            </w:r>
            <w:r>
              <w:rPr>
                <w:rFonts w:hAnsi="宋体" w:eastAsia="宋体"/>
                <w:spacing w:val="-2"/>
                <w:kern w:val="16"/>
                <w:sz w:val="24"/>
              </w:rPr>
              <w:t>主入口位于</w:t>
            </w:r>
            <w:r>
              <w:rPr>
                <w:rFonts w:hint="eastAsia" w:hAnsi="宋体" w:eastAsia="宋体"/>
                <w:spacing w:val="-2"/>
                <w:kern w:val="16"/>
                <w:sz w:val="24"/>
              </w:rPr>
              <w:t>西北角。</w:t>
            </w:r>
            <w:r>
              <w:rPr>
                <w:rFonts w:eastAsia="宋体"/>
                <w:spacing w:val="-2"/>
                <w:kern w:val="16"/>
                <w:sz w:val="24"/>
              </w:rPr>
              <w:t>110kV</w:t>
            </w:r>
            <w:r>
              <w:rPr>
                <w:rFonts w:hAnsi="宋体" w:eastAsia="宋体"/>
                <w:spacing w:val="-2"/>
                <w:kern w:val="16"/>
                <w:sz w:val="24"/>
              </w:rPr>
              <w:t>线路从站区</w:t>
            </w:r>
            <w:r>
              <w:rPr>
                <w:rFonts w:hint="eastAsia" w:hAnsi="宋体" w:eastAsia="宋体"/>
                <w:spacing w:val="-2"/>
                <w:kern w:val="16"/>
                <w:sz w:val="24"/>
              </w:rPr>
              <w:t>东</w:t>
            </w:r>
            <w:r>
              <w:rPr>
                <w:rFonts w:hAnsi="宋体" w:eastAsia="宋体"/>
                <w:spacing w:val="-2"/>
                <w:kern w:val="16"/>
                <w:sz w:val="24"/>
              </w:rPr>
              <w:t>侧出线；</w:t>
            </w:r>
            <w:r>
              <w:rPr>
                <w:rFonts w:eastAsia="宋体"/>
                <w:spacing w:val="-2"/>
                <w:kern w:val="16"/>
                <w:sz w:val="24"/>
              </w:rPr>
              <w:t>110kV</w:t>
            </w:r>
            <w:r>
              <w:rPr>
                <w:rFonts w:hAnsi="宋体" w:eastAsia="宋体"/>
                <w:spacing w:val="-2"/>
                <w:kern w:val="16"/>
                <w:sz w:val="24"/>
              </w:rPr>
              <w:t>配电装置位于站区西侧，其北侧为主变压器，</w:t>
            </w:r>
            <w:r>
              <w:rPr>
                <w:rFonts w:hint="eastAsia" w:hAnsi="宋体" w:eastAsia="宋体"/>
                <w:spacing w:val="-2"/>
                <w:kern w:val="16"/>
                <w:sz w:val="24"/>
              </w:rPr>
              <w:t>生产楼位于</w:t>
            </w:r>
            <w:r>
              <w:rPr>
                <w:rFonts w:hAnsi="宋体" w:eastAsia="宋体"/>
                <w:spacing w:val="-2"/>
                <w:kern w:val="16"/>
                <w:sz w:val="24"/>
              </w:rPr>
              <w:t>配电装置</w:t>
            </w:r>
            <w:r>
              <w:rPr>
                <w:rFonts w:hint="eastAsia" w:hAnsi="宋体" w:eastAsia="宋体"/>
                <w:spacing w:val="-2"/>
                <w:kern w:val="16"/>
                <w:sz w:val="24"/>
              </w:rPr>
              <w:t>西侧，生活楼、附属用房位于站区南侧，</w:t>
            </w:r>
            <w:r>
              <w:rPr>
                <w:rFonts w:hAnsi="宋体" w:eastAsia="宋体"/>
                <w:spacing w:val="-2"/>
                <w:kern w:val="16"/>
                <w:sz w:val="24"/>
              </w:rPr>
              <w:t>本项目升压站四周均为</w:t>
            </w:r>
            <w:r>
              <w:rPr>
                <w:rFonts w:hint="eastAsia" w:hAnsi="宋体" w:eastAsia="宋体"/>
                <w:spacing w:val="-2"/>
                <w:kern w:val="16"/>
                <w:sz w:val="24"/>
              </w:rPr>
              <w:t>低山丘陵</w:t>
            </w:r>
            <w:r>
              <w:rPr>
                <w:rFonts w:hAnsi="宋体" w:eastAsia="宋体"/>
                <w:spacing w:val="-2"/>
                <w:kern w:val="16"/>
                <w:sz w:val="24"/>
              </w:rPr>
              <w:t>，评价范围内无环境敏感目标，升压站对周围环境影响较小。站区总平面布置见图</w:t>
            </w:r>
            <w:r>
              <w:rPr>
                <w:rFonts w:eastAsia="宋体"/>
                <w:spacing w:val="-2"/>
                <w:kern w:val="16"/>
                <w:sz w:val="24"/>
              </w:rPr>
              <w:t>1-1</w:t>
            </w:r>
            <w:r>
              <w:rPr>
                <w:rFonts w:hAnsi="宋体" w:eastAsia="宋体"/>
                <w:spacing w:val="-2"/>
                <w:kern w:val="16"/>
                <w:sz w:val="24"/>
              </w:rPr>
              <w:t>。</w:t>
            </w:r>
          </w:p>
          <w:p>
            <w:pPr>
              <w:spacing w:line="520" w:lineRule="exact"/>
              <w:rPr>
                <w:rFonts w:ascii="黑体" w:hAnsi="黑体" w:eastAsia="黑体"/>
                <w:bCs/>
                <w:snapToGrid w:val="0"/>
                <w:kern w:val="52"/>
                <w:szCs w:val="28"/>
              </w:rPr>
            </w:pPr>
            <w:r>
              <w:rPr>
                <w:rFonts w:eastAsia="宋体"/>
                <w:b/>
                <w:spacing w:val="-2"/>
                <w:kern w:val="16"/>
                <w:sz w:val="24"/>
              </w:rPr>
              <w:pict>
                <v:shape id="文本框 1831" o:spid="_x0000_s2061" o:spt="202" type="#_x0000_t202" style="position:absolute;left:0pt;margin-left:385.3pt;margin-top:11.95pt;height:24.45pt;width:25.75pt;z-index:251652096;mso-width-relative:page;mso-height-relative:page;" filled="f" stroked="f" coordsize="21600,21600">
                  <v:path/>
                  <v:fill on="f" focussize="0,0"/>
                  <v:stroke on="f" joinstyle="miter"/>
                  <v:imagedata o:title=""/>
                  <o:lock v:ext="edit"/>
                  <v:textbox>
                    <w:txbxContent>
                      <w:p>
                        <w:pPr>
                          <w:rPr>
                            <w:b/>
                            <w:color w:val="FF0000"/>
                            <w:sz w:val="24"/>
                          </w:rPr>
                        </w:pPr>
                        <w:r>
                          <w:rPr>
                            <w:rFonts w:hint="eastAsia"/>
                            <w:b/>
                            <w:color w:val="FF0000"/>
                            <w:sz w:val="24"/>
                            <w:highlight w:val="yellow"/>
                          </w:rPr>
                          <w:t>北</w:t>
                        </w:r>
                      </w:p>
                    </w:txbxContent>
                  </v:textbox>
                </v:shape>
              </w:pict>
            </w:r>
            <w:r>
              <w:rPr>
                <w:rFonts w:eastAsia="宋体"/>
                <w:b/>
                <w:color w:val="FF0000"/>
                <w:spacing w:val="-2"/>
                <w:kern w:val="16"/>
                <w:sz w:val="24"/>
              </w:rPr>
              <w:pict>
                <v:shape id="_x0000_s2065" o:spid="_x0000_s2065" o:spt="68" type="#_x0000_t68" style="position:absolute;left:0pt;margin-left:380.85pt;margin-top:0.75pt;height:30.8pt;width:11.55pt;z-index:251656192;mso-width-relative:page;mso-height-relative:page;" fillcolor="#FFFF00" filled="t" stroked="t" coordsize="21600,21600">
                  <v:path/>
                  <v:fill on="t" focussize="0,0"/>
                  <v:stroke color="#FF0000" joinstyle="miter"/>
                  <v:imagedata o:title=""/>
                  <o:lock v:ext="edit"/>
                  <v:textbox style="layout-flow:vertical-ideographic;">
                    <w:txbxContent>
                      <w:p/>
                    </w:txbxContent>
                  </v:textbox>
                </v:shape>
              </w:pict>
            </w:r>
            <w:r>
              <w:drawing>
                <wp:anchor distT="0" distB="0" distL="114300" distR="114300" simplePos="0" relativeHeight="251645952" behindDoc="0" locked="0" layoutInCell="1" allowOverlap="1">
                  <wp:simplePos x="0" y="0"/>
                  <wp:positionH relativeFrom="column">
                    <wp:posOffset>66040</wp:posOffset>
                  </wp:positionH>
                  <wp:positionV relativeFrom="paragraph">
                    <wp:posOffset>13970</wp:posOffset>
                  </wp:positionV>
                  <wp:extent cx="5156200" cy="4716145"/>
                  <wp:effectExtent l="19050" t="19050" r="25400" b="27305"/>
                  <wp:wrapNone/>
                  <wp:docPr id="7" name="图片 7" descr="bdc4b233662869cc91e1047e7a22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dc4b233662869cc91e1047e7a2213a"/>
                          <pic:cNvPicPr>
                            <a:picLocks noChangeAspect="1" noChangeArrowheads="1"/>
                          </pic:cNvPicPr>
                        </pic:nvPicPr>
                        <pic:blipFill>
                          <a:blip r:embed="rId5" cstate="print"/>
                          <a:srcRect r="1468"/>
                          <a:stretch>
                            <a:fillRect/>
                          </a:stretch>
                        </pic:blipFill>
                        <pic:spPr>
                          <a:xfrm>
                            <a:off x="0" y="0"/>
                            <a:ext cx="5156200" cy="4716145"/>
                          </a:xfrm>
                          <a:prstGeom prst="rect">
                            <a:avLst/>
                          </a:prstGeom>
                          <a:noFill/>
                          <a:ln w="9525">
                            <a:solidFill>
                              <a:srgbClr val="000000"/>
                            </a:solidFill>
                            <a:miter lim="800000"/>
                            <a:headEnd/>
                            <a:tailEnd/>
                          </a:ln>
                        </pic:spPr>
                      </pic:pic>
                    </a:graphicData>
                  </a:graphic>
                </wp:anchor>
              </w:drawing>
            </w:r>
            <w:r>
              <w:drawing>
                <wp:anchor distT="0" distB="0" distL="114300" distR="114300" simplePos="0" relativeHeight="251644928" behindDoc="0" locked="0" layoutInCell="1" allowOverlap="1">
                  <wp:simplePos x="0" y="0"/>
                  <wp:positionH relativeFrom="column">
                    <wp:align>center</wp:align>
                  </wp:positionH>
                  <wp:positionV relativeFrom="paragraph">
                    <wp:posOffset>-17378045</wp:posOffset>
                  </wp:positionV>
                  <wp:extent cx="3675380" cy="3599815"/>
                  <wp:effectExtent l="19050" t="0" r="1270" b="0"/>
                  <wp:wrapNone/>
                  <wp:docPr id="4" name="图片 4" descr="59ddb0d6fdc8bf2c2dea75f0df0e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ddb0d6fdc8bf2c2dea75f0df0e7ff"/>
                          <pic:cNvPicPr>
                            <a:picLocks noChangeAspect="1" noChangeArrowheads="1"/>
                          </pic:cNvPicPr>
                        </pic:nvPicPr>
                        <pic:blipFill>
                          <a:blip r:embed="rId6" cstate="print"/>
                          <a:srcRect/>
                          <a:stretch>
                            <a:fillRect/>
                          </a:stretch>
                        </pic:blipFill>
                        <pic:spPr>
                          <a:xfrm>
                            <a:off x="0" y="0"/>
                            <a:ext cx="3675380" cy="3599815"/>
                          </a:xfrm>
                          <a:prstGeom prst="rect">
                            <a:avLst/>
                          </a:prstGeom>
                          <a:noFill/>
                          <a:ln w="9525">
                            <a:noFill/>
                            <a:miter lim="800000"/>
                            <a:headEnd/>
                            <a:tailEnd/>
                          </a:ln>
                        </pic:spPr>
                      </pic:pic>
                    </a:graphicData>
                  </a:graphic>
                </wp:anchor>
              </w:drawing>
            </w:r>
          </w:p>
          <w:p>
            <w:pPr>
              <w:spacing w:line="520" w:lineRule="exact"/>
              <w:rPr>
                <w:rFonts w:ascii="黑体" w:hAnsi="黑体" w:eastAsia="黑体"/>
                <w:bCs/>
                <w:snapToGrid w:val="0"/>
                <w:kern w:val="52"/>
                <w:szCs w:val="28"/>
              </w:rPr>
            </w:pPr>
          </w:p>
          <w:p>
            <w:pPr>
              <w:spacing w:line="520" w:lineRule="exact"/>
              <w:rPr>
                <w:rFonts w:ascii="黑体" w:hAnsi="黑体" w:eastAsia="黑体"/>
                <w:bCs/>
                <w:snapToGrid w:val="0"/>
                <w:kern w:val="52"/>
                <w:szCs w:val="28"/>
              </w:rPr>
            </w:pPr>
          </w:p>
          <w:p>
            <w:pPr>
              <w:spacing w:line="520" w:lineRule="exact"/>
              <w:rPr>
                <w:rFonts w:ascii="黑体" w:hAnsi="黑体" w:eastAsia="黑体"/>
                <w:bCs/>
                <w:snapToGrid w:val="0"/>
                <w:kern w:val="52"/>
                <w:szCs w:val="28"/>
              </w:rPr>
            </w:pPr>
            <w:r>
              <w:rPr>
                <w:rFonts w:eastAsia="宋体"/>
                <w:b/>
                <w:spacing w:val="-2"/>
                <w:kern w:val="16"/>
                <w:sz w:val="24"/>
              </w:rPr>
              <w:pict>
                <v:shape id="_x0000_s2064" o:spid="_x0000_s2064" o:spt="202" type="#_x0000_t202" style="position:absolute;left:0pt;margin-left:185.85pt;margin-top:6.75pt;height:59.7pt;width:44.3pt;z-index:251655168;mso-width-relative:page;mso-height-relative:page;" filled="f" stroked="f" coordsize="21600,21600">
                  <v:path/>
                  <v:fill on="f" focussize="0,0"/>
                  <v:stroke on="f" joinstyle="miter"/>
                  <v:imagedata o:title=""/>
                  <o:lock v:ext="edit"/>
                  <v:textbox>
                    <w:txbxContent>
                      <w:p>
                        <w:pPr>
                          <w:rPr>
                            <w:b/>
                            <w:color w:val="FF0000"/>
                            <w:sz w:val="24"/>
                          </w:rPr>
                        </w:pPr>
                        <w:r>
                          <w:rPr>
                            <w:rFonts w:hint="eastAsia"/>
                            <w:b/>
                            <w:color w:val="FF0000"/>
                            <w:sz w:val="24"/>
                            <w:highlight w:val="yellow"/>
                          </w:rPr>
                          <w:t>3</w:t>
                        </w:r>
                        <w:r>
                          <w:rPr>
                            <w:b/>
                            <w:color w:val="FF0000"/>
                            <w:sz w:val="24"/>
                            <w:highlight w:val="yellow"/>
                          </w:rPr>
                          <w:t>5kV配电室</w:t>
                        </w:r>
                      </w:p>
                    </w:txbxContent>
                  </v:textbox>
                </v:shape>
              </w:pict>
            </w:r>
            <w:r>
              <w:rPr>
                <w:rFonts w:eastAsia="宋体"/>
                <w:b/>
                <w:spacing w:val="-2"/>
                <w:kern w:val="16"/>
                <w:sz w:val="24"/>
              </w:rPr>
              <w:pict>
                <v:shape id="文本框 1428" o:spid="_x0000_s2059" o:spt="202" type="#_x0000_t202" style="position:absolute;left:0pt;margin-left:222.15pt;margin-top:24.65pt;height:24.45pt;width:49.9pt;z-index:251650048;mso-width-relative:page;mso-height-relative:page;" filled="f" stroked="f" coordsize="21600,21600">
                  <v:path/>
                  <v:fill on="f" focussize="0,0"/>
                  <v:stroke on="f" joinstyle="miter"/>
                  <v:imagedata o:title=""/>
                  <o:lock v:ext="edit"/>
                  <v:textbox>
                    <w:txbxContent>
                      <w:p>
                        <w:pPr>
                          <w:rPr>
                            <w:b/>
                            <w:color w:val="FF0000"/>
                            <w:sz w:val="24"/>
                            <w:highlight w:val="yellow"/>
                          </w:rPr>
                        </w:pPr>
                        <w:r>
                          <w:rPr>
                            <w:b/>
                            <w:color w:val="FF0000"/>
                            <w:sz w:val="24"/>
                            <w:highlight w:val="yellow"/>
                          </w:rPr>
                          <w:t>主变</w:t>
                        </w:r>
                      </w:p>
                    </w:txbxContent>
                  </v:textbox>
                </v:shape>
              </w:pict>
            </w:r>
            <w:r>
              <w:rPr>
                <w:rFonts w:eastAsia="宋体"/>
                <w:b/>
                <w:spacing w:val="-2"/>
                <w:kern w:val="16"/>
                <w:sz w:val="24"/>
              </w:rPr>
              <w:pict>
                <v:shape id="文本框 2273" o:spid="_x0000_s2062" o:spt="202" type="#_x0000_t202" style="position:absolute;left:0pt;margin-left:284.1pt;margin-top:7.45pt;height:27.45pt;width:68.1pt;z-index:251653120;mso-width-relative:page;mso-height-relative:page;" filled="f" stroked="f" coordsize="21600,21600">
                  <v:path/>
                  <v:fill on="f" focussize="0,0"/>
                  <v:stroke on="f" joinstyle="miter"/>
                  <v:imagedata o:title=""/>
                  <o:lock v:ext="edit"/>
                  <v:textbox>
                    <w:txbxContent>
                      <w:p>
                        <w:pPr>
                          <w:rPr>
                            <w:b/>
                            <w:color w:val="FF0000"/>
                            <w:sz w:val="24"/>
                            <w:highlight w:val="yellow"/>
                          </w:rPr>
                        </w:pPr>
                        <w:r>
                          <w:rPr>
                            <w:b/>
                            <w:color w:val="FF0000"/>
                            <w:sz w:val="24"/>
                            <w:highlight w:val="yellow"/>
                          </w:rPr>
                          <w:t>事故油池</w:t>
                        </w:r>
                      </w:p>
                    </w:txbxContent>
                  </v:textbox>
                </v:shape>
              </w:pict>
            </w:r>
          </w:p>
          <w:p>
            <w:pPr>
              <w:spacing w:line="520" w:lineRule="exact"/>
              <w:rPr>
                <w:rFonts w:ascii="黑体" w:hAnsi="黑体" w:eastAsia="黑体"/>
                <w:bCs/>
                <w:snapToGrid w:val="0"/>
                <w:kern w:val="52"/>
                <w:szCs w:val="28"/>
              </w:rPr>
            </w:pPr>
            <w:r>
              <w:rPr>
                <w:rFonts w:eastAsia="宋体"/>
                <w:b/>
                <w:spacing w:val="-2"/>
                <w:kern w:val="16"/>
                <w:sz w:val="24"/>
              </w:rPr>
              <w:pict>
                <v:shape id="文本框 1830" o:spid="_x0000_s2060" o:spt="202" type="#_x0000_t202" style="position:absolute;left:0pt;margin-left:306.05pt;margin-top:23.45pt;height:24.45pt;width:86.5pt;z-index:251651072;mso-width-relative:page;mso-height-relative:page;" filled="f" stroked="f" coordsize="21600,21600">
                  <v:path/>
                  <v:fill on="f" focussize="0,0"/>
                  <v:stroke on="f" joinstyle="miter"/>
                  <v:imagedata o:title=""/>
                  <o:lock v:ext="edit"/>
                  <v:textbox>
                    <w:txbxContent>
                      <w:p>
                        <w:pPr>
                          <w:rPr>
                            <w:b/>
                            <w:color w:val="FF0000"/>
                            <w:sz w:val="24"/>
                            <w:highlight w:val="yellow"/>
                          </w:rPr>
                        </w:pPr>
                        <w:r>
                          <w:rPr>
                            <w:rFonts w:hint="eastAsia"/>
                            <w:b/>
                            <w:color w:val="FF0000"/>
                            <w:sz w:val="24"/>
                            <w:highlight w:val="yellow"/>
                          </w:rPr>
                          <w:t>110kV出线</w:t>
                        </w:r>
                      </w:p>
                    </w:txbxContent>
                  </v:textbox>
                </v:shape>
              </w:pict>
            </w:r>
          </w:p>
          <w:p>
            <w:pPr>
              <w:spacing w:line="520" w:lineRule="exact"/>
              <w:rPr>
                <w:rFonts w:ascii="黑体" w:hAnsi="黑体" w:eastAsia="黑体"/>
                <w:bCs/>
                <w:snapToGrid w:val="0"/>
                <w:kern w:val="52"/>
                <w:szCs w:val="28"/>
              </w:rPr>
            </w:pPr>
            <w:r>
              <w:rPr>
                <w:rFonts w:eastAsia="宋体"/>
                <w:b/>
                <w:spacing w:val="-2"/>
                <w:kern w:val="16"/>
                <w:sz w:val="24"/>
              </w:rPr>
              <w:pict>
                <v:shape id="文本框 1422" o:spid="_x0000_s2057" o:spt="202" type="#_x0000_t202" style="position:absolute;left:0pt;margin-left:133.9pt;margin-top:8.1pt;height:34.4pt;width:70.85pt;z-index:251648000;mso-width-relative:page;mso-height-relative:page;" filled="f" stroked="f" coordsize="21600,21600">
                  <v:path/>
                  <v:fill on="f" focussize="0,0"/>
                  <v:stroke on="f" joinstyle="miter"/>
                  <v:imagedata o:title=""/>
                  <o:lock v:ext="edit"/>
                  <v:textbox>
                    <w:txbxContent>
                      <w:p>
                        <w:pPr>
                          <w:rPr>
                            <w:b/>
                            <w:color w:val="FF0000"/>
                            <w:sz w:val="24"/>
                            <w:highlight w:val="yellow"/>
                          </w:rPr>
                        </w:pPr>
                        <w:r>
                          <w:rPr>
                            <w:rFonts w:hint="eastAsia"/>
                            <w:b/>
                            <w:color w:val="FF0000"/>
                            <w:sz w:val="24"/>
                            <w:highlight w:val="yellow"/>
                          </w:rPr>
                          <w:t>生产楼</w:t>
                        </w:r>
                      </w:p>
                    </w:txbxContent>
                  </v:textbox>
                </v:shape>
              </w:pict>
            </w:r>
          </w:p>
          <w:p>
            <w:pPr>
              <w:spacing w:line="520" w:lineRule="exact"/>
              <w:rPr>
                <w:rFonts w:ascii="黑体" w:hAnsi="黑体" w:eastAsia="黑体"/>
                <w:bCs/>
                <w:snapToGrid w:val="0"/>
                <w:kern w:val="52"/>
                <w:szCs w:val="28"/>
              </w:rPr>
            </w:pPr>
          </w:p>
          <w:p>
            <w:pPr>
              <w:spacing w:line="520" w:lineRule="exact"/>
              <w:rPr>
                <w:rFonts w:ascii="黑体" w:hAnsi="黑体" w:eastAsia="黑体"/>
                <w:bCs/>
                <w:snapToGrid w:val="0"/>
                <w:kern w:val="52"/>
                <w:szCs w:val="28"/>
              </w:rPr>
            </w:pPr>
          </w:p>
          <w:p>
            <w:pPr>
              <w:spacing w:line="520" w:lineRule="exact"/>
              <w:rPr>
                <w:rFonts w:ascii="黑体" w:hAnsi="黑体" w:eastAsia="黑体"/>
                <w:bCs/>
                <w:snapToGrid w:val="0"/>
                <w:kern w:val="52"/>
                <w:szCs w:val="28"/>
              </w:rPr>
            </w:pPr>
            <w:r>
              <w:rPr>
                <w:rFonts w:eastAsia="宋体"/>
                <w:b/>
                <w:spacing w:val="-2"/>
                <w:kern w:val="16"/>
                <w:sz w:val="24"/>
              </w:rPr>
              <w:pict>
                <v:shape id="文本框 1424" o:spid="_x0000_s2058" o:spt="202" type="#_x0000_t202" style="position:absolute;left:0pt;margin-left:246.5pt;margin-top:7.7pt;height:34.4pt;width:90.9pt;z-index:251649024;mso-width-relative:page;mso-height-relative:page;" filled="f" stroked="f" coordsize="21600,21600">
                  <v:path/>
                  <v:fill on="f" focussize="0,0"/>
                  <v:stroke on="f" joinstyle="miter"/>
                  <v:imagedata o:title=""/>
                  <o:lock v:ext="edit"/>
                  <v:textbox>
                    <w:txbxContent>
                      <w:p>
                        <w:pPr>
                          <w:rPr>
                            <w:b/>
                            <w:color w:val="FF0000"/>
                            <w:sz w:val="24"/>
                            <w:highlight w:val="yellow"/>
                          </w:rPr>
                        </w:pPr>
                        <w:r>
                          <w:rPr>
                            <w:rFonts w:hint="eastAsia"/>
                            <w:b/>
                            <w:color w:val="FF0000"/>
                            <w:sz w:val="24"/>
                            <w:highlight w:val="yellow"/>
                          </w:rPr>
                          <w:t>无功补偿装置</w:t>
                        </w:r>
                      </w:p>
                    </w:txbxContent>
                  </v:textbox>
                </v:shape>
              </w:pict>
            </w:r>
            <w:r>
              <w:rPr>
                <w:rFonts w:eastAsia="宋体"/>
                <w:b/>
                <w:spacing w:val="-2"/>
                <w:kern w:val="16"/>
                <w:sz w:val="24"/>
              </w:rPr>
              <w:pict>
                <v:shape id="文本框 2374" o:spid="_x0000_s2056" o:spt="202" type="#_x0000_t202" style="position:absolute;left:0pt;margin-left:133.9pt;margin-top:25pt;height:34.4pt;width:70.85pt;z-index:251646976;mso-width-relative:page;mso-height-relative:page;" filled="f" stroked="f" coordsize="21600,21600">
                  <v:path/>
                  <v:fill on="f" focussize="0,0"/>
                  <v:stroke on="f" joinstyle="miter"/>
                  <v:imagedata o:title=""/>
                  <o:lock v:ext="edit"/>
                  <v:textbox>
                    <w:txbxContent>
                      <w:p>
                        <w:pPr>
                          <w:rPr>
                            <w:b/>
                            <w:color w:val="FF0000"/>
                            <w:sz w:val="24"/>
                            <w:highlight w:val="yellow"/>
                          </w:rPr>
                        </w:pPr>
                        <w:r>
                          <w:rPr>
                            <w:rFonts w:hint="eastAsia"/>
                            <w:b/>
                            <w:color w:val="FF0000"/>
                            <w:sz w:val="24"/>
                            <w:highlight w:val="yellow"/>
                          </w:rPr>
                          <w:t>生活楼</w:t>
                        </w:r>
                      </w:p>
                    </w:txbxContent>
                  </v:textbox>
                </v:shape>
              </w:pict>
            </w:r>
          </w:p>
          <w:p>
            <w:pPr>
              <w:spacing w:line="520" w:lineRule="exact"/>
              <w:rPr>
                <w:rFonts w:ascii="黑体" w:hAnsi="黑体" w:eastAsia="黑体"/>
                <w:bCs/>
                <w:snapToGrid w:val="0"/>
                <w:kern w:val="52"/>
                <w:szCs w:val="28"/>
              </w:rPr>
            </w:pPr>
          </w:p>
          <w:p>
            <w:pPr>
              <w:spacing w:line="520" w:lineRule="exact"/>
              <w:rPr>
                <w:rFonts w:ascii="黑体" w:hAnsi="黑体" w:eastAsia="黑体"/>
                <w:bCs/>
                <w:snapToGrid w:val="0"/>
                <w:kern w:val="52"/>
                <w:szCs w:val="28"/>
              </w:rPr>
            </w:pPr>
            <w:r>
              <w:rPr>
                <w:rFonts w:eastAsia="宋体"/>
                <w:b/>
                <w:spacing w:val="-2"/>
                <w:kern w:val="16"/>
                <w:sz w:val="24"/>
              </w:rPr>
              <w:pict>
                <v:shape id="文本框 2375" o:spid="_x0000_s2063" o:spt="202" type="#_x0000_t202" style="position:absolute;left:0pt;margin-left:255.25pt;margin-top:20.65pt;height:40.75pt;width:41.8pt;z-index:251654144;mso-width-relative:page;mso-height-relative:page;" filled="f" stroked="f" coordsize="21600,21600">
                  <v:path/>
                  <v:fill on="f" focussize="0,0"/>
                  <v:stroke on="f" joinstyle="miter"/>
                  <v:imagedata o:title=""/>
                  <o:lock v:ext="edit"/>
                  <v:textbox>
                    <w:txbxContent>
                      <w:p>
                        <w:pPr>
                          <w:rPr>
                            <w:b/>
                            <w:color w:val="FF0000"/>
                            <w:sz w:val="24"/>
                            <w:highlight w:val="yellow"/>
                          </w:rPr>
                        </w:pPr>
                        <w:r>
                          <w:rPr>
                            <w:rFonts w:hint="eastAsia"/>
                            <w:b/>
                            <w:color w:val="FF0000"/>
                            <w:sz w:val="24"/>
                            <w:highlight w:val="yellow"/>
                          </w:rPr>
                          <w:t>附属用房</w:t>
                        </w:r>
                      </w:p>
                    </w:txbxContent>
                  </v:textbox>
                </v:shape>
              </w:pict>
            </w:r>
          </w:p>
          <w:p>
            <w:pPr>
              <w:spacing w:line="520" w:lineRule="exact"/>
              <w:rPr>
                <w:rFonts w:ascii="黑体" w:hAnsi="黑体" w:eastAsia="黑体"/>
                <w:bCs/>
                <w:snapToGrid w:val="0"/>
                <w:kern w:val="52"/>
                <w:szCs w:val="28"/>
              </w:rPr>
            </w:pPr>
          </w:p>
          <w:p>
            <w:pPr>
              <w:spacing w:line="520" w:lineRule="exact"/>
              <w:rPr>
                <w:rFonts w:ascii="黑体" w:hAnsi="黑体" w:eastAsia="黑体"/>
                <w:bCs/>
                <w:snapToGrid w:val="0"/>
                <w:kern w:val="52"/>
                <w:szCs w:val="28"/>
              </w:rPr>
            </w:pPr>
          </w:p>
          <w:p>
            <w:pPr>
              <w:autoSpaceDE w:val="0"/>
              <w:autoSpaceDN w:val="0"/>
              <w:adjustRightInd w:val="0"/>
              <w:spacing w:line="360" w:lineRule="auto"/>
              <w:rPr>
                <w:rFonts w:ascii="黑体" w:hAnsi="黑体" w:eastAsia="黑体"/>
                <w:bCs/>
                <w:snapToGrid w:val="0"/>
                <w:kern w:val="52"/>
                <w:szCs w:val="28"/>
              </w:rPr>
            </w:pPr>
          </w:p>
          <w:p>
            <w:pPr>
              <w:autoSpaceDE w:val="0"/>
              <w:autoSpaceDN w:val="0"/>
              <w:adjustRightInd w:val="0"/>
              <w:spacing w:line="360" w:lineRule="auto"/>
              <w:rPr>
                <w:rFonts w:hAnsi="宋体" w:eastAsia="宋体"/>
                <w:spacing w:val="-2"/>
                <w:kern w:val="16"/>
                <w:sz w:val="24"/>
              </w:rPr>
            </w:pPr>
          </w:p>
          <w:p>
            <w:pPr>
              <w:autoSpaceDE w:val="0"/>
              <w:autoSpaceDN w:val="0"/>
              <w:adjustRightInd w:val="0"/>
              <w:spacing w:line="360" w:lineRule="auto"/>
              <w:jc w:val="center"/>
              <w:rPr>
                <w:rFonts w:eastAsia="黑体"/>
                <w:spacing w:val="-2"/>
                <w:kern w:val="16"/>
                <w:sz w:val="24"/>
              </w:rPr>
            </w:pPr>
            <w:r>
              <w:rPr>
                <w:rFonts w:hAnsi="黑体" w:eastAsia="黑体"/>
                <w:spacing w:val="-2"/>
                <w:kern w:val="16"/>
                <w:sz w:val="24"/>
              </w:rPr>
              <w:t>图</w:t>
            </w:r>
            <w:r>
              <w:rPr>
                <w:rFonts w:eastAsia="黑体"/>
                <w:spacing w:val="-2"/>
                <w:kern w:val="16"/>
                <w:sz w:val="24"/>
              </w:rPr>
              <w:t xml:space="preserve">1-1   </w:t>
            </w:r>
            <w:r>
              <w:rPr>
                <w:rFonts w:hAnsi="黑体" w:eastAsia="黑体"/>
                <w:spacing w:val="-2"/>
                <w:kern w:val="16"/>
                <w:sz w:val="24"/>
              </w:rPr>
              <w:t>站区总平面布置图</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1.4.2.4</w:t>
            </w:r>
            <w:r>
              <w:rPr>
                <w:rFonts w:hint="eastAsia" w:eastAsia="宋体"/>
                <w:b/>
                <w:spacing w:val="-2"/>
                <w:kern w:val="16"/>
                <w:sz w:val="24"/>
              </w:rPr>
              <w:t>公用工程</w:t>
            </w:r>
          </w:p>
          <w:p>
            <w:pPr>
              <w:autoSpaceDE w:val="0"/>
              <w:autoSpaceDN w:val="0"/>
              <w:adjustRightInd w:val="0"/>
              <w:spacing w:line="520" w:lineRule="exact"/>
              <w:jc w:val="left"/>
              <w:rPr>
                <w:rFonts w:eastAsia="宋体"/>
                <w:b/>
                <w:spacing w:val="-2"/>
                <w:kern w:val="16"/>
                <w:sz w:val="24"/>
              </w:rPr>
            </w:pPr>
            <w:r>
              <w:rPr>
                <w:rFonts w:hint="eastAsia" w:eastAsia="宋体"/>
                <w:b/>
                <w:spacing w:val="-2"/>
                <w:kern w:val="16"/>
                <w:sz w:val="24"/>
              </w:rPr>
              <w:t>1.4.2.4.1</w:t>
            </w:r>
            <w:r>
              <w:rPr>
                <w:rFonts w:eastAsia="宋体"/>
                <w:b/>
                <w:spacing w:val="-2"/>
                <w:kern w:val="16"/>
                <w:sz w:val="24"/>
              </w:rPr>
              <w:t>给排水</w:t>
            </w:r>
          </w:p>
          <w:p>
            <w:pPr>
              <w:spacing w:line="520" w:lineRule="exact"/>
              <w:ind w:firstLine="472" w:firstLineChars="200"/>
              <w:rPr>
                <w:rFonts w:eastAsia="宋体"/>
                <w:snapToGrid w:val="0"/>
                <w:sz w:val="24"/>
              </w:rPr>
            </w:pPr>
            <w:r>
              <w:rPr>
                <w:rFonts w:eastAsia="宋体"/>
                <w:spacing w:val="-2"/>
                <w:kern w:val="16"/>
                <w:sz w:val="24"/>
              </w:rPr>
              <w:t>（1）给水：</w:t>
            </w:r>
            <w:r>
              <w:rPr>
                <w:rFonts w:hint="eastAsia" w:eastAsia="宋体"/>
                <w:snapToGrid w:val="0"/>
                <w:sz w:val="24"/>
              </w:rPr>
              <w:t>由于升压站附近没有可直接利用的供水设施，升压站用水水源采用地下水，在升压站附近打一眼深水井。深井水通过泵加压直接进入生活水箱。</w:t>
            </w:r>
          </w:p>
          <w:p>
            <w:pPr>
              <w:spacing w:line="520" w:lineRule="exact"/>
              <w:ind w:firstLine="480" w:firstLineChars="200"/>
              <w:rPr>
                <w:rFonts w:eastAsia="宋体"/>
                <w:snapToGrid w:val="0"/>
                <w:sz w:val="24"/>
              </w:rPr>
            </w:pPr>
            <w:r>
              <w:rPr>
                <w:rFonts w:hint="eastAsia" w:eastAsia="宋体"/>
                <w:snapToGrid w:val="0"/>
                <w:sz w:val="24"/>
              </w:rPr>
              <w:t>生活用热水采用电热水器，在各卫生间设置1台贮热式电热水器。</w:t>
            </w:r>
          </w:p>
          <w:p>
            <w:pPr>
              <w:spacing w:line="520" w:lineRule="exact"/>
              <w:ind w:firstLine="472" w:firstLineChars="200"/>
              <w:rPr>
                <w:rFonts w:eastAsia="宋体"/>
                <w:snapToGrid w:val="0"/>
                <w:sz w:val="24"/>
                <w:szCs w:val="21"/>
              </w:rPr>
            </w:pPr>
            <w:r>
              <w:rPr>
                <w:rFonts w:hint="eastAsia" w:eastAsia="宋体"/>
                <w:spacing w:val="-2"/>
                <w:kern w:val="16"/>
                <w:sz w:val="24"/>
              </w:rPr>
              <w:t>（2）排水：</w:t>
            </w:r>
            <w:r>
              <w:rPr>
                <w:rFonts w:hint="eastAsia" w:eastAsia="宋体"/>
                <w:snapToGrid w:val="0"/>
                <w:sz w:val="24"/>
                <w:szCs w:val="21"/>
              </w:rPr>
              <w:t>升压站排水系统采用雨污分流制，主要包括雨水、生活污水排放和事故油池废水的排放。</w:t>
            </w:r>
          </w:p>
          <w:p>
            <w:pPr>
              <w:spacing w:line="520" w:lineRule="exact"/>
              <w:ind w:firstLine="480" w:firstLineChars="200"/>
              <w:rPr>
                <w:rFonts w:eastAsia="宋体"/>
                <w:snapToGrid w:val="0"/>
                <w:sz w:val="24"/>
                <w:szCs w:val="21"/>
              </w:rPr>
            </w:pPr>
            <w:r>
              <w:rPr>
                <w:rFonts w:hint="eastAsia" w:eastAsia="宋体"/>
                <w:snapToGrid w:val="0"/>
                <w:sz w:val="24"/>
                <w:szCs w:val="21"/>
              </w:rPr>
              <w:t>雨水排水包括屋面雨水排水、站区场地雨水排水、电缆沟的雨水排水。建筑物屋面雨水通过雨水斗收集，通过雨水立管引至地面雨水沟，站区场地雨水通过雨水口收集，通过室外埋地雨水管道排至站外。电缆沟的雨水通过管道排至站内雨水排水系统。</w:t>
            </w:r>
          </w:p>
          <w:p>
            <w:pPr>
              <w:autoSpaceDE w:val="0"/>
              <w:autoSpaceDN w:val="0"/>
              <w:adjustRightInd w:val="0"/>
              <w:spacing w:line="520" w:lineRule="exact"/>
              <w:jc w:val="left"/>
              <w:rPr>
                <w:rFonts w:eastAsia="宋体"/>
                <w:b/>
                <w:spacing w:val="-2"/>
                <w:kern w:val="16"/>
                <w:sz w:val="24"/>
              </w:rPr>
            </w:pPr>
            <w:r>
              <w:rPr>
                <w:rFonts w:hint="eastAsia" w:eastAsia="宋体"/>
                <w:b/>
                <w:spacing w:val="-2"/>
                <w:kern w:val="16"/>
                <w:sz w:val="24"/>
              </w:rPr>
              <w:t>1.4.2.4.2劳动定员</w:t>
            </w:r>
          </w:p>
          <w:p>
            <w:pPr>
              <w:autoSpaceDE w:val="0"/>
              <w:autoSpaceDN w:val="0"/>
              <w:adjustRightInd w:val="0"/>
              <w:spacing w:line="520" w:lineRule="exact"/>
              <w:ind w:firstLine="472" w:firstLineChars="200"/>
              <w:jc w:val="left"/>
              <w:rPr>
                <w:rFonts w:eastAsia="宋体"/>
                <w:spacing w:val="-2"/>
                <w:kern w:val="16"/>
                <w:sz w:val="24"/>
              </w:rPr>
            </w:pPr>
            <w:r>
              <w:rPr>
                <w:rFonts w:hint="eastAsia" w:eastAsia="宋体"/>
                <w:spacing w:val="-2"/>
                <w:kern w:val="16"/>
                <w:sz w:val="24"/>
              </w:rPr>
              <w:t>本工程劳动定员为14人，均在升压站内食宿。</w:t>
            </w:r>
          </w:p>
          <w:p>
            <w:pPr>
              <w:autoSpaceDE w:val="0"/>
              <w:autoSpaceDN w:val="0"/>
              <w:adjustRightInd w:val="0"/>
              <w:spacing w:line="520" w:lineRule="exact"/>
              <w:jc w:val="left"/>
              <w:rPr>
                <w:rFonts w:eastAsia="宋体"/>
                <w:b/>
                <w:spacing w:val="-2"/>
                <w:kern w:val="16"/>
                <w:sz w:val="24"/>
              </w:rPr>
            </w:pPr>
            <w:r>
              <w:rPr>
                <w:rFonts w:hint="eastAsia" w:eastAsia="宋体"/>
                <w:b/>
                <w:spacing w:val="-2"/>
                <w:kern w:val="16"/>
                <w:sz w:val="24"/>
              </w:rPr>
              <w:t>1.4.2.4.3变压器油及其收集系统</w:t>
            </w:r>
          </w:p>
          <w:p>
            <w:pPr>
              <w:spacing w:line="520" w:lineRule="exact"/>
              <w:ind w:firstLine="480" w:firstLineChars="200"/>
              <w:rPr>
                <w:rFonts w:eastAsia="宋体"/>
                <w:snapToGrid w:val="0"/>
                <w:sz w:val="24"/>
                <w:szCs w:val="21"/>
              </w:rPr>
            </w:pPr>
            <w:r>
              <w:rPr>
                <w:rFonts w:hint="eastAsia" w:eastAsia="宋体"/>
                <w:snapToGrid w:val="0"/>
                <w:sz w:val="24"/>
                <w:szCs w:val="21"/>
              </w:rPr>
              <w:t>升压站生活污水系经</w:t>
            </w:r>
            <w:r>
              <w:rPr>
                <w:rFonts w:eastAsia="宋体"/>
                <w:snapToGrid w:val="0"/>
                <w:sz w:val="24"/>
                <w:szCs w:val="21"/>
              </w:rPr>
              <w:t>化粪池</w:t>
            </w:r>
            <w:r>
              <w:rPr>
                <w:rFonts w:hint="eastAsia" w:eastAsia="宋体"/>
                <w:snapToGrid w:val="0"/>
                <w:sz w:val="24"/>
                <w:szCs w:val="21"/>
              </w:rPr>
              <w:t>收集</w:t>
            </w:r>
            <w:r>
              <w:rPr>
                <w:rFonts w:eastAsia="宋体"/>
                <w:snapToGrid w:val="0"/>
                <w:sz w:val="24"/>
                <w:szCs w:val="21"/>
              </w:rPr>
              <w:t>后，</w:t>
            </w:r>
            <w:r>
              <w:rPr>
                <w:rFonts w:hint="eastAsia" w:eastAsia="宋体"/>
                <w:snapToGrid w:val="0"/>
                <w:sz w:val="24"/>
                <w:szCs w:val="21"/>
              </w:rPr>
              <w:t>经污水</w:t>
            </w:r>
            <w:r>
              <w:rPr>
                <w:rFonts w:eastAsia="宋体"/>
                <w:snapToGrid w:val="0"/>
                <w:sz w:val="24"/>
                <w:szCs w:val="21"/>
              </w:rPr>
              <w:t>管进入1</w:t>
            </w:r>
            <w:r>
              <w:rPr>
                <w:rFonts w:hint="eastAsia" w:eastAsia="宋体"/>
                <w:snapToGrid w:val="0"/>
                <w:sz w:val="24"/>
                <w:szCs w:val="21"/>
              </w:rPr>
              <w:t>套一体化污水处理设备（处理污水量为0.5m</w:t>
            </w:r>
            <w:r>
              <w:rPr>
                <w:rFonts w:hint="eastAsia" w:eastAsia="宋体"/>
                <w:snapToGrid w:val="0"/>
                <w:sz w:val="24"/>
                <w:szCs w:val="21"/>
                <w:vertAlign w:val="superscript"/>
              </w:rPr>
              <w:t>3</w:t>
            </w:r>
            <w:r>
              <w:rPr>
                <w:rFonts w:hint="eastAsia" w:eastAsia="宋体"/>
                <w:snapToGrid w:val="0"/>
                <w:sz w:val="24"/>
                <w:szCs w:val="21"/>
              </w:rPr>
              <w:t>/h）处理</w:t>
            </w:r>
            <w:r>
              <w:rPr>
                <w:rFonts w:eastAsia="宋体"/>
                <w:snapToGrid w:val="0"/>
                <w:sz w:val="24"/>
                <w:szCs w:val="21"/>
              </w:rPr>
              <w:t>后，用于</w:t>
            </w:r>
            <w:r>
              <w:rPr>
                <w:rFonts w:hint="eastAsia" w:eastAsia="宋体"/>
                <w:snapToGrid w:val="0"/>
                <w:sz w:val="24"/>
                <w:szCs w:val="21"/>
              </w:rPr>
              <w:t>升压站绿化。</w:t>
            </w:r>
          </w:p>
          <w:p>
            <w:pPr>
              <w:spacing w:line="520" w:lineRule="exact"/>
              <w:ind w:firstLine="480" w:firstLineChars="200"/>
              <w:rPr>
                <w:rFonts w:eastAsia="宋体"/>
                <w:snapToGrid w:val="0"/>
                <w:sz w:val="24"/>
                <w:szCs w:val="21"/>
              </w:rPr>
            </w:pPr>
            <w:r>
              <w:rPr>
                <w:rFonts w:hint="eastAsia" w:eastAsia="宋体"/>
                <w:snapToGrid w:val="0"/>
                <w:sz w:val="24"/>
                <w:szCs w:val="21"/>
              </w:rPr>
              <w:t>当雨季或变压器发生事故时，事故油排入事故油池暂存，然后泵至桶内暂存于站内危废暂存场所内，定期交由有资质单位回收处理。</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1.4.2.5事故油池</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t>升压站内变压器为了绝缘和冷却的需要，其外壳内充装有变压器油，正常运行情况下，变压器油不会泄露，当发生突发事故或检修时，可能会发生变压器漏油</w:t>
            </w:r>
            <w:r>
              <w:rPr>
                <w:rFonts w:hint="eastAsia" w:eastAsia="宋体"/>
                <w:spacing w:val="-2"/>
                <w:kern w:val="16"/>
                <w:sz w:val="24"/>
              </w:rPr>
              <w:t>，</w:t>
            </w:r>
            <w:r>
              <w:rPr>
                <w:rFonts w:eastAsia="宋体"/>
                <w:spacing w:val="-2"/>
                <w:kern w:val="16"/>
                <w:sz w:val="24"/>
              </w:rPr>
              <w:t>因此，升压站</w:t>
            </w:r>
            <w:r>
              <w:rPr>
                <w:rFonts w:hint="eastAsia" w:eastAsia="宋体"/>
                <w:spacing w:val="-2"/>
                <w:kern w:val="16"/>
                <w:sz w:val="24"/>
              </w:rPr>
              <w:t>拟</w:t>
            </w:r>
            <w:r>
              <w:rPr>
                <w:rFonts w:eastAsia="宋体"/>
                <w:spacing w:val="-2"/>
                <w:kern w:val="16"/>
                <w:sz w:val="24"/>
              </w:rPr>
              <w:t>设地下事故油池，容积为</w:t>
            </w:r>
            <w:r>
              <w:rPr>
                <w:rFonts w:hint="eastAsia" w:eastAsia="宋体"/>
                <w:spacing w:val="-2"/>
                <w:kern w:val="16"/>
                <w:sz w:val="24"/>
              </w:rPr>
              <w:t>5</w:t>
            </w:r>
            <w:r>
              <w:rPr>
                <w:rFonts w:eastAsia="宋体"/>
                <w:spacing w:val="-2"/>
                <w:kern w:val="16"/>
                <w:sz w:val="24"/>
              </w:rPr>
              <w:t>0m</w:t>
            </w:r>
            <w:r>
              <w:rPr>
                <w:rFonts w:eastAsia="宋体"/>
                <w:spacing w:val="-2"/>
                <w:kern w:val="16"/>
                <w:sz w:val="24"/>
                <w:vertAlign w:val="superscript"/>
              </w:rPr>
              <w:t>3</w:t>
            </w:r>
            <w:r>
              <w:rPr>
                <w:rFonts w:eastAsia="宋体"/>
                <w:spacing w:val="-2"/>
                <w:kern w:val="16"/>
                <w:sz w:val="24"/>
              </w:rPr>
              <w:t>，</w:t>
            </w:r>
            <w:r>
              <w:rPr>
                <w:rFonts w:hint="eastAsia" w:eastAsia="宋体"/>
                <w:spacing w:val="-2"/>
                <w:kern w:val="16"/>
                <w:sz w:val="24"/>
              </w:rPr>
              <w:t>用于收集贮存变压器漏油事故产生的变压器油。事故油池容积需满足单台最大容量主变发生事故时变压器油不外溢至外环境的需要。</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1.4.2.6升压站工程主要经济技术指标</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t>110kV升压站主要经济技术指标见表1-1。</w:t>
            </w:r>
          </w:p>
          <w:p>
            <w:pPr>
              <w:pStyle w:val="4"/>
              <w:adjustRightInd w:val="0"/>
              <w:snapToGrid w:val="0"/>
              <w:spacing w:line="520" w:lineRule="exact"/>
              <w:ind w:firstLine="480" w:firstLineChars="200"/>
              <w:rPr>
                <w:rFonts w:ascii="Times New Roman" w:hAnsi="Times New Roman"/>
                <w:sz w:val="24"/>
                <w:szCs w:val="24"/>
              </w:rPr>
            </w:pPr>
            <w:bookmarkStart w:id="10" w:name="_Ref163384843"/>
            <w:r>
              <w:rPr>
                <w:rFonts w:ascii="Times New Roman" w:hAnsi="黑体"/>
                <w:sz w:val="24"/>
                <w:szCs w:val="24"/>
              </w:rPr>
              <w:t>表</w:t>
            </w:r>
            <w:r>
              <w:rPr>
                <w:rFonts w:ascii="Times New Roman" w:hAnsi="Times New Roman"/>
                <w:sz w:val="24"/>
                <w:szCs w:val="24"/>
              </w:rPr>
              <w:t xml:space="preserve"> </w:t>
            </w:r>
            <w:bookmarkEnd w:id="10"/>
            <w:r>
              <w:rPr>
                <w:rFonts w:ascii="Times New Roman" w:hAnsi="Times New Roman"/>
                <w:sz w:val="24"/>
                <w:szCs w:val="24"/>
              </w:rPr>
              <w:t>1-2             110kV</w:t>
            </w:r>
            <w:r>
              <w:rPr>
                <w:rFonts w:ascii="Times New Roman" w:hAnsi="黑体"/>
                <w:sz w:val="24"/>
                <w:szCs w:val="24"/>
              </w:rPr>
              <w:t>升压站主要经济技术指标</w:t>
            </w:r>
          </w:p>
          <w:tbl>
            <w:tblPr>
              <w:tblStyle w:val="15"/>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83"/>
              <w:gridCol w:w="2913"/>
              <w:gridCol w:w="2269"/>
              <w:gridCol w:w="20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序号</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指标名称</w:t>
                  </w:r>
                </w:p>
              </w:tc>
              <w:tc>
                <w:tcPr>
                  <w:tcW w:w="2578"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单位</w:t>
                  </w:r>
                </w:p>
              </w:tc>
              <w:tc>
                <w:tcPr>
                  <w:tcW w:w="22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1</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升压站围墙内用地面积</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m</w:t>
                  </w:r>
                  <w:r>
                    <w:rPr>
                      <w:rFonts w:eastAsia="宋体"/>
                      <w:kern w:val="21"/>
                      <w:sz w:val="21"/>
                      <w:szCs w:val="21"/>
                      <w:vertAlign w:val="superscript"/>
                    </w:rPr>
                    <w:t>2</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4030.00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2</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建筑物占地面积</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m</w:t>
                  </w:r>
                  <w:r>
                    <w:rPr>
                      <w:rFonts w:eastAsia="宋体"/>
                      <w:kern w:val="21"/>
                      <w:sz w:val="21"/>
                      <w:szCs w:val="21"/>
                      <w:vertAlign w:val="superscript"/>
                    </w:rPr>
                    <w:t>2</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961.30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3</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建筑密度</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23.85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4</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总建筑面积</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m</w:t>
                  </w:r>
                  <w:r>
                    <w:rPr>
                      <w:rFonts w:eastAsia="宋体"/>
                      <w:kern w:val="21"/>
                      <w:sz w:val="21"/>
                      <w:szCs w:val="21"/>
                      <w:vertAlign w:val="superscript"/>
                    </w:rPr>
                    <w:t>2</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961.30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5</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容积率</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6</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道路用地面积</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m</w:t>
                  </w:r>
                  <w:r>
                    <w:rPr>
                      <w:rFonts w:eastAsia="宋体"/>
                      <w:kern w:val="21"/>
                      <w:sz w:val="21"/>
                      <w:szCs w:val="21"/>
                      <w:vertAlign w:val="superscript"/>
                    </w:rPr>
                    <w:t>2</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730.32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7</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广场用地面积</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m</w:t>
                  </w:r>
                  <w:r>
                    <w:rPr>
                      <w:rFonts w:eastAsia="宋体"/>
                      <w:kern w:val="21"/>
                      <w:sz w:val="21"/>
                      <w:szCs w:val="21"/>
                      <w:vertAlign w:val="superscript"/>
                    </w:rPr>
                    <w:t>2</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230.07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8</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围墙长度</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m</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316.00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9</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绿化面积</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m</w:t>
                  </w:r>
                  <w:r>
                    <w:rPr>
                      <w:rFonts w:eastAsia="宋体"/>
                      <w:kern w:val="21"/>
                      <w:sz w:val="21"/>
                      <w:szCs w:val="21"/>
                      <w:vertAlign w:val="superscript"/>
                    </w:rPr>
                    <w:t>2</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374.23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94"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10</w:t>
                  </w:r>
                </w:p>
              </w:tc>
              <w:tc>
                <w:tcPr>
                  <w:tcW w:w="3335" w:type="dxa"/>
                  <w:vAlign w:val="center"/>
                </w:tcPr>
                <w:p>
                  <w:pPr>
                    <w:topLinePunct/>
                    <w:adjustRightInd w:val="0"/>
                    <w:snapToGrid w:val="0"/>
                    <w:spacing w:line="360" w:lineRule="exact"/>
                    <w:jc w:val="center"/>
                    <w:rPr>
                      <w:rFonts w:eastAsia="宋体"/>
                      <w:kern w:val="21"/>
                      <w:sz w:val="21"/>
                      <w:szCs w:val="21"/>
                    </w:rPr>
                  </w:pPr>
                  <w:r>
                    <w:rPr>
                      <w:rFonts w:hAnsi="宋体" w:eastAsia="宋体"/>
                      <w:kern w:val="21"/>
                      <w:sz w:val="21"/>
                      <w:szCs w:val="21"/>
                    </w:rPr>
                    <w:t>绿化率</w:t>
                  </w:r>
                </w:p>
              </w:tc>
              <w:tc>
                <w:tcPr>
                  <w:tcW w:w="2578" w:type="dxa"/>
                  <w:vAlign w:val="center"/>
                </w:tcPr>
                <w:p>
                  <w:pPr>
                    <w:topLinePunct/>
                    <w:adjustRightInd w:val="0"/>
                    <w:snapToGrid w:val="0"/>
                    <w:spacing w:line="360" w:lineRule="exact"/>
                    <w:jc w:val="center"/>
                    <w:rPr>
                      <w:rFonts w:eastAsia="宋体"/>
                      <w:kern w:val="21"/>
                      <w:sz w:val="21"/>
                      <w:szCs w:val="21"/>
                    </w:rPr>
                  </w:pPr>
                  <w:r>
                    <w:rPr>
                      <w:rFonts w:eastAsia="宋体"/>
                      <w:kern w:val="21"/>
                      <w:sz w:val="21"/>
                      <w:szCs w:val="21"/>
                    </w:rPr>
                    <w:t>%</w:t>
                  </w:r>
                </w:p>
              </w:tc>
              <w:tc>
                <w:tcPr>
                  <w:tcW w:w="2235" w:type="dxa"/>
                  <w:vAlign w:val="center"/>
                </w:tcPr>
                <w:p>
                  <w:pPr>
                    <w:topLinePunct/>
                    <w:adjustRightInd w:val="0"/>
                    <w:snapToGrid w:val="0"/>
                    <w:spacing w:line="360" w:lineRule="exact"/>
                    <w:jc w:val="center"/>
                    <w:rPr>
                      <w:rFonts w:eastAsia="宋体"/>
                      <w:kern w:val="21"/>
                      <w:sz w:val="21"/>
                      <w:szCs w:val="21"/>
                    </w:rPr>
                  </w:pPr>
                  <w:r>
                    <w:rPr>
                      <w:rFonts w:hint="eastAsia" w:eastAsia="宋体"/>
                      <w:kern w:val="21"/>
                      <w:sz w:val="21"/>
                      <w:szCs w:val="21"/>
                    </w:rPr>
                    <w:t>9.29</w:t>
                  </w:r>
                </w:p>
              </w:tc>
            </w:tr>
          </w:tbl>
          <w:p>
            <w:pPr>
              <w:autoSpaceDE w:val="0"/>
              <w:autoSpaceDN w:val="0"/>
              <w:adjustRightInd w:val="0"/>
              <w:spacing w:line="520" w:lineRule="exact"/>
              <w:jc w:val="left"/>
              <w:rPr>
                <w:rFonts w:eastAsia="宋体"/>
                <w:b/>
                <w:spacing w:val="-2"/>
                <w:kern w:val="16"/>
                <w:sz w:val="24"/>
              </w:rPr>
            </w:pPr>
            <w:r>
              <w:rPr>
                <w:rFonts w:eastAsia="宋体"/>
                <w:b/>
                <w:spacing w:val="-2"/>
                <w:kern w:val="16"/>
                <w:sz w:val="24"/>
              </w:rPr>
              <w:t>1.4.3新建输电线路工程概况</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1.4.3.1项目规模</w:t>
            </w:r>
          </w:p>
          <w:p>
            <w:pPr>
              <w:autoSpaceDE w:val="0"/>
              <w:autoSpaceDN w:val="0"/>
              <w:adjustRightInd w:val="0"/>
              <w:spacing w:line="520" w:lineRule="exact"/>
              <w:ind w:firstLine="480" w:firstLineChars="200"/>
              <w:jc w:val="left"/>
              <w:rPr>
                <w:rFonts w:eastAsia="宋体"/>
                <w:spacing w:val="-2"/>
                <w:kern w:val="16"/>
                <w:sz w:val="24"/>
              </w:rPr>
            </w:pPr>
            <w:r>
              <w:rPr>
                <w:rFonts w:eastAsia="宋体"/>
                <w:sz w:val="24"/>
              </w:rPr>
              <w:t>本期110kV</w:t>
            </w:r>
            <w:r>
              <w:rPr>
                <w:rFonts w:hint="eastAsia" w:eastAsia="宋体"/>
                <w:sz w:val="24"/>
              </w:rPr>
              <w:t>线路</w:t>
            </w:r>
            <w:r>
              <w:rPr>
                <w:rFonts w:eastAsia="宋体"/>
                <w:sz w:val="24"/>
              </w:rPr>
              <w:t>出线1回</w:t>
            </w:r>
            <w:r>
              <w:rPr>
                <w:rFonts w:eastAsia="宋体"/>
                <w:kern w:val="0"/>
                <w:sz w:val="24"/>
              </w:rPr>
              <w:t>，单回路架设</w:t>
            </w:r>
            <w:r>
              <w:rPr>
                <w:rFonts w:hint="eastAsia" w:eastAsia="宋体"/>
                <w:kern w:val="0"/>
                <w:sz w:val="24"/>
              </w:rPr>
              <w:t>14.56km，新建线路选用</w:t>
            </w:r>
            <w:r>
              <w:rPr>
                <w:rFonts w:eastAsia="宋体"/>
                <w:spacing w:val="-2"/>
                <w:kern w:val="16"/>
                <w:sz w:val="24"/>
              </w:rPr>
              <w:t>JL</w:t>
            </w:r>
            <w:r>
              <w:rPr>
                <w:rFonts w:hint="eastAsia" w:eastAsia="宋体"/>
                <w:spacing w:val="-2"/>
                <w:kern w:val="16"/>
                <w:sz w:val="24"/>
              </w:rPr>
              <w:t>/</w:t>
            </w:r>
            <w:r>
              <w:rPr>
                <w:rFonts w:eastAsia="宋体"/>
                <w:spacing w:val="-2"/>
                <w:kern w:val="16"/>
                <w:sz w:val="24"/>
              </w:rPr>
              <w:t>G</w:t>
            </w:r>
            <w:r>
              <w:rPr>
                <w:rFonts w:hint="eastAsia" w:eastAsia="宋体"/>
                <w:spacing w:val="-2"/>
                <w:kern w:val="16"/>
                <w:sz w:val="24"/>
              </w:rPr>
              <w:t>1A</w:t>
            </w:r>
            <w:r>
              <w:rPr>
                <w:rFonts w:eastAsia="宋体"/>
                <w:spacing w:val="-2"/>
                <w:kern w:val="16"/>
                <w:sz w:val="24"/>
              </w:rPr>
              <w:t>-</w:t>
            </w:r>
            <w:r>
              <w:rPr>
                <w:rFonts w:hint="eastAsia" w:eastAsia="宋体"/>
                <w:spacing w:val="-2"/>
                <w:kern w:val="16"/>
                <w:sz w:val="24"/>
              </w:rPr>
              <w:t>240/30型导线。</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14.3.2线路路径的合理性分析</w:t>
            </w:r>
          </w:p>
          <w:p>
            <w:pPr>
              <w:autoSpaceDE w:val="0"/>
              <w:autoSpaceDN w:val="0"/>
              <w:adjustRightInd w:val="0"/>
              <w:spacing w:line="520" w:lineRule="exact"/>
              <w:ind w:firstLine="472" w:firstLineChars="200"/>
              <w:jc w:val="left"/>
              <w:rPr>
                <w:rFonts w:eastAsia="宋体"/>
                <w:b/>
                <w:spacing w:val="-2"/>
                <w:kern w:val="16"/>
                <w:sz w:val="24"/>
              </w:rPr>
            </w:pPr>
            <w:r>
              <w:rPr>
                <w:rFonts w:hint="eastAsia" w:eastAsia="宋体"/>
                <w:spacing w:val="-2"/>
                <w:kern w:val="16"/>
                <w:sz w:val="24"/>
              </w:rPr>
              <w:t>本项目</w:t>
            </w:r>
            <w:r>
              <w:rPr>
                <w:rFonts w:eastAsia="宋体"/>
                <w:spacing w:val="-2"/>
                <w:kern w:val="16"/>
                <w:sz w:val="24"/>
              </w:rPr>
              <w:t>线路</w:t>
            </w:r>
            <w:r>
              <w:rPr>
                <w:rFonts w:hint="eastAsia" w:eastAsia="宋体"/>
                <w:spacing w:val="-2"/>
                <w:kern w:val="16"/>
                <w:sz w:val="24"/>
              </w:rPr>
              <w:t>走向</w:t>
            </w:r>
            <w:r>
              <w:rPr>
                <w:rFonts w:eastAsia="宋体"/>
                <w:spacing w:val="-2"/>
                <w:kern w:val="16"/>
                <w:sz w:val="24"/>
              </w:rPr>
              <w:t>为</w:t>
            </w:r>
            <w:r>
              <w:rPr>
                <w:rFonts w:hint="eastAsia" w:eastAsia="宋体"/>
                <w:spacing w:val="-2"/>
                <w:kern w:val="16"/>
                <w:sz w:val="24"/>
              </w:rPr>
              <w:t>：新建线路起始于月湾升压站，在月湾升压站站区北侧扩建一个出线间隔，向北出线，从莲花寨通过，在胡楼村设转角，线路向左转进入山地，经塔山后转角，线路连续左转经皂角山、合庄村、鸡山、张垌村、大南沟、笊篱头、黄土岭、黑龙沟，线路由东向西进入苌庄升压站。</w:t>
            </w:r>
          </w:p>
          <w:p>
            <w:pPr>
              <w:pStyle w:val="22"/>
              <w:spacing w:line="520" w:lineRule="exact"/>
              <w:ind w:firstLine="480" w:firstLineChars="200"/>
            </w:pPr>
            <w:r>
              <w:t>经现场踏勘调查，本项目评价范围内均无自然保护区、风景名胜区、生态脆弱区、森林公园和文物保护区、地表文化遗址、地下文物等特殊敏感目标，不存在与保护区冲突的问题</w:t>
            </w:r>
            <w:r>
              <w:rPr>
                <w:rFonts w:hint="eastAsia"/>
              </w:rPr>
              <w:t>。</w:t>
            </w:r>
          </w:p>
          <w:p>
            <w:pPr>
              <w:autoSpaceDE w:val="0"/>
              <w:autoSpaceDN w:val="0"/>
              <w:adjustRightInd w:val="0"/>
              <w:spacing w:line="520" w:lineRule="exact"/>
              <w:ind w:firstLine="480" w:firstLineChars="200"/>
              <w:rPr>
                <w:rFonts w:eastAsia="宋体"/>
                <w:sz w:val="24"/>
              </w:rPr>
            </w:pPr>
            <w:r>
              <w:rPr>
                <w:rFonts w:eastAsia="宋体"/>
                <w:sz w:val="24"/>
              </w:rPr>
              <w:t>线路路径的选择避开了村庄、学校和居民点等需要重点保护的敏感区域；设计以线路路径较短、占压线路走廊较小、减小重要跨越、耐张段长度配置合理为原则，同时综合考虑路径方案的可实施性、降低施工难度和方便运行维护等多方因素；在规划路径时，满足新建输电铁塔距离</w:t>
            </w:r>
            <w:r>
              <w:rPr>
                <w:rFonts w:hint="eastAsia" w:eastAsia="宋体"/>
                <w:sz w:val="24"/>
              </w:rPr>
              <w:t>学校、居民</w:t>
            </w:r>
            <w:r>
              <w:rPr>
                <w:rFonts w:eastAsia="宋体"/>
                <w:sz w:val="24"/>
              </w:rPr>
              <w:t>等需要重点保护的敏感区域</w:t>
            </w:r>
            <w:r>
              <w:rPr>
                <w:rFonts w:hint="eastAsia" w:eastAsia="宋体"/>
                <w:sz w:val="24"/>
              </w:rPr>
              <w:t>的要求。</w:t>
            </w:r>
          </w:p>
          <w:p>
            <w:pPr>
              <w:autoSpaceDE w:val="0"/>
              <w:autoSpaceDN w:val="0"/>
              <w:adjustRightInd w:val="0"/>
              <w:spacing w:line="500" w:lineRule="exact"/>
              <w:ind w:firstLine="480" w:firstLineChars="200"/>
              <w:rPr>
                <w:rFonts w:eastAsia="宋体"/>
                <w:sz w:val="24"/>
              </w:rPr>
            </w:pPr>
            <w:r>
              <w:rPr>
                <w:rFonts w:eastAsia="宋体"/>
                <w:sz w:val="24"/>
              </w:rPr>
              <w:t>为避免所选输电线路走径与城乡规划、地上、地下资源及重要设施之间的相互影响，减少土石方开挖，少占土地，力争将对沿线附近构筑物及设施的影响降到最低程度。避开树林集中地带，无法避让处采取高跨，尽量避免成片树林砍伐。工程出线方向位于此站址</w:t>
            </w:r>
            <w:r>
              <w:rPr>
                <w:rFonts w:hint="eastAsia" w:eastAsia="宋体"/>
                <w:sz w:val="24"/>
              </w:rPr>
              <w:t>东方向，东侧为农田，</w:t>
            </w:r>
            <w:r>
              <w:rPr>
                <w:rFonts w:eastAsia="宋体"/>
                <w:sz w:val="24"/>
              </w:rPr>
              <w:t>出线走廊条件较好。</w:t>
            </w:r>
            <w:r>
              <w:rPr>
                <w:rFonts w:hint="eastAsia" w:eastAsia="宋体"/>
                <w:sz w:val="24"/>
              </w:rPr>
              <w:t>线路塔基</w:t>
            </w:r>
            <w:r>
              <w:rPr>
                <w:rFonts w:eastAsia="宋体"/>
                <w:sz w:val="24"/>
              </w:rPr>
              <w:t>均位于农田和山坡上，现状为</w:t>
            </w:r>
            <w:r>
              <w:rPr>
                <w:rFonts w:hint="eastAsia" w:eastAsia="宋体"/>
                <w:sz w:val="24"/>
              </w:rPr>
              <w:t>农田和山坡，</w:t>
            </w:r>
            <w:r>
              <w:rPr>
                <w:rFonts w:eastAsia="宋体"/>
                <w:sz w:val="24"/>
              </w:rPr>
              <w:t>线路长度</w:t>
            </w:r>
            <w:r>
              <w:rPr>
                <w:rFonts w:hint="eastAsia" w:eastAsia="宋体"/>
                <w:sz w:val="24"/>
              </w:rPr>
              <w:t>14.56km</w:t>
            </w:r>
            <w:r>
              <w:rPr>
                <w:rFonts w:eastAsia="宋体"/>
                <w:sz w:val="24"/>
              </w:rPr>
              <w:t>，</w:t>
            </w:r>
          </w:p>
          <w:p>
            <w:pPr>
              <w:pStyle w:val="22"/>
              <w:spacing w:line="500" w:lineRule="exact"/>
              <w:ind w:firstLine="480" w:firstLineChars="200"/>
              <w:jc w:val="both"/>
            </w:pPr>
            <w:r>
              <w:t>同时升压站站址及线路走径也得到了国土</w:t>
            </w:r>
            <w:r>
              <w:rPr>
                <w:rFonts w:hint="eastAsia"/>
              </w:rPr>
              <w:t>资源局、城乡规划局</w:t>
            </w:r>
            <w:r>
              <w:t>、林业等主要单位同意，取得了各单位同意路径方案的书面协议，</w:t>
            </w:r>
            <w:r>
              <w:rPr>
                <w:rFonts w:hint="eastAsia"/>
              </w:rPr>
              <w:t>见附件6~附件9。</w:t>
            </w:r>
            <w:r>
              <w:t>因此从城市规划角度考虑，本工程的选址选线是可行的</w:t>
            </w:r>
            <w:r>
              <w:rPr>
                <w:rFonts w:hint="eastAsia"/>
              </w:rPr>
              <w:t>，</w:t>
            </w:r>
            <w:r>
              <w:t xml:space="preserve">线路路径见附图3。 </w:t>
            </w:r>
          </w:p>
          <w:p>
            <w:pPr>
              <w:autoSpaceDE w:val="0"/>
              <w:autoSpaceDN w:val="0"/>
              <w:adjustRightInd w:val="0"/>
              <w:spacing w:line="500" w:lineRule="exact"/>
              <w:rPr>
                <w:rFonts w:eastAsia="宋体"/>
                <w:b/>
                <w:spacing w:val="-2"/>
                <w:kern w:val="16"/>
                <w:sz w:val="24"/>
              </w:rPr>
            </w:pPr>
            <w:r>
              <w:rPr>
                <w:rFonts w:eastAsia="宋体"/>
                <w:b/>
                <w:spacing w:val="-2"/>
                <w:kern w:val="16"/>
                <w:sz w:val="24"/>
              </w:rPr>
              <w:t>1.4.3.3导线</w:t>
            </w:r>
            <w:r>
              <w:rPr>
                <w:rFonts w:hint="eastAsia" w:eastAsia="宋体"/>
                <w:b/>
                <w:spacing w:val="-2"/>
                <w:kern w:val="16"/>
                <w:sz w:val="24"/>
              </w:rPr>
              <w:t>、</w:t>
            </w:r>
            <w:r>
              <w:rPr>
                <w:rFonts w:eastAsia="宋体"/>
                <w:b/>
                <w:spacing w:val="-2"/>
                <w:kern w:val="16"/>
                <w:sz w:val="24"/>
              </w:rPr>
              <w:t>地线</w:t>
            </w:r>
          </w:p>
          <w:p>
            <w:pPr>
              <w:autoSpaceDE w:val="0"/>
              <w:autoSpaceDN w:val="0"/>
              <w:adjustRightInd w:val="0"/>
              <w:spacing w:line="500" w:lineRule="exact"/>
              <w:ind w:firstLine="474" w:firstLineChars="200"/>
              <w:rPr>
                <w:rFonts w:eastAsia="宋体"/>
                <w:b/>
                <w:spacing w:val="-2"/>
                <w:kern w:val="16"/>
                <w:sz w:val="24"/>
              </w:rPr>
            </w:pPr>
            <w:r>
              <w:rPr>
                <w:rFonts w:hint="eastAsia" w:eastAsia="宋体"/>
                <w:b/>
                <w:spacing w:val="-2"/>
                <w:kern w:val="16"/>
                <w:sz w:val="24"/>
              </w:rPr>
              <w:t>（1）导线</w:t>
            </w:r>
          </w:p>
          <w:p>
            <w:pPr>
              <w:autoSpaceDE w:val="0"/>
              <w:autoSpaceDN w:val="0"/>
              <w:adjustRightInd w:val="0"/>
              <w:spacing w:line="500" w:lineRule="exact"/>
              <w:ind w:firstLine="480" w:firstLineChars="200"/>
              <w:rPr>
                <w:rFonts w:eastAsia="宋体"/>
                <w:sz w:val="24"/>
              </w:rPr>
            </w:pPr>
            <w:r>
              <w:rPr>
                <w:rFonts w:hint="eastAsia" w:eastAsia="宋体"/>
                <w:sz w:val="24"/>
              </w:rPr>
              <w:t>根据</w:t>
            </w:r>
            <w:r>
              <w:rPr>
                <w:rFonts w:eastAsia="宋体"/>
                <w:sz w:val="24"/>
              </w:rPr>
              <w:t>设计资料</w:t>
            </w:r>
            <w:r>
              <w:rPr>
                <w:rFonts w:hint="eastAsia" w:eastAsia="宋体"/>
                <w:sz w:val="24"/>
              </w:rPr>
              <w:t>，本</w:t>
            </w:r>
            <w:r>
              <w:rPr>
                <w:rFonts w:eastAsia="宋体"/>
                <w:sz w:val="24"/>
              </w:rPr>
              <w:t>工程线路导线采用2×JL/GIA-240/30</w:t>
            </w:r>
            <w:r>
              <w:rPr>
                <w:rFonts w:hint="eastAsia" w:eastAsia="宋体"/>
                <w:kern w:val="0"/>
                <w:sz w:val="24"/>
              </w:rPr>
              <w:t>型</w:t>
            </w:r>
            <w:r>
              <w:rPr>
                <w:rFonts w:hint="eastAsia" w:eastAsia="宋体"/>
                <w:sz w:val="24"/>
              </w:rPr>
              <w:t>钢芯铝绞线</w:t>
            </w:r>
            <w:r>
              <w:rPr>
                <w:rFonts w:eastAsia="宋体"/>
                <w:sz w:val="24"/>
              </w:rPr>
              <w:t>。导线机械物理特性参见表</w:t>
            </w:r>
            <w:r>
              <w:rPr>
                <w:rFonts w:hint="eastAsia" w:eastAsia="宋体"/>
                <w:sz w:val="24"/>
              </w:rPr>
              <w:t>1-3</w:t>
            </w:r>
            <w:r>
              <w:rPr>
                <w:rFonts w:eastAsia="宋体"/>
                <w:sz w:val="24"/>
              </w:rPr>
              <w:t>。</w:t>
            </w:r>
          </w:p>
          <w:p>
            <w:pPr>
              <w:adjustRightInd w:val="0"/>
              <w:snapToGrid w:val="0"/>
              <w:spacing w:line="520" w:lineRule="exact"/>
              <w:ind w:firstLine="480" w:firstLineChars="200"/>
              <w:rPr>
                <w:rFonts w:eastAsia="黑体"/>
                <w:sz w:val="24"/>
              </w:rPr>
            </w:pPr>
            <w:bookmarkStart w:id="11" w:name="_Ref196560110"/>
            <w:r>
              <w:rPr>
                <w:rFonts w:hAnsi="黑体" w:eastAsia="黑体"/>
                <w:sz w:val="24"/>
              </w:rPr>
              <w:t>表</w:t>
            </w:r>
            <w:bookmarkEnd w:id="11"/>
            <w:r>
              <w:rPr>
                <w:rFonts w:eastAsia="黑体"/>
                <w:sz w:val="24"/>
              </w:rPr>
              <w:t>1-</w:t>
            </w:r>
            <w:r>
              <w:rPr>
                <w:rFonts w:hint="eastAsia" w:eastAsia="黑体"/>
                <w:sz w:val="24"/>
              </w:rPr>
              <w:t>3</w:t>
            </w:r>
            <w:r>
              <w:rPr>
                <w:rFonts w:eastAsia="黑体"/>
                <w:sz w:val="24"/>
              </w:rPr>
              <w:t xml:space="preserve">                  </w:t>
            </w:r>
            <w:r>
              <w:rPr>
                <w:rFonts w:hAnsi="黑体" w:eastAsia="黑体"/>
                <w:sz w:val="24"/>
              </w:rPr>
              <w:t>输电线路导线参数表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433"/>
              <w:gridCol w:w="1321"/>
              <w:gridCol w:w="35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bottom"/>
                </w:tcPr>
                <w:p>
                  <w:pPr>
                    <w:widowControl/>
                    <w:spacing w:line="360" w:lineRule="exact"/>
                    <w:jc w:val="center"/>
                    <w:rPr>
                      <w:rFonts w:eastAsia="宋体"/>
                      <w:kern w:val="0"/>
                      <w:sz w:val="21"/>
                      <w:szCs w:val="21"/>
                    </w:rPr>
                  </w:pPr>
                  <w:r>
                    <w:rPr>
                      <w:rFonts w:eastAsia="宋体"/>
                      <w:kern w:val="0"/>
                      <w:sz w:val="21"/>
                      <w:szCs w:val="21"/>
                    </w:rPr>
                    <w:t>导线型号</w:t>
                  </w:r>
                </w:p>
              </w:tc>
              <w:tc>
                <w:tcPr>
                  <w:tcW w:w="2138" w:type="pct"/>
                  <w:vAlign w:val="bottom"/>
                </w:tcPr>
                <w:p>
                  <w:pPr>
                    <w:widowControl/>
                    <w:spacing w:line="360" w:lineRule="exact"/>
                    <w:jc w:val="center"/>
                    <w:rPr>
                      <w:rFonts w:eastAsia="宋体"/>
                      <w:kern w:val="0"/>
                      <w:sz w:val="21"/>
                      <w:szCs w:val="21"/>
                    </w:rPr>
                  </w:pPr>
                  <w:r>
                    <w:rPr>
                      <w:rFonts w:eastAsia="宋体"/>
                      <w:kern w:val="0"/>
                      <w:sz w:val="21"/>
                      <w:szCs w:val="21"/>
                    </w:rPr>
                    <w:t>JL/GIA-240/30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67" w:type="pct"/>
                  <w:vMerge w:val="restart"/>
                  <w:vAlign w:val="center"/>
                </w:tcPr>
                <w:p>
                  <w:pPr>
                    <w:widowControl/>
                    <w:spacing w:line="360" w:lineRule="exact"/>
                    <w:jc w:val="center"/>
                    <w:rPr>
                      <w:rFonts w:eastAsia="宋体"/>
                      <w:kern w:val="0"/>
                      <w:sz w:val="21"/>
                      <w:szCs w:val="21"/>
                    </w:rPr>
                  </w:pPr>
                  <w:r>
                    <w:rPr>
                      <w:rFonts w:eastAsia="宋体"/>
                      <w:kern w:val="0"/>
                      <w:sz w:val="21"/>
                      <w:szCs w:val="21"/>
                    </w:rPr>
                    <w:t>截面（mm</w:t>
                  </w:r>
                  <w:r>
                    <w:rPr>
                      <w:rFonts w:eastAsia="宋体"/>
                      <w:kern w:val="0"/>
                      <w:sz w:val="21"/>
                      <w:szCs w:val="21"/>
                      <w:vertAlign w:val="superscript"/>
                    </w:rPr>
                    <w:t>2</w:t>
                  </w:r>
                  <w:r>
                    <w:rPr>
                      <w:rFonts w:eastAsia="宋体"/>
                      <w:kern w:val="0"/>
                      <w:sz w:val="21"/>
                      <w:szCs w:val="21"/>
                    </w:rPr>
                    <w:t>）</w:t>
                  </w:r>
                </w:p>
              </w:tc>
              <w:tc>
                <w:tcPr>
                  <w:tcW w:w="795" w:type="pct"/>
                  <w:vAlign w:val="bottom"/>
                </w:tcPr>
                <w:p>
                  <w:pPr>
                    <w:widowControl/>
                    <w:spacing w:line="360" w:lineRule="exact"/>
                    <w:jc w:val="center"/>
                    <w:rPr>
                      <w:rFonts w:eastAsia="宋体"/>
                      <w:kern w:val="0"/>
                      <w:sz w:val="21"/>
                      <w:szCs w:val="21"/>
                    </w:rPr>
                  </w:pPr>
                  <w:r>
                    <w:rPr>
                      <w:rFonts w:eastAsia="宋体"/>
                      <w:kern w:val="0"/>
                      <w:sz w:val="21"/>
                      <w:szCs w:val="21"/>
                    </w:rPr>
                    <w:t>铝股</w:t>
                  </w:r>
                </w:p>
              </w:tc>
              <w:tc>
                <w:tcPr>
                  <w:tcW w:w="2138" w:type="pct"/>
                  <w:vAlign w:val="bottom"/>
                </w:tcPr>
                <w:p>
                  <w:pPr>
                    <w:widowControl/>
                    <w:spacing w:line="360" w:lineRule="exact"/>
                    <w:jc w:val="center"/>
                    <w:rPr>
                      <w:rFonts w:eastAsia="宋体"/>
                      <w:kern w:val="0"/>
                      <w:sz w:val="21"/>
                      <w:szCs w:val="21"/>
                    </w:rPr>
                  </w:pPr>
                  <w:r>
                    <w:rPr>
                      <w:rFonts w:eastAsia="宋体"/>
                      <w:kern w:val="0"/>
                      <w:sz w:val="21"/>
                      <w:szCs w:val="21"/>
                    </w:rPr>
                    <w:t>24</w:t>
                  </w:r>
                  <w:r>
                    <w:rPr>
                      <w:rFonts w:hint="eastAsia" w:eastAsia="宋体"/>
                      <w:kern w:val="0"/>
                      <w:sz w:val="21"/>
                      <w:szCs w:val="21"/>
                    </w:rPr>
                    <w:t>/</w:t>
                  </w:r>
                  <w:r>
                    <w:rPr>
                      <w:rFonts w:eastAsia="宋体"/>
                      <w:kern w:val="0"/>
                      <w:sz w:val="21"/>
                      <w:szCs w:val="21"/>
                    </w:rPr>
                    <w:t>3.6</w:t>
                  </w:r>
                  <w:r>
                    <w:rPr>
                      <w:rFonts w:hint="eastAsia" w:eastAsia="宋体"/>
                      <w:kern w:val="0"/>
                      <w:sz w:val="21"/>
                      <w:szCs w:val="21"/>
                    </w:rPr>
                    <w:t>/244.29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67" w:type="pct"/>
                  <w:vMerge w:val="continue"/>
                  <w:vAlign w:val="center"/>
                </w:tcPr>
                <w:p>
                  <w:pPr>
                    <w:widowControl/>
                    <w:spacing w:line="360" w:lineRule="exact"/>
                    <w:jc w:val="left"/>
                    <w:rPr>
                      <w:rFonts w:eastAsia="宋体"/>
                      <w:kern w:val="0"/>
                      <w:sz w:val="21"/>
                      <w:szCs w:val="21"/>
                    </w:rPr>
                  </w:pPr>
                </w:p>
              </w:tc>
              <w:tc>
                <w:tcPr>
                  <w:tcW w:w="795" w:type="pct"/>
                  <w:vAlign w:val="bottom"/>
                </w:tcPr>
                <w:p>
                  <w:pPr>
                    <w:widowControl/>
                    <w:spacing w:line="360" w:lineRule="exact"/>
                    <w:jc w:val="center"/>
                    <w:rPr>
                      <w:rFonts w:eastAsia="宋体"/>
                      <w:kern w:val="0"/>
                      <w:sz w:val="21"/>
                      <w:szCs w:val="21"/>
                    </w:rPr>
                  </w:pPr>
                  <w:r>
                    <w:rPr>
                      <w:rFonts w:eastAsia="宋体"/>
                      <w:kern w:val="0"/>
                      <w:sz w:val="21"/>
                      <w:szCs w:val="21"/>
                    </w:rPr>
                    <w:t>钢芯</w:t>
                  </w:r>
                </w:p>
              </w:tc>
              <w:tc>
                <w:tcPr>
                  <w:tcW w:w="2138" w:type="pct"/>
                  <w:vAlign w:val="bottom"/>
                </w:tcPr>
                <w:p>
                  <w:pPr>
                    <w:widowControl/>
                    <w:spacing w:line="360" w:lineRule="exact"/>
                    <w:jc w:val="center"/>
                    <w:rPr>
                      <w:rFonts w:eastAsia="宋体"/>
                      <w:kern w:val="0"/>
                      <w:sz w:val="21"/>
                      <w:szCs w:val="21"/>
                    </w:rPr>
                  </w:pPr>
                  <w:r>
                    <w:rPr>
                      <w:rFonts w:eastAsia="宋体"/>
                      <w:kern w:val="0"/>
                      <w:sz w:val="21"/>
                      <w:szCs w:val="21"/>
                    </w:rPr>
                    <w:t>7/2.4</w:t>
                  </w:r>
                  <w:r>
                    <w:rPr>
                      <w:rFonts w:hint="eastAsia" w:eastAsia="宋体"/>
                      <w:kern w:val="0"/>
                      <w:sz w:val="21"/>
                      <w:szCs w:val="21"/>
                    </w:rPr>
                    <w:t>/31.67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67" w:type="pct"/>
                  <w:vMerge w:val="continue"/>
                  <w:vAlign w:val="center"/>
                </w:tcPr>
                <w:p>
                  <w:pPr>
                    <w:widowControl/>
                    <w:spacing w:line="360" w:lineRule="exact"/>
                    <w:jc w:val="left"/>
                    <w:rPr>
                      <w:rFonts w:eastAsia="宋体"/>
                      <w:kern w:val="0"/>
                      <w:sz w:val="21"/>
                      <w:szCs w:val="21"/>
                    </w:rPr>
                  </w:pPr>
                </w:p>
              </w:tc>
              <w:tc>
                <w:tcPr>
                  <w:tcW w:w="795" w:type="pct"/>
                  <w:vAlign w:val="bottom"/>
                </w:tcPr>
                <w:p>
                  <w:pPr>
                    <w:widowControl/>
                    <w:spacing w:line="360" w:lineRule="exact"/>
                    <w:jc w:val="center"/>
                    <w:rPr>
                      <w:rFonts w:eastAsia="宋体"/>
                      <w:kern w:val="0"/>
                      <w:sz w:val="21"/>
                      <w:szCs w:val="21"/>
                    </w:rPr>
                  </w:pPr>
                  <w:r>
                    <w:rPr>
                      <w:rFonts w:eastAsia="宋体"/>
                      <w:kern w:val="0"/>
                      <w:sz w:val="21"/>
                      <w:szCs w:val="21"/>
                    </w:rPr>
                    <w:t>总计</w:t>
                  </w:r>
                </w:p>
              </w:tc>
              <w:tc>
                <w:tcPr>
                  <w:tcW w:w="2138" w:type="pct"/>
                  <w:vAlign w:val="bottom"/>
                </w:tcPr>
                <w:p>
                  <w:pPr>
                    <w:widowControl/>
                    <w:spacing w:line="360" w:lineRule="exact"/>
                    <w:jc w:val="center"/>
                    <w:rPr>
                      <w:rFonts w:eastAsia="宋体"/>
                      <w:kern w:val="0"/>
                      <w:sz w:val="21"/>
                      <w:szCs w:val="21"/>
                    </w:rPr>
                  </w:pPr>
                  <w:r>
                    <w:rPr>
                      <w:rFonts w:hint="eastAsia" w:eastAsia="宋体"/>
                      <w:kern w:val="0"/>
                      <w:sz w:val="21"/>
                      <w:szCs w:val="21"/>
                    </w:rPr>
                    <w:t>275.96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bottom"/>
                </w:tcPr>
                <w:p>
                  <w:pPr>
                    <w:widowControl/>
                    <w:spacing w:line="360" w:lineRule="exact"/>
                    <w:jc w:val="center"/>
                    <w:rPr>
                      <w:rFonts w:eastAsia="宋体"/>
                      <w:kern w:val="0"/>
                      <w:sz w:val="21"/>
                      <w:szCs w:val="21"/>
                    </w:rPr>
                  </w:pPr>
                  <w:r>
                    <w:rPr>
                      <w:rFonts w:eastAsia="宋体"/>
                      <w:kern w:val="0"/>
                      <w:sz w:val="21"/>
                      <w:szCs w:val="21"/>
                    </w:rPr>
                    <w:t>直径（mm）</w:t>
                  </w:r>
                </w:p>
              </w:tc>
              <w:tc>
                <w:tcPr>
                  <w:tcW w:w="2138" w:type="pct"/>
                  <w:vAlign w:val="bottom"/>
                </w:tcPr>
                <w:p>
                  <w:pPr>
                    <w:widowControl/>
                    <w:spacing w:line="360" w:lineRule="exact"/>
                    <w:jc w:val="center"/>
                    <w:rPr>
                      <w:rFonts w:eastAsia="宋体"/>
                      <w:kern w:val="0"/>
                      <w:sz w:val="21"/>
                      <w:szCs w:val="21"/>
                    </w:rPr>
                  </w:pPr>
                  <w:r>
                    <w:rPr>
                      <w:rFonts w:eastAsia="宋体"/>
                      <w:kern w:val="0"/>
                      <w:sz w:val="21"/>
                      <w:szCs w:val="21"/>
                    </w:rPr>
                    <w:t>21.60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bottom"/>
                </w:tcPr>
                <w:p>
                  <w:pPr>
                    <w:widowControl/>
                    <w:spacing w:line="360" w:lineRule="exact"/>
                    <w:jc w:val="center"/>
                    <w:rPr>
                      <w:rFonts w:eastAsia="宋体"/>
                      <w:kern w:val="0"/>
                      <w:sz w:val="21"/>
                      <w:szCs w:val="21"/>
                    </w:rPr>
                  </w:pPr>
                  <w:r>
                    <w:rPr>
                      <w:rFonts w:eastAsia="宋体"/>
                      <w:kern w:val="0"/>
                      <w:sz w:val="21"/>
                      <w:szCs w:val="21"/>
                    </w:rPr>
                    <w:t>额定抗拉力（kN）</w:t>
                  </w:r>
                </w:p>
              </w:tc>
              <w:tc>
                <w:tcPr>
                  <w:tcW w:w="2138" w:type="pct"/>
                  <w:vAlign w:val="bottom"/>
                </w:tcPr>
                <w:p>
                  <w:pPr>
                    <w:widowControl/>
                    <w:spacing w:line="360" w:lineRule="exact"/>
                    <w:jc w:val="center"/>
                    <w:rPr>
                      <w:rFonts w:eastAsia="宋体"/>
                      <w:kern w:val="0"/>
                      <w:sz w:val="21"/>
                      <w:szCs w:val="21"/>
                    </w:rPr>
                  </w:pPr>
                  <w:r>
                    <w:rPr>
                      <w:rFonts w:eastAsia="宋体"/>
                      <w:kern w:val="0"/>
                      <w:sz w:val="21"/>
                      <w:szCs w:val="21"/>
                    </w:rPr>
                    <w:t>75.</w:t>
                  </w:r>
                  <w:r>
                    <w:rPr>
                      <w:rFonts w:hint="eastAsia" w:eastAsia="宋体"/>
                      <w:kern w:val="0"/>
                      <w:sz w:val="21"/>
                      <w:szCs w:val="21"/>
                    </w:rPr>
                    <w:t>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bottom"/>
                </w:tcPr>
                <w:p>
                  <w:pPr>
                    <w:widowControl/>
                    <w:spacing w:line="360" w:lineRule="exact"/>
                    <w:jc w:val="center"/>
                    <w:rPr>
                      <w:rFonts w:eastAsia="宋体"/>
                      <w:kern w:val="0"/>
                      <w:sz w:val="21"/>
                      <w:szCs w:val="21"/>
                    </w:rPr>
                  </w:pPr>
                  <w:r>
                    <w:rPr>
                      <w:rFonts w:eastAsia="宋体"/>
                      <w:kern w:val="0"/>
                      <w:sz w:val="21"/>
                      <w:szCs w:val="21"/>
                    </w:rPr>
                    <w:t>计算重量（kg/km）</w:t>
                  </w:r>
                </w:p>
              </w:tc>
              <w:tc>
                <w:tcPr>
                  <w:tcW w:w="2138" w:type="pct"/>
                  <w:vAlign w:val="bottom"/>
                </w:tcPr>
                <w:p>
                  <w:pPr>
                    <w:widowControl/>
                    <w:spacing w:line="360" w:lineRule="exact"/>
                    <w:jc w:val="center"/>
                    <w:rPr>
                      <w:rFonts w:eastAsia="宋体"/>
                      <w:kern w:val="0"/>
                      <w:sz w:val="21"/>
                      <w:szCs w:val="21"/>
                    </w:rPr>
                  </w:pPr>
                  <w:r>
                    <w:rPr>
                      <w:rFonts w:hint="eastAsia" w:eastAsia="宋体"/>
                      <w:kern w:val="0"/>
                      <w:sz w:val="21"/>
                      <w:szCs w:val="21"/>
                    </w:rPr>
                    <w:t>922.2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bottom"/>
                </w:tcPr>
                <w:p>
                  <w:pPr>
                    <w:widowControl/>
                    <w:spacing w:line="360" w:lineRule="exact"/>
                    <w:jc w:val="center"/>
                    <w:rPr>
                      <w:rFonts w:eastAsia="宋体"/>
                      <w:kern w:val="0"/>
                      <w:sz w:val="21"/>
                      <w:szCs w:val="21"/>
                    </w:rPr>
                  </w:pPr>
                  <w:r>
                    <w:rPr>
                      <w:rFonts w:eastAsia="宋体"/>
                      <w:kern w:val="0"/>
                      <w:sz w:val="21"/>
                      <w:szCs w:val="21"/>
                    </w:rPr>
                    <w:t>弹性模量(GPa)</w:t>
                  </w:r>
                </w:p>
              </w:tc>
              <w:tc>
                <w:tcPr>
                  <w:tcW w:w="2138" w:type="pct"/>
                  <w:vAlign w:val="bottom"/>
                </w:tcPr>
                <w:p>
                  <w:pPr>
                    <w:widowControl/>
                    <w:spacing w:line="360" w:lineRule="exact"/>
                    <w:jc w:val="center"/>
                    <w:rPr>
                      <w:rFonts w:eastAsia="宋体"/>
                      <w:kern w:val="0"/>
                      <w:sz w:val="21"/>
                      <w:szCs w:val="21"/>
                    </w:rPr>
                  </w:pPr>
                  <w:r>
                    <w:rPr>
                      <w:rFonts w:hint="eastAsia" w:eastAsia="宋体"/>
                      <w:kern w:val="0"/>
                      <w:sz w:val="21"/>
                      <w:szCs w:val="21"/>
                    </w:rPr>
                    <w:t>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bottom"/>
                </w:tcPr>
                <w:p>
                  <w:pPr>
                    <w:widowControl/>
                    <w:spacing w:line="360" w:lineRule="exact"/>
                    <w:jc w:val="center"/>
                    <w:rPr>
                      <w:rFonts w:eastAsia="宋体"/>
                      <w:kern w:val="0"/>
                      <w:sz w:val="21"/>
                      <w:szCs w:val="21"/>
                    </w:rPr>
                  </w:pPr>
                  <w:r>
                    <w:rPr>
                      <w:rFonts w:eastAsia="宋体"/>
                      <w:kern w:val="0"/>
                      <w:sz w:val="21"/>
                      <w:szCs w:val="21"/>
                    </w:rPr>
                    <w:t>线膨胀系数(1/</w:t>
                  </w:r>
                  <w:r>
                    <w:rPr>
                      <w:rFonts w:hint="eastAsia" w:ascii="宋体" w:hAnsi="宋体" w:eastAsia="宋体" w:cs="宋体"/>
                      <w:kern w:val="0"/>
                      <w:sz w:val="21"/>
                      <w:szCs w:val="21"/>
                    </w:rPr>
                    <w:t>℃</w:t>
                  </w:r>
                  <w:r>
                    <w:rPr>
                      <w:rFonts w:eastAsia="宋体"/>
                      <w:kern w:val="0"/>
                      <w:sz w:val="21"/>
                      <w:szCs w:val="21"/>
                    </w:rPr>
                    <w:t>)</w:t>
                  </w:r>
                </w:p>
              </w:tc>
              <w:tc>
                <w:tcPr>
                  <w:tcW w:w="2138" w:type="pct"/>
                  <w:vAlign w:val="bottom"/>
                </w:tcPr>
                <w:p>
                  <w:pPr>
                    <w:widowControl/>
                    <w:spacing w:line="360" w:lineRule="exact"/>
                    <w:jc w:val="center"/>
                    <w:rPr>
                      <w:rFonts w:eastAsia="宋体"/>
                      <w:kern w:val="0"/>
                      <w:sz w:val="21"/>
                      <w:szCs w:val="21"/>
                    </w:rPr>
                  </w:pPr>
                  <w:r>
                    <w:rPr>
                      <w:rFonts w:eastAsia="宋体"/>
                      <w:kern w:val="0"/>
                      <w:sz w:val="21"/>
                      <w:szCs w:val="21"/>
                    </w:rPr>
                    <w:t>1</w:t>
                  </w:r>
                  <w:r>
                    <w:rPr>
                      <w:rFonts w:hint="eastAsia" w:eastAsia="宋体"/>
                      <w:kern w:val="0"/>
                      <w:sz w:val="21"/>
                      <w:szCs w:val="21"/>
                    </w:rPr>
                    <w:t>9.6</w:t>
                  </w:r>
                  <w:r>
                    <w:rPr>
                      <w:rFonts w:eastAsia="宋体"/>
                      <w:kern w:val="0"/>
                      <w:sz w:val="21"/>
                      <w:szCs w:val="21"/>
                    </w:rPr>
                    <w:t>×10</w:t>
                  </w:r>
                  <w:r>
                    <w:rPr>
                      <w:rFonts w:eastAsia="宋体"/>
                      <w:kern w:val="0"/>
                      <w:sz w:val="21"/>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bottom"/>
                </w:tcPr>
                <w:p>
                  <w:pPr>
                    <w:widowControl/>
                    <w:spacing w:line="360" w:lineRule="exact"/>
                    <w:jc w:val="center"/>
                    <w:rPr>
                      <w:rFonts w:eastAsia="宋体"/>
                      <w:kern w:val="0"/>
                      <w:sz w:val="21"/>
                      <w:szCs w:val="21"/>
                    </w:rPr>
                  </w:pPr>
                  <w:r>
                    <w:rPr>
                      <w:rFonts w:eastAsia="宋体"/>
                      <w:kern w:val="0"/>
                      <w:sz w:val="21"/>
                      <w:szCs w:val="21"/>
                    </w:rPr>
                    <w:t>20</w:t>
                  </w:r>
                  <w:r>
                    <w:rPr>
                      <w:rFonts w:hint="eastAsia" w:ascii="宋体" w:hAnsi="宋体" w:eastAsia="宋体" w:cs="宋体"/>
                      <w:kern w:val="0"/>
                      <w:sz w:val="21"/>
                      <w:szCs w:val="21"/>
                    </w:rPr>
                    <w:t>℃</w:t>
                  </w:r>
                  <w:r>
                    <w:rPr>
                      <w:rFonts w:eastAsia="宋体"/>
                      <w:kern w:val="0"/>
                      <w:sz w:val="21"/>
                      <w:szCs w:val="21"/>
                    </w:rPr>
                    <w:t>直流电阻（Ω/km）</w:t>
                  </w:r>
                </w:p>
              </w:tc>
              <w:tc>
                <w:tcPr>
                  <w:tcW w:w="2138" w:type="pct"/>
                  <w:vAlign w:val="bottom"/>
                </w:tcPr>
                <w:p>
                  <w:pPr>
                    <w:widowControl/>
                    <w:spacing w:line="360" w:lineRule="exact"/>
                    <w:jc w:val="center"/>
                    <w:rPr>
                      <w:rFonts w:eastAsia="宋体"/>
                      <w:kern w:val="0"/>
                      <w:sz w:val="21"/>
                      <w:szCs w:val="21"/>
                    </w:rPr>
                  </w:pPr>
                  <w:r>
                    <w:rPr>
                      <w:rFonts w:hint="eastAsia" w:eastAsia="宋体"/>
                      <w:kern w:val="0"/>
                      <w:sz w:val="21"/>
                      <w:szCs w:val="21"/>
                    </w:rPr>
                    <w:t>0.1181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62" w:type="pct"/>
                  <w:gridSpan w:val="2"/>
                  <w:vAlign w:val="center"/>
                </w:tcPr>
                <w:p>
                  <w:pPr>
                    <w:adjustRightInd w:val="0"/>
                    <w:snapToGrid w:val="0"/>
                    <w:spacing w:line="360" w:lineRule="exact"/>
                    <w:jc w:val="center"/>
                    <w:rPr>
                      <w:rFonts w:eastAsia="宋体"/>
                      <w:kern w:val="0"/>
                      <w:sz w:val="21"/>
                      <w:szCs w:val="21"/>
                    </w:rPr>
                  </w:pPr>
                  <w:r>
                    <w:rPr>
                      <w:rFonts w:hint="eastAsia" w:eastAsia="宋体"/>
                      <w:kern w:val="0"/>
                      <w:sz w:val="21"/>
                      <w:szCs w:val="21"/>
                    </w:rPr>
                    <w:t>适用</w:t>
                  </w:r>
                  <w:r>
                    <w:rPr>
                      <w:rFonts w:eastAsia="宋体"/>
                      <w:kern w:val="0"/>
                      <w:sz w:val="21"/>
                      <w:szCs w:val="21"/>
                    </w:rPr>
                    <w:t>类型</w:t>
                  </w:r>
                </w:p>
              </w:tc>
              <w:tc>
                <w:tcPr>
                  <w:tcW w:w="2138" w:type="pct"/>
                  <w:vAlign w:val="center"/>
                </w:tcPr>
                <w:p>
                  <w:pPr>
                    <w:tabs>
                      <w:tab w:val="left" w:pos="3720"/>
                    </w:tabs>
                    <w:autoSpaceDE w:val="0"/>
                    <w:autoSpaceDN w:val="0"/>
                    <w:adjustRightInd w:val="0"/>
                    <w:spacing w:line="360" w:lineRule="exact"/>
                    <w:jc w:val="center"/>
                    <w:textAlignment w:val="bottom"/>
                    <w:rPr>
                      <w:rFonts w:eastAsia="宋体"/>
                      <w:kern w:val="0"/>
                      <w:sz w:val="21"/>
                      <w:szCs w:val="21"/>
                    </w:rPr>
                  </w:pPr>
                  <w:r>
                    <w:rPr>
                      <w:rFonts w:hint="eastAsia" w:eastAsia="宋体"/>
                      <w:kern w:val="0"/>
                      <w:sz w:val="21"/>
                      <w:szCs w:val="21"/>
                    </w:rPr>
                    <w:t>一般山地</w:t>
                  </w:r>
                  <w:r>
                    <w:rPr>
                      <w:rFonts w:eastAsia="宋体"/>
                      <w:kern w:val="0"/>
                      <w:sz w:val="21"/>
                      <w:szCs w:val="21"/>
                    </w:rPr>
                    <w:t>丘陵段</w:t>
                  </w:r>
                </w:p>
              </w:tc>
            </w:tr>
          </w:tbl>
          <w:p>
            <w:pPr>
              <w:autoSpaceDE w:val="0"/>
              <w:autoSpaceDN w:val="0"/>
              <w:adjustRightInd w:val="0"/>
              <w:spacing w:line="520" w:lineRule="exact"/>
              <w:ind w:firstLine="474" w:firstLineChars="200"/>
              <w:jc w:val="left"/>
              <w:rPr>
                <w:rFonts w:eastAsia="宋体"/>
                <w:b/>
                <w:spacing w:val="-2"/>
                <w:kern w:val="16"/>
                <w:sz w:val="24"/>
              </w:rPr>
            </w:pPr>
            <w:r>
              <w:rPr>
                <w:rFonts w:hint="eastAsia" w:eastAsia="宋体"/>
                <w:b/>
                <w:spacing w:val="-2"/>
                <w:kern w:val="16"/>
                <w:sz w:val="24"/>
              </w:rPr>
              <w:t>（</w:t>
            </w:r>
            <w:r>
              <w:rPr>
                <w:rFonts w:eastAsia="宋体"/>
                <w:b/>
                <w:spacing w:val="-2"/>
                <w:kern w:val="16"/>
                <w:sz w:val="24"/>
              </w:rPr>
              <w:t>2</w:t>
            </w:r>
            <w:r>
              <w:rPr>
                <w:rFonts w:hint="eastAsia" w:eastAsia="宋体"/>
                <w:b/>
                <w:spacing w:val="-2"/>
                <w:kern w:val="16"/>
                <w:sz w:val="24"/>
              </w:rPr>
              <w:t>）地线</w:t>
            </w:r>
          </w:p>
          <w:p>
            <w:pPr>
              <w:autoSpaceDE w:val="0"/>
              <w:autoSpaceDN w:val="0"/>
              <w:adjustRightInd w:val="0"/>
              <w:spacing w:line="520" w:lineRule="exact"/>
              <w:ind w:firstLine="472" w:firstLineChars="200"/>
              <w:rPr>
                <w:rFonts w:hAnsi="宋体" w:eastAsia="宋体"/>
                <w:sz w:val="24"/>
              </w:rPr>
            </w:pPr>
            <w:r>
              <w:rPr>
                <w:rFonts w:eastAsia="宋体"/>
                <w:spacing w:val="-2"/>
                <w:kern w:val="16"/>
                <w:sz w:val="24"/>
              </w:rPr>
              <w:t>根据设计资料，地线</w:t>
            </w:r>
            <w:r>
              <w:rPr>
                <w:rFonts w:hAnsi="宋体" w:eastAsia="宋体"/>
                <w:sz w:val="24"/>
              </w:rPr>
              <w:t>一根采用</w:t>
            </w:r>
            <w:r>
              <w:rPr>
                <w:rFonts w:eastAsia="宋体"/>
                <w:sz w:val="24"/>
              </w:rPr>
              <w:t>OPGW-24B1-100</w:t>
            </w:r>
            <w:r>
              <w:rPr>
                <w:rFonts w:hAnsi="宋体" w:eastAsia="宋体"/>
                <w:sz w:val="24"/>
              </w:rPr>
              <w:t>光缆。地线物理特性见表</w:t>
            </w:r>
            <w:r>
              <w:rPr>
                <w:rFonts w:eastAsia="Times New Roman"/>
                <w:sz w:val="24"/>
              </w:rPr>
              <w:t>1-4</w:t>
            </w:r>
            <w:r>
              <w:rPr>
                <w:rFonts w:hAnsi="宋体" w:eastAsia="宋体"/>
                <w:sz w:val="24"/>
              </w:rPr>
              <w:t>。</w:t>
            </w:r>
          </w:p>
          <w:p>
            <w:pPr>
              <w:adjustRightInd w:val="0"/>
              <w:snapToGrid w:val="0"/>
              <w:spacing w:line="520" w:lineRule="exact"/>
              <w:ind w:firstLine="480" w:firstLineChars="200"/>
              <w:rPr>
                <w:rFonts w:hAnsi="黑体" w:eastAsia="黑体"/>
                <w:sz w:val="24"/>
              </w:rPr>
            </w:pPr>
            <w:r>
              <w:rPr>
                <w:rFonts w:hAnsi="黑体" w:eastAsia="黑体"/>
                <w:sz w:val="24"/>
              </w:rPr>
              <w:t>表1-4                   输电线路地线参数表</w:t>
            </w:r>
          </w:p>
          <w:tbl>
            <w:tblPr>
              <w:tblStyle w:val="15"/>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34" w:type="dxa"/>
                <w:left w:w="115" w:type="dxa"/>
                <w:bottom w:w="0" w:type="dxa"/>
                <w:right w:w="115" w:type="dxa"/>
              </w:tblCellMar>
            </w:tblPr>
            <w:tblGrid>
              <w:gridCol w:w="4087"/>
              <w:gridCol w:w="421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3" w:hRule="atLeast"/>
                <w:jc w:val="center"/>
              </w:trPr>
              <w:tc>
                <w:tcPr>
                  <w:tcW w:w="2460" w:type="pct"/>
                </w:tcPr>
                <w:p>
                  <w:pPr>
                    <w:spacing w:line="360" w:lineRule="exact"/>
                    <w:jc w:val="center"/>
                    <w:rPr>
                      <w:sz w:val="21"/>
                      <w:szCs w:val="21"/>
                    </w:rPr>
                  </w:pPr>
                  <w:r>
                    <w:rPr>
                      <w:rFonts w:hAnsi="宋体" w:eastAsia="宋体"/>
                      <w:sz w:val="21"/>
                      <w:szCs w:val="21"/>
                    </w:rPr>
                    <w:t>地线型号</w:t>
                  </w:r>
                </w:p>
              </w:tc>
              <w:tc>
                <w:tcPr>
                  <w:tcW w:w="2540" w:type="pct"/>
                </w:tcPr>
                <w:p>
                  <w:pPr>
                    <w:spacing w:line="360" w:lineRule="exact"/>
                    <w:jc w:val="center"/>
                    <w:rPr>
                      <w:sz w:val="21"/>
                      <w:szCs w:val="21"/>
                    </w:rPr>
                  </w:pPr>
                  <w:r>
                    <w:rPr>
                      <w:rFonts w:eastAsia="Times New Roman"/>
                      <w:sz w:val="21"/>
                      <w:szCs w:val="21"/>
                    </w:rPr>
                    <w:t>OPGW-</w:t>
                  </w:r>
                  <w:r>
                    <w:rPr>
                      <w:rFonts w:eastAsia="宋体"/>
                      <w:sz w:val="21"/>
                      <w:szCs w:val="21"/>
                    </w:rPr>
                    <w:t>24B1-</w:t>
                  </w:r>
                  <w:r>
                    <w:rPr>
                      <w:rFonts w:eastAsia="Times New Roman"/>
                      <w:sz w:val="21"/>
                      <w:szCs w:val="21"/>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2" w:hRule="atLeast"/>
                <w:jc w:val="center"/>
              </w:trPr>
              <w:tc>
                <w:tcPr>
                  <w:tcW w:w="2460" w:type="pct"/>
                </w:tcPr>
                <w:p>
                  <w:pPr>
                    <w:spacing w:line="360" w:lineRule="exact"/>
                    <w:jc w:val="center"/>
                    <w:rPr>
                      <w:sz w:val="21"/>
                      <w:szCs w:val="21"/>
                    </w:rPr>
                  </w:pPr>
                  <w:r>
                    <w:rPr>
                      <w:rFonts w:hAnsi="宋体" w:eastAsia="宋体"/>
                      <w:sz w:val="21"/>
                      <w:szCs w:val="21"/>
                    </w:rPr>
                    <w:t>截面（</w:t>
                  </w:r>
                  <w:r>
                    <w:rPr>
                      <w:rFonts w:eastAsia="Times New Roman"/>
                      <w:sz w:val="21"/>
                      <w:szCs w:val="21"/>
                    </w:rPr>
                    <w:t>mm</w:t>
                  </w:r>
                  <w:r>
                    <w:rPr>
                      <w:rFonts w:eastAsia="Times New Roman"/>
                      <w:sz w:val="21"/>
                      <w:szCs w:val="21"/>
                      <w:vertAlign w:val="superscript"/>
                    </w:rPr>
                    <w:t>2</w:t>
                  </w:r>
                  <w:r>
                    <w:rPr>
                      <w:rFonts w:hAnsi="宋体" w:eastAsia="宋体"/>
                      <w:sz w:val="21"/>
                      <w:szCs w:val="21"/>
                    </w:rPr>
                    <w:t>）</w:t>
                  </w:r>
                </w:p>
              </w:tc>
              <w:tc>
                <w:tcPr>
                  <w:tcW w:w="2540" w:type="pct"/>
                </w:tcPr>
                <w:p>
                  <w:pPr>
                    <w:spacing w:line="360" w:lineRule="exact"/>
                    <w:jc w:val="center"/>
                    <w:rPr>
                      <w:sz w:val="21"/>
                      <w:szCs w:val="21"/>
                    </w:rPr>
                  </w:pPr>
                  <w:r>
                    <w:rPr>
                      <w:rFonts w:hint="eastAsia" w:eastAsia="宋体"/>
                      <w:kern w:val="0"/>
                      <w:sz w:val="21"/>
                      <w:szCs w:val="21"/>
                    </w:rPr>
                    <w:t>97.59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2" w:hRule="atLeast"/>
                <w:jc w:val="center"/>
              </w:trPr>
              <w:tc>
                <w:tcPr>
                  <w:tcW w:w="2460" w:type="pct"/>
                </w:tcPr>
                <w:p>
                  <w:pPr>
                    <w:spacing w:line="360" w:lineRule="exact"/>
                    <w:jc w:val="center"/>
                    <w:rPr>
                      <w:sz w:val="21"/>
                      <w:szCs w:val="21"/>
                    </w:rPr>
                  </w:pPr>
                  <w:r>
                    <w:rPr>
                      <w:rFonts w:hAnsi="宋体" w:eastAsia="宋体"/>
                      <w:sz w:val="21"/>
                      <w:szCs w:val="21"/>
                    </w:rPr>
                    <w:t>外径（</w:t>
                  </w:r>
                  <w:r>
                    <w:rPr>
                      <w:rFonts w:eastAsia="Times New Roman"/>
                      <w:sz w:val="21"/>
                      <w:szCs w:val="21"/>
                    </w:rPr>
                    <w:t>mm</w:t>
                  </w:r>
                  <w:r>
                    <w:rPr>
                      <w:rFonts w:hAnsi="宋体" w:eastAsia="宋体"/>
                      <w:sz w:val="21"/>
                      <w:szCs w:val="21"/>
                    </w:rPr>
                    <w:t>）</w:t>
                  </w:r>
                </w:p>
              </w:tc>
              <w:tc>
                <w:tcPr>
                  <w:tcW w:w="2540" w:type="pct"/>
                </w:tcPr>
                <w:p>
                  <w:pPr>
                    <w:spacing w:line="360" w:lineRule="exact"/>
                    <w:jc w:val="center"/>
                    <w:rPr>
                      <w:sz w:val="21"/>
                      <w:szCs w:val="21"/>
                    </w:rPr>
                  </w:pPr>
                  <w:r>
                    <w:rPr>
                      <w:rFonts w:hint="eastAsia" w:eastAsia="宋体"/>
                      <w:sz w:val="21"/>
                      <w:szCs w:val="21"/>
                    </w:rPr>
                    <w:t>13.2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3" w:hRule="atLeast"/>
                <w:jc w:val="center"/>
              </w:trPr>
              <w:tc>
                <w:tcPr>
                  <w:tcW w:w="2460" w:type="pct"/>
                </w:tcPr>
                <w:p>
                  <w:pPr>
                    <w:spacing w:line="360" w:lineRule="exact"/>
                    <w:jc w:val="center"/>
                    <w:rPr>
                      <w:sz w:val="21"/>
                      <w:szCs w:val="21"/>
                    </w:rPr>
                  </w:pPr>
                  <w:r>
                    <w:rPr>
                      <w:rFonts w:hAnsi="宋体" w:eastAsia="宋体"/>
                      <w:sz w:val="21"/>
                      <w:szCs w:val="21"/>
                    </w:rPr>
                    <w:t>计算拉断力（</w:t>
                  </w:r>
                  <w:r>
                    <w:rPr>
                      <w:rFonts w:eastAsia="Times New Roman"/>
                      <w:sz w:val="21"/>
                      <w:szCs w:val="21"/>
                    </w:rPr>
                    <w:t>kN</w:t>
                  </w:r>
                  <w:r>
                    <w:rPr>
                      <w:rFonts w:hAnsi="宋体" w:eastAsia="宋体"/>
                      <w:sz w:val="21"/>
                      <w:szCs w:val="21"/>
                    </w:rPr>
                    <w:t>）</w:t>
                  </w:r>
                </w:p>
              </w:tc>
              <w:tc>
                <w:tcPr>
                  <w:tcW w:w="2540" w:type="pct"/>
                </w:tcPr>
                <w:p>
                  <w:pPr>
                    <w:spacing w:line="360" w:lineRule="exact"/>
                    <w:jc w:val="center"/>
                    <w:rPr>
                      <w:sz w:val="21"/>
                      <w:szCs w:val="21"/>
                    </w:rPr>
                  </w:pPr>
                  <w:r>
                    <w:rPr>
                      <w:rFonts w:hint="eastAsia" w:eastAsia="宋体"/>
                      <w:sz w:val="21"/>
                      <w:szCs w:val="21"/>
                    </w:rPr>
                    <w:t>77.5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2" w:hRule="atLeast"/>
                <w:jc w:val="center"/>
              </w:trPr>
              <w:tc>
                <w:tcPr>
                  <w:tcW w:w="2460" w:type="pct"/>
                </w:tcPr>
                <w:p>
                  <w:pPr>
                    <w:spacing w:line="360" w:lineRule="exact"/>
                    <w:jc w:val="center"/>
                    <w:rPr>
                      <w:sz w:val="21"/>
                      <w:szCs w:val="21"/>
                    </w:rPr>
                  </w:pPr>
                  <w:r>
                    <w:rPr>
                      <w:rFonts w:hAnsi="宋体" w:eastAsia="宋体"/>
                      <w:sz w:val="21"/>
                      <w:szCs w:val="21"/>
                    </w:rPr>
                    <w:t>重量（</w:t>
                  </w:r>
                  <w:r>
                    <w:rPr>
                      <w:rFonts w:eastAsia="Times New Roman"/>
                      <w:sz w:val="21"/>
                      <w:szCs w:val="21"/>
                    </w:rPr>
                    <w:t>kg/km</w:t>
                  </w:r>
                  <w:r>
                    <w:rPr>
                      <w:rFonts w:hAnsi="宋体" w:eastAsia="宋体"/>
                      <w:sz w:val="21"/>
                      <w:szCs w:val="21"/>
                    </w:rPr>
                    <w:t>）</w:t>
                  </w:r>
                </w:p>
              </w:tc>
              <w:tc>
                <w:tcPr>
                  <w:tcW w:w="2540" w:type="pct"/>
                </w:tcPr>
                <w:p>
                  <w:pPr>
                    <w:spacing w:line="360" w:lineRule="exact"/>
                    <w:jc w:val="center"/>
                    <w:rPr>
                      <w:sz w:val="21"/>
                      <w:szCs w:val="21"/>
                    </w:rPr>
                  </w:pPr>
                  <w:r>
                    <w:rPr>
                      <w:rFonts w:hint="eastAsia" w:eastAsia="宋体"/>
                      <w:sz w:val="21"/>
                      <w:szCs w:val="21"/>
                    </w:rPr>
                    <w:t>532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2" w:hRule="atLeast"/>
                <w:jc w:val="center"/>
              </w:trPr>
              <w:tc>
                <w:tcPr>
                  <w:tcW w:w="2460" w:type="pct"/>
                </w:tcPr>
                <w:p>
                  <w:pPr>
                    <w:spacing w:line="360" w:lineRule="exact"/>
                    <w:jc w:val="center"/>
                    <w:rPr>
                      <w:sz w:val="21"/>
                      <w:szCs w:val="21"/>
                    </w:rPr>
                  </w:pPr>
                  <w:r>
                    <w:rPr>
                      <w:rFonts w:hAnsi="宋体" w:eastAsia="宋体"/>
                      <w:sz w:val="21"/>
                      <w:szCs w:val="21"/>
                    </w:rPr>
                    <w:t>弹性模量（</w:t>
                  </w:r>
                  <w:r>
                    <w:rPr>
                      <w:rFonts w:eastAsia="Times New Roman"/>
                      <w:sz w:val="21"/>
                      <w:szCs w:val="21"/>
                    </w:rPr>
                    <w:t>GPa</w:t>
                  </w:r>
                  <w:r>
                    <w:rPr>
                      <w:rFonts w:hAnsi="宋体" w:eastAsia="宋体"/>
                      <w:sz w:val="21"/>
                      <w:szCs w:val="21"/>
                    </w:rPr>
                    <w:t>）</w:t>
                  </w:r>
                </w:p>
              </w:tc>
              <w:tc>
                <w:tcPr>
                  <w:tcW w:w="2540" w:type="pct"/>
                </w:tcPr>
                <w:p>
                  <w:pPr>
                    <w:spacing w:line="360" w:lineRule="exact"/>
                    <w:jc w:val="center"/>
                    <w:rPr>
                      <w:rFonts w:eastAsiaTheme="minorEastAsia"/>
                      <w:sz w:val="21"/>
                      <w:szCs w:val="21"/>
                    </w:rPr>
                  </w:pPr>
                  <w:r>
                    <w:rPr>
                      <w:rFonts w:hint="eastAsia" w:eastAsiaTheme="minorEastAsia"/>
                      <w:sz w:val="21"/>
                      <w:szCs w:val="21"/>
                    </w:rPr>
                    <w:t>125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2" w:hRule="atLeast"/>
                <w:jc w:val="center"/>
              </w:trPr>
              <w:tc>
                <w:tcPr>
                  <w:tcW w:w="2460" w:type="pct"/>
                </w:tcPr>
                <w:p>
                  <w:pPr>
                    <w:spacing w:line="360" w:lineRule="exact"/>
                    <w:jc w:val="center"/>
                    <w:rPr>
                      <w:sz w:val="21"/>
                      <w:szCs w:val="21"/>
                    </w:rPr>
                  </w:pPr>
                  <w:r>
                    <w:rPr>
                      <w:rFonts w:hAnsi="宋体" w:eastAsia="宋体"/>
                      <w:sz w:val="21"/>
                      <w:szCs w:val="21"/>
                    </w:rPr>
                    <w:t>线膨胀系数（</w:t>
                  </w:r>
                  <w:r>
                    <w:rPr>
                      <w:rFonts w:eastAsia="Times New Roman"/>
                      <w:sz w:val="21"/>
                      <w:szCs w:val="21"/>
                    </w:rPr>
                    <w:t>1/</w:t>
                  </w:r>
                  <w:r>
                    <w:rPr>
                      <w:rFonts w:ascii="宋体" w:hAnsi="宋体" w:eastAsia="宋体"/>
                      <w:sz w:val="21"/>
                      <w:szCs w:val="21"/>
                    </w:rPr>
                    <w:t>℃</w:t>
                  </w:r>
                  <w:r>
                    <w:rPr>
                      <w:rFonts w:hAnsi="宋体" w:eastAsia="宋体"/>
                      <w:sz w:val="21"/>
                      <w:szCs w:val="21"/>
                    </w:rPr>
                    <w:t>）</w:t>
                  </w:r>
                </w:p>
              </w:tc>
              <w:tc>
                <w:tcPr>
                  <w:tcW w:w="2540" w:type="pct"/>
                </w:tcPr>
                <w:p>
                  <w:pPr>
                    <w:spacing w:line="360" w:lineRule="exact"/>
                    <w:jc w:val="center"/>
                    <w:rPr>
                      <w:rFonts w:eastAsiaTheme="minorEastAsia"/>
                      <w:sz w:val="21"/>
                      <w:szCs w:val="21"/>
                    </w:rPr>
                  </w:pPr>
                  <w:r>
                    <w:rPr>
                      <w:rFonts w:hint="eastAsia" w:eastAsiaTheme="minorEastAsia"/>
                      <w:sz w:val="21"/>
                      <w:szCs w:val="21"/>
                    </w:rPr>
                    <w:t>14.5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34" w:type="dxa"/>
                  <w:left w:w="115" w:type="dxa"/>
                  <w:bottom w:w="0" w:type="dxa"/>
                  <w:right w:w="115" w:type="dxa"/>
                </w:tblCellMar>
              </w:tblPrEx>
              <w:trPr>
                <w:trHeight w:val="282" w:hRule="atLeast"/>
                <w:jc w:val="center"/>
              </w:trPr>
              <w:tc>
                <w:tcPr>
                  <w:tcW w:w="2460" w:type="pct"/>
                </w:tcPr>
                <w:p>
                  <w:pPr>
                    <w:spacing w:line="360" w:lineRule="exact"/>
                    <w:jc w:val="center"/>
                    <w:rPr>
                      <w:sz w:val="21"/>
                      <w:szCs w:val="21"/>
                    </w:rPr>
                  </w:pPr>
                  <w:r>
                    <w:rPr>
                      <w:rFonts w:eastAsia="Times New Roman"/>
                      <w:sz w:val="21"/>
                      <w:szCs w:val="21"/>
                    </w:rPr>
                    <w:t>20</w:t>
                  </w:r>
                  <w:r>
                    <w:rPr>
                      <w:rFonts w:ascii="宋体" w:hAnsi="宋体" w:eastAsia="宋体"/>
                      <w:sz w:val="21"/>
                      <w:szCs w:val="21"/>
                    </w:rPr>
                    <w:t>℃</w:t>
                  </w:r>
                  <w:r>
                    <w:rPr>
                      <w:rFonts w:hAnsi="宋体" w:eastAsia="宋体"/>
                      <w:sz w:val="21"/>
                      <w:szCs w:val="21"/>
                    </w:rPr>
                    <w:t>直流电阻（</w:t>
                  </w:r>
                  <w:r>
                    <w:rPr>
                      <w:rFonts w:eastAsia="宋体"/>
                      <w:sz w:val="21"/>
                      <w:szCs w:val="21"/>
                    </w:rPr>
                    <w:t>Ω</w:t>
                  </w:r>
                  <w:r>
                    <w:rPr>
                      <w:rFonts w:eastAsia="Times New Roman"/>
                      <w:sz w:val="21"/>
                      <w:szCs w:val="21"/>
                    </w:rPr>
                    <w:t>/km</w:t>
                  </w:r>
                  <w:r>
                    <w:rPr>
                      <w:rFonts w:hAnsi="宋体" w:eastAsia="宋体"/>
                      <w:sz w:val="21"/>
                      <w:szCs w:val="21"/>
                    </w:rPr>
                    <w:t>）</w:t>
                  </w:r>
                </w:p>
              </w:tc>
              <w:tc>
                <w:tcPr>
                  <w:tcW w:w="2540" w:type="pct"/>
                </w:tcPr>
                <w:p>
                  <w:pPr>
                    <w:spacing w:line="360" w:lineRule="exact"/>
                    <w:jc w:val="center"/>
                    <w:rPr>
                      <w:rFonts w:eastAsia="宋体"/>
                      <w:sz w:val="21"/>
                      <w:szCs w:val="21"/>
                    </w:rPr>
                  </w:pPr>
                  <w:r>
                    <w:rPr>
                      <w:rFonts w:eastAsia="Times New Roman"/>
                      <w:sz w:val="21"/>
                      <w:szCs w:val="21"/>
                    </w:rPr>
                    <w:t>0.</w:t>
                  </w:r>
                  <w:r>
                    <w:rPr>
                      <w:rFonts w:hint="eastAsia" w:eastAsia="宋体"/>
                      <w:sz w:val="21"/>
                      <w:szCs w:val="21"/>
                    </w:rPr>
                    <w:t>53</w:t>
                  </w:r>
                </w:p>
              </w:tc>
            </w:tr>
          </w:tbl>
          <w:p>
            <w:pPr>
              <w:adjustRightInd w:val="0"/>
              <w:snapToGrid w:val="0"/>
              <w:spacing w:line="440" w:lineRule="exact"/>
              <w:jc w:val="left"/>
              <w:rPr>
                <w:rFonts w:eastAsia="宋体"/>
                <w:b/>
                <w:sz w:val="24"/>
              </w:rPr>
            </w:pPr>
            <w:r>
              <w:rPr>
                <w:rFonts w:hint="eastAsia" w:eastAsia="宋体"/>
                <w:b/>
                <w:sz w:val="24"/>
              </w:rPr>
              <w:t>1</w:t>
            </w:r>
            <w:r>
              <w:rPr>
                <w:rFonts w:eastAsia="宋体"/>
                <w:b/>
                <w:sz w:val="24"/>
              </w:rPr>
              <w:t>.4.3.4杆塔</w:t>
            </w:r>
          </w:p>
          <w:p>
            <w:pPr>
              <w:autoSpaceDE w:val="0"/>
              <w:autoSpaceDN w:val="0"/>
              <w:adjustRightInd w:val="0"/>
              <w:spacing w:line="440" w:lineRule="exact"/>
              <w:ind w:firstLine="480" w:firstLineChars="200"/>
              <w:jc w:val="left"/>
              <w:rPr>
                <w:rFonts w:eastAsia="宋体"/>
                <w:color w:val="000000"/>
                <w:sz w:val="24"/>
              </w:rPr>
            </w:pPr>
            <w:r>
              <w:rPr>
                <w:rFonts w:eastAsia="宋体"/>
                <w:sz w:val="24"/>
              </w:rPr>
              <w:t>本工程输电线路全线共规划新建杆塔</w:t>
            </w:r>
            <w:r>
              <w:rPr>
                <w:rFonts w:hint="eastAsia" w:eastAsia="宋体"/>
                <w:sz w:val="24"/>
              </w:rPr>
              <w:t>51</w:t>
            </w:r>
            <w:r>
              <w:rPr>
                <w:rFonts w:eastAsia="宋体"/>
                <w:sz w:val="24"/>
              </w:rPr>
              <w:t>基</w:t>
            </w:r>
            <w:r>
              <w:rPr>
                <w:rFonts w:hint="eastAsia" w:eastAsia="宋体"/>
                <w:sz w:val="24"/>
              </w:rPr>
              <w:t>，</w:t>
            </w:r>
            <w:r>
              <w:rPr>
                <w:rFonts w:eastAsia="宋体"/>
                <w:sz w:val="24"/>
              </w:rPr>
              <w:t>其中</w:t>
            </w:r>
            <w:r>
              <w:rPr>
                <w:rFonts w:hint="eastAsia" w:eastAsia="宋体"/>
                <w:sz w:val="24"/>
              </w:rPr>
              <w:t>直线塔31</w:t>
            </w:r>
            <w:r>
              <w:rPr>
                <w:rFonts w:eastAsia="宋体"/>
                <w:sz w:val="24"/>
              </w:rPr>
              <w:t>基，</w:t>
            </w:r>
            <w:r>
              <w:rPr>
                <w:rFonts w:hint="eastAsia" w:eastAsia="宋体"/>
                <w:sz w:val="24"/>
              </w:rPr>
              <w:t>转角塔18</w:t>
            </w:r>
            <w:r>
              <w:rPr>
                <w:rFonts w:eastAsia="宋体"/>
                <w:sz w:val="24"/>
              </w:rPr>
              <w:t>基</w:t>
            </w:r>
            <w:r>
              <w:rPr>
                <w:rFonts w:hint="eastAsia" w:eastAsia="宋体"/>
                <w:sz w:val="24"/>
              </w:rPr>
              <w:t>，</w:t>
            </w:r>
            <w:r>
              <w:rPr>
                <w:rFonts w:eastAsia="宋体"/>
                <w:sz w:val="24"/>
              </w:rPr>
              <w:t>终端塔</w:t>
            </w:r>
            <w:r>
              <w:rPr>
                <w:rFonts w:hint="eastAsia" w:eastAsia="宋体"/>
                <w:sz w:val="24"/>
              </w:rPr>
              <w:t>2基，</w:t>
            </w:r>
            <w:r>
              <w:rPr>
                <w:rFonts w:eastAsia="宋体"/>
                <w:sz w:val="24"/>
              </w:rPr>
              <w:t>具体见表</w:t>
            </w:r>
            <w:r>
              <w:rPr>
                <w:rFonts w:hint="eastAsia" w:eastAsia="宋体"/>
                <w:sz w:val="24"/>
              </w:rPr>
              <w:t>1-</w:t>
            </w:r>
            <w:r>
              <w:rPr>
                <w:rFonts w:eastAsia="宋体"/>
                <w:sz w:val="24"/>
              </w:rPr>
              <w:t>5</w:t>
            </w:r>
            <w:r>
              <w:rPr>
                <w:rFonts w:eastAsia="宋体"/>
                <w:b/>
                <w:color w:val="000000"/>
                <w:sz w:val="24"/>
              </w:rPr>
              <w:t>。</w:t>
            </w:r>
          </w:p>
          <w:p>
            <w:pPr>
              <w:pStyle w:val="4"/>
              <w:adjustRightInd w:val="0"/>
              <w:snapToGrid w:val="0"/>
              <w:spacing w:line="440" w:lineRule="exact"/>
              <w:ind w:firstLine="440" w:firstLineChars="200"/>
              <w:rPr>
                <w:rFonts w:ascii="Times New Roman" w:hAnsi="黑体"/>
                <w:sz w:val="22"/>
                <w:szCs w:val="21"/>
              </w:rPr>
            </w:pPr>
            <w:bookmarkStart w:id="12" w:name="_Ref214248312"/>
            <w:r>
              <w:rPr>
                <w:rFonts w:ascii="Times New Roman" w:hAnsi="黑体"/>
                <w:sz w:val="22"/>
                <w:szCs w:val="21"/>
              </w:rPr>
              <w:t>表</w:t>
            </w:r>
            <w:r>
              <w:rPr>
                <w:rFonts w:ascii="Times New Roman" w:hAnsi="Times New Roman"/>
                <w:sz w:val="22"/>
                <w:szCs w:val="21"/>
              </w:rPr>
              <w:t>1-</w:t>
            </w:r>
            <w:bookmarkEnd w:id="12"/>
            <w:r>
              <w:rPr>
                <w:rFonts w:ascii="Times New Roman" w:hAnsi="Times New Roman"/>
                <w:sz w:val="22"/>
                <w:szCs w:val="21"/>
              </w:rPr>
              <w:t xml:space="preserve">5                    </w:t>
            </w:r>
            <w:r>
              <w:rPr>
                <w:rFonts w:ascii="Times New Roman" w:hAnsi="黑体"/>
                <w:sz w:val="22"/>
                <w:szCs w:val="21"/>
              </w:rPr>
              <w:t>本项目规划杆塔形式一览表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6"/>
              <w:gridCol w:w="1977"/>
              <w:gridCol w:w="1956"/>
              <w:gridCol w:w="1668"/>
              <w:gridCol w:w="16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b/>
                      <w:snapToGrid w:val="0"/>
                      <w:szCs w:val="21"/>
                    </w:rPr>
                  </w:pPr>
                  <w:r>
                    <w:rPr>
                      <w:rFonts w:ascii="Times New Roman" w:hAnsi="Times New Roman"/>
                      <w:b/>
                      <w:snapToGrid w:val="0"/>
                      <w:szCs w:val="21"/>
                    </w:rPr>
                    <w:t>序号</w:t>
                  </w:r>
                </w:p>
              </w:tc>
              <w:tc>
                <w:tcPr>
                  <w:tcW w:w="1977" w:type="dxa"/>
                  <w:vAlign w:val="center"/>
                </w:tcPr>
                <w:p>
                  <w:pPr>
                    <w:pStyle w:val="25"/>
                    <w:spacing w:line="240" w:lineRule="auto"/>
                    <w:rPr>
                      <w:rFonts w:ascii="Times New Roman" w:hAnsi="Times New Roman"/>
                      <w:b/>
                      <w:snapToGrid w:val="0"/>
                      <w:szCs w:val="21"/>
                    </w:rPr>
                  </w:pPr>
                  <w:r>
                    <w:rPr>
                      <w:rFonts w:ascii="Times New Roman" w:hAnsi="Times New Roman"/>
                      <w:b/>
                      <w:snapToGrid w:val="0"/>
                      <w:szCs w:val="21"/>
                    </w:rPr>
                    <w:t>杆塔名称</w:t>
                  </w:r>
                </w:p>
              </w:tc>
              <w:tc>
                <w:tcPr>
                  <w:tcW w:w="1956" w:type="dxa"/>
                  <w:vAlign w:val="center"/>
                </w:tcPr>
                <w:p>
                  <w:pPr>
                    <w:pStyle w:val="25"/>
                    <w:spacing w:line="240" w:lineRule="auto"/>
                    <w:rPr>
                      <w:rFonts w:ascii="Times New Roman" w:hAnsi="Times New Roman"/>
                      <w:b/>
                      <w:snapToGrid w:val="0"/>
                      <w:szCs w:val="21"/>
                    </w:rPr>
                  </w:pPr>
                  <w:r>
                    <w:rPr>
                      <w:rFonts w:ascii="Times New Roman" w:hAnsi="Times New Roman"/>
                      <w:b/>
                      <w:snapToGrid w:val="0"/>
                      <w:szCs w:val="21"/>
                    </w:rPr>
                    <w:t>型号</w:t>
                  </w:r>
                </w:p>
              </w:tc>
              <w:tc>
                <w:tcPr>
                  <w:tcW w:w="1668" w:type="dxa"/>
                  <w:vAlign w:val="center"/>
                </w:tcPr>
                <w:p>
                  <w:pPr>
                    <w:pStyle w:val="25"/>
                    <w:spacing w:line="240" w:lineRule="auto"/>
                    <w:rPr>
                      <w:rFonts w:ascii="Times New Roman" w:hAnsi="Times New Roman"/>
                      <w:b/>
                      <w:snapToGrid w:val="0"/>
                      <w:szCs w:val="21"/>
                    </w:rPr>
                  </w:pPr>
                  <w:r>
                    <w:rPr>
                      <w:rFonts w:ascii="Times New Roman" w:hAnsi="Times New Roman"/>
                      <w:b/>
                      <w:snapToGrid w:val="0"/>
                      <w:szCs w:val="21"/>
                    </w:rPr>
                    <w:t>呼高（m）</w:t>
                  </w:r>
                </w:p>
              </w:tc>
              <w:tc>
                <w:tcPr>
                  <w:tcW w:w="1629" w:type="dxa"/>
                  <w:vAlign w:val="center"/>
                </w:tcPr>
                <w:p>
                  <w:pPr>
                    <w:pStyle w:val="25"/>
                    <w:spacing w:line="240" w:lineRule="auto"/>
                    <w:rPr>
                      <w:rFonts w:ascii="Times New Roman" w:hAnsi="Times New Roman"/>
                      <w:b/>
                      <w:snapToGrid w:val="0"/>
                      <w:szCs w:val="21"/>
                    </w:rPr>
                  </w:pPr>
                  <w:r>
                    <w:rPr>
                      <w:rFonts w:ascii="Times New Roman" w:hAnsi="Times New Roman"/>
                      <w:b/>
                      <w:snapToGrid w:val="0"/>
                      <w:szCs w:val="21"/>
                    </w:rPr>
                    <w:t>数量（基）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c>
                <w:tcPr>
                  <w:tcW w:w="1977" w:type="dxa"/>
                  <w:vMerge w:val="restart"/>
                  <w:vAlign w:val="center"/>
                </w:tcPr>
                <w:p>
                  <w:pPr>
                    <w:pStyle w:val="25"/>
                    <w:spacing w:line="240" w:lineRule="auto"/>
                    <w:rPr>
                      <w:rFonts w:ascii="Times New Roman" w:hAnsi="Times New Roman"/>
                      <w:snapToGrid w:val="0"/>
                      <w:szCs w:val="21"/>
                    </w:rPr>
                  </w:pPr>
                  <w:r>
                    <w:rPr>
                      <w:rFonts w:ascii="Times New Roman" w:hAnsi="Times New Roman"/>
                      <w:snapToGrid w:val="0"/>
                      <w:szCs w:val="21"/>
                    </w:rPr>
                    <w:t>单回路直线塔</w:t>
                  </w: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1B6-ZM3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18</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c>
                <w:tcPr>
                  <w:tcW w:w="1977" w:type="dxa"/>
                  <w:vMerge w:val="continue"/>
                  <w:vAlign w:val="center"/>
                </w:tcPr>
                <w:p>
                  <w:pPr>
                    <w:pStyle w:val="25"/>
                    <w:spacing w:line="240" w:lineRule="auto"/>
                    <w:rPr>
                      <w:rFonts w:ascii="Times New Roman" w:hAnsi="Times New Roman"/>
                      <w:snapToGrid w:val="0"/>
                      <w:szCs w:val="21"/>
                    </w:rPr>
                  </w:pP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1B6-ZM3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21</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w:t>
                  </w:r>
                </w:p>
              </w:tc>
              <w:tc>
                <w:tcPr>
                  <w:tcW w:w="1977" w:type="dxa"/>
                  <w:vMerge w:val="continue"/>
                  <w:vAlign w:val="center"/>
                </w:tcPr>
                <w:p>
                  <w:pPr>
                    <w:pStyle w:val="25"/>
                    <w:spacing w:line="240" w:lineRule="auto"/>
                    <w:rPr>
                      <w:rFonts w:ascii="Times New Roman" w:hAnsi="Times New Roman"/>
                      <w:snapToGrid w:val="0"/>
                      <w:szCs w:val="21"/>
                    </w:rPr>
                  </w:pP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1B6-ZM3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30</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4</w:t>
                  </w:r>
                </w:p>
              </w:tc>
              <w:tc>
                <w:tcPr>
                  <w:tcW w:w="1977" w:type="dxa"/>
                  <w:vMerge w:val="continue"/>
                  <w:vAlign w:val="center"/>
                </w:tcPr>
                <w:p>
                  <w:pPr>
                    <w:pStyle w:val="25"/>
                    <w:spacing w:line="240" w:lineRule="auto"/>
                    <w:rPr>
                      <w:rFonts w:ascii="Times New Roman" w:hAnsi="Times New Roman"/>
                      <w:snapToGrid w:val="0"/>
                      <w:szCs w:val="21"/>
                    </w:rPr>
                  </w:pP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1B6-ZM3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33</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5</w:t>
                  </w:r>
                </w:p>
              </w:tc>
              <w:tc>
                <w:tcPr>
                  <w:tcW w:w="1977" w:type="dxa"/>
                  <w:vMerge w:val="continue"/>
                  <w:vAlign w:val="center"/>
                </w:tcPr>
                <w:p>
                  <w:pPr>
                    <w:pStyle w:val="25"/>
                    <w:spacing w:line="240" w:lineRule="auto"/>
                    <w:rPr>
                      <w:rFonts w:ascii="Times New Roman" w:hAnsi="Times New Roman"/>
                      <w:snapToGrid w:val="0"/>
                      <w:szCs w:val="21"/>
                    </w:rPr>
                  </w:pP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1B6-ZM3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36</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6</w:t>
                  </w:r>
                </w:p>
              </w:tc>
              <w:tc>
                <w:tcPr>
                  <w:tcW w:w="1977" w:type="dxa"/>
                  <w:vMerge w:val="restart"/>
                  <w:vAlign w:val="center"/>
                </w:tcPr>
                <w:p>
                  <w:pPr>
                    <w:pStyle w:val="25"/>
                    <w:spacing w:line="240" w:lineRule="auto"/>
                    <w:rPr>
                      <w:rFonts w:ascii="Times New Roman" w:hAnsi="Times New Roman"/>
                      <w:snapToGrid w:val="0"/>
                      <w:szCs w:val="21"/>
                    </w:rPr>
                  </w:pPr>
                  <w:r>
                    <w:rPr>
                      <w:rFonts w:ascii="Times New Roman" w:hAnsi="Times New Roman"/>
                      <w:snapToGrid w:val="0"/>
                      <w:szCs w:val="21"/>
                    </w:rPr>
                    <w:t>单回路转角塔</w:t>
                  </w: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1B6-J2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 xml:space="preserve">18 </w:t>
                  </w:r>
                </w:p>
              </w:tc>
              <w:tc>
                <w:tcPr>
                  <w:tcW w:w="1629" w:type="dxa"/>
                  <w:vAlign w:val="center"/>
                </w:tcPr>
                <w:p>
                  <w:pPr>
                    <w:pStyle w:val="25"/>
                    <w:spacing w:line="240" w:lineRule="auto"/>
                    <w:rPr>
                      <w:rFonts w:ascii="Times New Roman" w:hAnsi="Times New Roman"/>
                      <w:b/>
                      <w:snapToGrid w:val="0"/>
                      <w:szCs w:val="21"/>
                    </w:rPr>
                  </w:pPr>
                  <w:r>
                    <w:rPr>
                      <w:rFonts w:ascii="Times New Roman" w:hAnsi="Times New Roman"/>
                      <w:b/>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7</w:t>
                  </w:r>
                </w:p>
              </w:tc>
              <w:tc>
                <w:tcPr>
                  <w:tcW w:w="1977" w:type="dxa"/>
                  <w:vMerge w:val="continue"/>
                  <w:vAlign w:val="center"/>
                </w:tcPr>
                <w:p>
                  <w:pPr>
                    <w:pStyle w:val="25"/>
                    <w:spacing w:line="240" w:lineRule="auto"/>
                    <w:rPr>
                      <w:rFonts w:ascii="Times New Roman" w:hAnsi="Times New Roman"/>
                      <w:snapToGrid w:val="0"/>
                      <w:szCs w:val="21"/>
                    </w:rPr>
                  </w:pP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1B6-J2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24</w:t>
                  </w:r>
                </w:p>
              </w:tc>
              <w:tc>
                <w:tcPr>
                  <w:tcW w:w="1629" w:type="dxa"/>
                  <w:vAlign w:val="center"/>
                </w:tcPr>
                <w:p>
                  <w:pPr>
                    <w:pStyle w:val="25"/>
                    <w:spacing w:line="240" w:lineRule="auto"/>
                    <w:rPr>
                      <w:rFonts w:ascii="Times New Roman" w:hAnsi="Times New Roman"/>
                      <w:b/>
                      <w:snapToGrid w:val="0"/>
                      <w:szCs w:val="21"/>
                    </w:rPr>
                  </w:pPr>
                  <w:r>
                    <w:rPr>
                      <w:rFonts w:ascii="Times New Roman" w:hAnsi="Times New Roman"/>
                      <w:b/>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8</w:t>
                  </w:r>
                </w:p>
              </w:tc>
              <w:tc>
                <w:tcPr>
                  <w:tcW w:w="1977" w:type="dxa"/>
                  <w:vMerge w:val="continue"/>
                  <w:vAlign w:val="center"/>
                </w:tcPr>
                <w:p>
                  <w:pPr>
                    <w:pStyle w:val="25"/>
                    <w:spacing w:line="240" w:lineRule="auto"/>
                    <w:rPr>
                      <w:rFonts w:ascii="Times New Roman" w:hAnsi="Times New Roman"/>
                      <w:snapToGrid w:val="0"/>
                      <w:szCs w:val="21"/>
                    </w:rPr>
                  </w:pPr>
                </w:p>
              </w:tc>
              <w:tc>
                <w:tcPr>
                  <w:tcW w:w="1956" w:type="dxa"/>
                  <w:vAlign w:val="center"/>
                </w:tcPr>
                <w:p>
                  <w:pPr>
                    <w:pStyle w:val="25"/>
                    <w:spacing w:line="240" w:lineRule="auto"/>
                    <w:rPr>
                      <w:rFonts w:ascii="Times New Roman" w:hAnsi="Times New Roman"/>
                      <w:snapToGrid w:val="0"/>
                      <w:color w:val="000000"/>
                      <w:szCs w:val="21"/>
                    </w:rPr>
                  </w:pPr>
                  <w:r>
                    <w:rPr>
                      <w:rFonts w:ascii="Times New Roman" w:hAnsi="Times New Roman"/>
                      <w:snapToGrid w:val="0"/>
                      <w:color w:val="000000"/>
                      <w:szCs w:val="21"/>
                    </w:rPr>
                    <w:t>1B6- J4</w:t>
                  </w:r>
                </w:p>
              </w:tc>
              <w:tc>
                <w:tcPr>
                  <w:tcW w:w="1668" w:type="dxa"/>
                  <w:vAlign w:val="center"/>
                </w:tcPr>
                <w:p>
                  <w:pPr>
                    <w:pStyle w:val="25"/>
                    <w:spacing w:line="240" w:lineRule="auto"/>
                    <w:rPr>
                      <w:rFonts w:ascii="Times New Roman" w:hAnsi="Times New Roman"/>
                      <w:snapToGrid w:val="0"/>
                      <w:color w:val="000000"/>
                      <w:szCs w:val="21"/>
                    </w:rPr>
                  </w:pPr>
                  <w:r>
                    <w:rPr>
                      <w:rFonts w:ascii="Times New Roman" w:hAnsi="Times New Roman"/>
                      <w:snapToGrid w:val="0"/>
                      <w:color w:val="000000"/>
                      <w:szCs w:val="21"/>
                    </w:rPr>
                    <w:t>24</w:t>
                  </w:r>
                </w:p>
              </w:tc>
              <w:tc>
                <w:tcPr>
                  <w:tcW w:w="1629" w:type="dxa"/>
                  <w:vAlign w:val="center"/>
                </w:tcPr>
                <w:p>
                  <w:pPr>
                    <w:pStyle w:val="25"/>
                    <w:spacing w:line="240" w:lineRule="auto"/>
                    <w:rPr>
                      <w:rFonts w:ascii="Times New Roman" w:hAnsi="Times New Roman"/>
                      <w:snapToGrid w:val="0"/>
                      <w:color w:val="000000"/>
                      <w:szCs w:val="21"/>
                    </w:rPr>
                  </w:pPr>
                  <w:r>
                    <w:rPr>
                      <w:rFonts w:ascii="Times New Roman" w:hAnsi="Times New Roman"/>
                      <w:snapToGrid w:val="0"/>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9</w:t>
                  </w:r>
                </w:p>
              </w:tc>
              <w:tc>
                <w:tcPr>
                  <w:tcW w:w="1977" w:type="dxa"/>
                  <w:vMerge w:val="continue"/>
                  <w:vAlign w:val="center"/>
                </w:tcPr>
                <w:p>
                  <w:pPr>
                    <w:pStyle w:val="25"/>
                    <w:spacing w:line="240" w:lineRule="auto"/>
                    <w:rPr>
                      <w:rFonts w:ascii="Times New Roman" w:hAnsi="Times New Roman"/>
                      <w:snapToGrid w:val="0"/>
                      <w:szCs w:val="21"/>
                    </w:rPr>
                  </w:pP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GG-110PJ90</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15</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10</w:t>
                  </w:r>
                </w:p>
              </w:tc>
              <w:tc>
                <w:tcPr>
                  <w:tcW w:w="1977" w:type="dxa"/>
                  <w:vAlign w:val="center"/>
                </w:tcPr>
                <w:p>
                  <w:pPr>
                    <w:pStyle w:val="25"/>
                    <w:spacing w:line="240" w:lineRule="auto"/>
                    <w:rPr>
                      <w:rFonts w:ascii="Times New Roman" w:hAnsi="Times New Roman"/>
                      <w:snapToGrid w:val="0"/>
                      <w:szCs w:val="21"/>
                    </w:rPr>
                  </w:pPr>
                  <w:r>
                    <w:rPr>
                      <w:rFonts w:ascii="Times New Roman" w:hAnsi="Times New Roman"/>
                      <w:szCs w:val="21"/>
                    </w:rPr>
                    <w:t>单回路终端塔</w:t>
                  </w:r>
                </w:p>
              </w:tc>
              <w:tc>
                <w:tcPr>
                  <w:tcW w:w="19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1B6-DJ</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24</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11</w:t>
                  </w:r>
                </w:p>
              </w:tc>
              <w:tc>
                <w:tcPr>
                  <w:tcW w:w="1977" w:type="dxa"/>
                  <w:vMerge w:val="restart"/>
                  <w:vAlign w:val="center"/>
                </w:tcPr>
                <w:p>
                  <w:pPr>
                    <w:pStyle w:val="25"/>
                    <w:spacing w:line="240" w:lineRule="auto"/>
                    <w:rPr>
                      <w:rFonts w:ascii="Times New Roman" w:hAnsi="Times New Roman"/>
                      <w:szCs w:val="21"/>
                    </w:rPr>
                  </w:pPr>
                  <w:r>
                    <w:rPr>
                      <w:rFonts w:ascii="Times New Roman" w:hAnsi="Times New Roman"/>
                      <w:snapToGrid w:val="0"/>
                      <w:szCs w:val="21"/>
                    </w:rPr>
                    <w:t>单回路直线塔</w:t>
                  </w:r>
                </w:p>
              </w:tc>
              <w:tc>
                <w:tcPr>
                  <w:tcW w:w="1956" w:type="dxa"/>
                  <w:vAlign w:val="center"/>
                </w:tcPr>
                <w:p>
                  <w:pPr>
                    <w:jc w:val="center"/>
                    <w:rPr>
                      <w:rFonts w:eastAsia="宋体"/>
                      <w:snapToGrid w:val="0"/>
                      <w:sz w:val="21"/>
                      <w:szCs w:val="21"/>
                    </w:rPr>
                  </w:pPr>
                  <w:r>
                    <w:rPr>
                      <w:rFonts w:eastAsia="宋体"/>
                      <w:snapToGrid w:val="0"/>
                      <w:sz w:val="21"/>
                      <w:szCs w:val="21"/>
                    </w:rPr>
                    <w:t>110GT-ZB2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18</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12</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21</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13</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24</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14</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27</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15</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30</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16</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24</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17</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30</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18</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36</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19</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110GT-ZB3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39</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20</w:t>
                  </w:r>
                </w:p>
              </w:tc>
              <w:tc>
                <w:tcPr>
                  <w:tcW w:w="1977" w:type="dxa"/>
                  <w:vMerge w:val="restart"/>
                  <w:vAlign w:val="center"/>
                </w:tcPr>
                <w:p>
                  <w:pPr>
                    <w:pStyle w:val="25"/>
                    <w:spacing w:line="240" w:lineRule="auto"/>
                    <w:rPr>
                      <w:rFonts w:ascii="Times New Roman" w:hAnsi="Times New Roman"/>
                      <w:szCs w:val="21"/>
                    </w:rPr>
                  </w:pPr>
                  <w:r>
                    <w:rPr>
                      <w:rFonts w:ascii="Times New Roman" w:hAnsi="Times New Roman"/>
                      <w:szCs w:val="21"/>
                    </w:rPr>
                    <w:t>单回路转角塔</w:t>
                  </w:r>
                </w:p>
              </w:tc>
              <w:tc>
                <w:tcPr>
                  <w:tcW w:w="1956" w:type="dxa"/>
                  <w:vAlign w:val="center"/>
                </w:tcPr>
                <w:p>
                  <w:pPr>
                    <w:jc w:val="center"/>
                    <w:rPr>
                      <w:rFonts w:eastAsia="宋体"/>
                      <w:snapToGrid w:val="0"/>
                      <w:sz w:val="21"/>
                      <w:szCs w:val="21"/>
                    </w:rPr>
                  </w:pPr>
                  <w:r>
                    <w:rPr>
                      <w:rFonts w:eastAsia="宋体"/>
                      <w:snapToGrid w:val="0"/>
                      <w:sz w:val="21"/>
                      <w:szCs w:val="21"/>
                    </w:rPr>
                    <w:t>110GT-J1</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12</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21</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110GT-J1</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21</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22</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110GT-J2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24</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23</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110GT-J2</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36</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24</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110GT-J3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21</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25</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110GT-J3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21</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26</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110GT-J3</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33</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27</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110GT-DJ</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12</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28</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110GT-DJ</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15</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29</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110GT-DJ</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24</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30</w:t>
                  </w:r>
                </w:p>
              </w:tc>
              <w:tc>
                <w:tcPr>
                  <w:tcW w:w="1977" w:type="dxa"/>
                  <w:vMerge w:val="continue"/>
                  <w:vAlign w:val="center"/>
                </w:tcPr>
                <w:p>
                  <w:pPr>
                    <w:pStyle w:val="25"/>
                    <w:spacing w:line="240" w:lineRule="auto"/>
                    <w:rPr>
                      <w:rFonts w:ascii="Times New Roman" w:hAnsi="Times New Roman"/>
                      <w:szCs w:val="21"/>
                    </w:rPr>
                  </w:pPr>
                </w:p>
              </w:tc>
              <w:tc>
                <w:tcPr>
                  <w:tcW w:w="1956" w:type="dxa"/>
                  <w:vAlign w:val="center"/>
                </w:tcPr>
                <w:p>
                  <w:pPr>
                    <w:jc w:val="center"/>
                    <w:rPr>
                      <w:rFonts w:eastAsia="宋体"/>
                      <w:snapToGrid w:val="0"/>
                      <w:sz w:val="21"/>
                      <w:szCs w:val="21"/>
                    </w:rPr>
                  </w:pPr>
                  <w:r>
                    <w:rPr>
                      <w:rFonts w:eastAsia="宋体"/>
                      <w:snapToGrid w:val="0"/>
                      <w:sz w:val="21"/>
                      <w:szCs w:val="21"/>
                    </w:rPr>
                    <w:t>110GT-DJ</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27</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56"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31</w:t>
                  </w:r>
                </w:p>
              </w:tc>
              <w:tc>
                <w:tcPr>
                  <w:tcW w:w="1977" w:type="dxa"/>
                  <w:vAlign w:val="center"/>
                </w:tcPr>
                <w:p>
                  <w:pPr>
                    <w:pStyle w:val="25"/>
                    <w:spacing w:line="240" w:lineRule="auto"/>
                    <w:rPr>
                      <w:rFonts w:ascii="Times New Roman" w:hAnsi="Times New Roman"/>
                      <w:szCs w:val="21"/>
                    </w:rPr>
                  </w:pPr>
                  <w:r>
                    <w:rPr>
                      <w:rFonts w:ascii="Times New Roman" w:hAnsi="Times New Roman"/>
                      <w:szCs w:val="21"/>
                    </w:rPr>
                    <w:t>双回路终端塔</w:t>
                  </w:r>
                </w:p>
              </w:tc>
              <w:tc>
                <w:tcPr>
                  <w:tcW w:w="1956" w:type="dxa"/>
                  <w:vAlign w:val="center"/>
                </w:tcPr>
                <w:p>
                  <w:pPr>
                    <w:jc w:val="center"/>
                    <w:rPr>
                      <w:rFonts w:eastAsia="宋体"/>
                      <w:snapToGrid w:val="0"/>
                      <w:sz w:val="21"/>
                      <w:szCs w:val="21"/>
                    </w:rPr>
                  </w:pPr>
                  <w:r>
                    <w:rPr>
                      <w:rFonts w:eastAsia="宋体"/>
                      <w:snapToGrid w:val="0"/>
                      <w:sz w:val="21"/>
                      <w:szCs w:val="21"/>
                    </w:rPr>
                    <w:t>1E6-SDJ</w:t>
                  </w:r>
                </w:p>
              </w:tc>
              <w:tc>
                <w:tcPr>
                  <w:tcW w:w="1668"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21</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657" w:type="dxa"/>
                  <w:gridSpan w:val="4"/>
                  <w:vAlign w:val="center"/>
                </w:tcPr>
                <w:p>
                  <w:pPr>
                    <w:pStyle w:val="25"/>
                    <w:spacing w:line="240" w:lineRule="auto"/>
                    <w:rPr>
                      <w:rFonts w:ascii="Times New Roman" w:hAnsi="Times New Roman"/>
                      <w:snapToGrid w:val="0"/>
                      <w:szCs w:val="21"/>
                    </w:rPr>
                  </w:pPr>
                  <w:r>
                    <w:rPr>
                      <w:rFonts w:ascii="Times New Roman" w:hAnsi="Times New Roman"/>
                      <w:snapToGrid w:val="0"/>
                      <w:szCs w:val="21"/>
                    </w:rPr>
                    <w:t>合计</w:t>
                  </w:r>
                </w:p>
              </w:tc>
              <w:tc>
                <w:tcPr>
                  <w:tcW w:w="1629" w:type="dxa"/>
                  <w:vAlign w:val="center"/>
                </w:tcPr>
                <w:p>
                  <w:pPr>
                    <w:pStyle w:val="25"/>
                    <w:spacing w:line="240" w:lineRule="auto"/>
                    <w:rPr>
                      <w:rFonts w:ascii="Times New Roman" w:hAnsi="Times New Roman"/>
                      <w:snapToGrid w:val="0"/>
                      <w:szCs w:val="21"/>
                    </w:rPr>
                  </w:pPr>
                  <w:r>
                    <w:rPr>
                      <w:rFonts w:ascii="Times New Roman" w:hAnsi="Times New Roman"/>
                      <w:snapToGrid w:val="0"/>
                      <w:szCs w:val="21"/>
                    </w:rPr>
                    <w:t>51</w:t>
                  </w:r>
                </w:p>
              </w:tc>
            </w:tr>
          </w:tbl>
          <w:p>
            <w:pPr>
              <w:adjustRightInd w:val="0"/>
              <w:snapToGrid w:val="0"/>
              <w:spacing w:line="520" w:lineRule="exact"/>
              <w:jc w:val="left"/>
              <w:rPr>
                <w:rFonts w:eastAsia="宋体"/>
                <w:b/>
                <w:sz w:val="24"/>
              </w:rPr>
            </w:pPr>
            <w:r>
              <w:rPr>
                <w:rFonts w:eastAsia="宋体"/>
                <w:b/>
                <w:sz w:val="24"/>
              </w:rPr>
              <w:t>1.4.3.5导线对地及交叉跨越距离</w:t>
            </w:r>
          </w:p>
          <w:p>
            <w:pPr>
              <w:adjustRightInd w:val="0"/>
              <w:snapToGrid w:val="0"/>
              <w:spacing w:line="520" w:lineRule="exact"/>
              <w:ind w:firstLine="360" w:firstLineChars="150"/>
              <w:rPr>
                <w:rFonts w:eastAsia="宋体"/>
                <w:snapToGrid w:val="0"/>
                <w:sz w:val="24"/>
              </w:rPr>
            </w:pPr>
            <w:r>
              <w:rPr>
                <w:rFonts w:hint="eastAsia" w:eastAsia="宋体"/>
                <w:snapToGrid w:val="0"/>
                <w:sz w:val="24"/>
              </w:rPr>
              <w:t>（1）</w:t>
            </w:r>
            <w:r>
              <w:rPr>
                <w:rFonts w:eastAsia="宋体"/>
                <w:snapToGrid w:val="0"/>
                <w:sz w:val="24"/>
              </w:rPr>
              <w:t>导线对地距离</w:t>
            </w:r>
          </w:p>
          <w:p>
            <w:pPr>
              <w:autoSpaceDE w:val="0"/>
              <w:autoSpaceDN w:val="0"/>
              <w:adjustRightInd w:val="0"/>
              <w:spacing w:line="520" w:lineRule="exact"/>
              <w:ind w:firstLine="480" w:firstLineChars="200"/>
              <w:jc w:val="left"/>
              <w:rPr>
                <w:rFonts w:eastAsia="宋体"/>
                <w:sz w:val="24"/>
              </w:rPr>
            </w:pPr>
            <w:r>
              <w:rPr>
                <w:rFonts w:eastAsia="宋体"/>
                <w:sz w:val="24"/>
              </w:rPr>
              <w:t>根据《110～750kV架空输电线路设计规范》</w:t>
            </w:r>
            <w:r>
              <w:rPr>
                <w:rFonts w:hint="eastAsia" w:eastAsia="宋体"/>
                <w:sz w:val="24"/>
              </w:rPr>
              <w:t>（</w:t>
            </w:r>
            <w:r>
              <w:rPr>
                <w:rFonts w:eastAsia="宋体"/>
                <w:sz w:val="24"/>
              </w:rPr>
              <w:t>GB50545-2010</w:t>
            </w:r>
            <w:r>
              <w:rPr>
                <w:rFonts w:hint="eastAsia" w:eastAsia="宋体"/>
                <w:sz w:val="24"/>
              </w:rPr>
              <w:t>）</w:t>
            </w:r>
            <w:r>
              <w:rPr>
                <w:rFonts w:eastAsia="宋体"/>
                <w:sz w:val="24"/>
              </w:rPr>
              <w:t>，不同地区110kV线路导线对地距离取值见表</w:t>
            </w:r>
            <w:r>
              <w:rPr>
                <w:rFonts w:hint="eastAsia" w:eastAsia="宋体"/>
                <w:sz w:val="24"/>
              </w:rPr>
              <w:t>1-</w:t>
            </w:r>
            <w:r>
              <w:rPr>
                <w:rFonts w:eastAsia="宋体"/>
                <w:sz w:val="24"/>
              </w:rPr>
              <w:t>6。</w:t>
            </w:r>
          </w:p>
          <w:p>
            <w:pPr>
              <w:adjustRightInd w:val="0"/>
              <w:snapToGrid w:val="0"/>
              <w:spacing w:line="520" w:lineRule="exact"/>
              <w:ind w:firstLine="720" w:firstLineChars="300"/>
              <w:rPr>
                <w:rFonts w:eastAsia="黑体"/>
                <w:sz w:val="24"/>
                <w:szCs w:val="21"/>
              </w:rPr>
            </w:pPr>
            <w:bookmarkStart w:id="13" w:name="_Ref156558982"/>
            <w:r>
              <w:rPr>
                <w:rFonts w:hAnsi="黑体" w:eastAsia="黑体"/>
                <w:sz w:val="24"/>
                <w:szCs w:val="21"/>
              </w:rPr>
              <w:t>表</w:t>
            </w:r>
            <w:r>
              <w:rPr>
                <w:rFonts w:eastAsia="黑体"/>
                <w:sz w:val="24"/>
                <w:szCs w:val="21"/>
              </w:rPr>
              <w:t>1-</w:t>
            </w:r>
            <w:bookmarkEnd w:id="13"/>
            <w:r>
              <w:rPr>
                <w:rFonts w:eastAsia="黑体"/>
                <w:sz w:val="24"/>
                <w:szCs w:val="21"/>
              </w:rPr>
              <w:t xml:space="preserve">6           </w:t>
            </w:r>
            <w:r>
              <w:rPr>
                <w:rFonts w:hAnsi="黑体" w:eastAsia="黑体"/>
                <w:sz w:val="24"/>
                <w:szCs w:val="21"/>
              </w:rPr>
              <w:t>不同地区</w:t>
            </w:r>
            <w:r>
              <w:rPr>
                <w:rFonts w:eastAsia="黑体"/>
                <w:sz w:val="24"/>
                <w:szCs w:val="21"/>
              </w:rPr>
              <w:t>110kV</w:t>
            </w:r>
            <w:r>
              <w:rPr>
                <w:rFonts w:hAnsi="黑体" w:eastAsia="黑体"/>
                <w:sz w:val="24"/>
                <w:szCs w:val="21"/>
              </w:rPr>
              <w:t>导线的对地距离</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2894"/>
              <w:gridCol w:w="1168"/>
              <w:gridCol w:w="1739"/>
              <w:gridCol w:w="17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b/>
                      <w:kern w:val="0"/>
                      <w:sz w:val="21"/>
                      <w:szCs w:val="20"/>
                    </w:rPr>
                  </w:pPr>
                  <w:r>
                    <w:rPr>
                      <w:rFonts w:eastAsia="宋体"/>
                      <w:b/>
                      <w:kern w:val="0"/>
                      <w:sz w:val="21"/>
                      <w:szCs w:val="20"/>
                    </w:rPr>
                    <w:t>序号</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b/>
                      <w:kern w:val="0"/>
                      <w:sz w:val="21"/>
                      <w:szCs w:val="20"/>
                    </w:rPr>
                  </w:pPr>
                  <w:r>
                    <w:rPr>
                      <w:rFonts w:eastAsia="宋体"/>
                      <w:b/>
                      <w:kern w:val="0"/>
                      <w:sz w:val="21"/>
                      <w:szCs w:val="20"/>
                    </w:rPr>
                    <w:t>线路经过地区</w:t>
                  </w:r>
                </w:p>
              </w:tc>
              <w:tc>
                <w:tcPr>
                  <w:tcW w:w="1932" w:type="dxa"/>
                  <w:vAlign w:val="center"/>
                </w:tcPr>
                <w:p>
                  <w:pPr>
                    <w:tabs>
                      <w:tab w:val="left" w:pos="3720"/>
                    </w:tabs>
                    <w:autoSpaceDE w:val="0"/>
                    <w:autoSpaceDN w:val="0"/>
                    <w:adjustRightInd w:val="0"/>
                    <w:spacing w:line="360" w:lineRule="exact"/>
                    <w:jc w:val="center"/>
                    <w:textAlignment w:val="bottom"/>
                    <w:rPr>
                      <w:rFonts w:eastAsia="宋体"/>
                      <w:b/>
                      <w:kern w:val="0"/>
                      <w:sz w:val="21"/>
                      <w:szCs w:val="20"/>
                    </w:rPr>
                  </w:pPr>
                  <w:r>
                    <w:rPr>
                      <w:rFonts w:eastAsia="宋体"/>
                      <w:b/>
                      <w:kern w:val="0"/>
                      <w:sz w:val="21"/>
                      <w:szCs w:val="20"/>
                    </w:rPr>
                    <w:t>最小距离(m)</w:t>
                  </w:r>
                </w:p>
              </w:tc>
              <w:tc>
                <w:tcPr>
                  <w:tcW w:w="1982" w:type="dxa"/>
                  <w:vAlign w:val="center"/>
                </w:tcPr>
                <w:p>
                  <w:pPr>
                    <w:tabs>
                      <w:tab w:val="left" w:pos="3720"/>
                    </w:tabs>
                    <w:autoSpaceDE w:val="0"/>
                    <w:autoSpaceDN w:val="0"/>
                    <w:adjustRightInd w:val="0"/>
                    <w:spacing w:line="360" w:lineRule="exact"/>
                    <w:jc w:val="center"/>
                    <w:textAlignment w:val="bottom"/>
                    <w:rPr>
                      <w:rFonts w:eastAsia="宋体"/>
                      <w:b/>
                      <w:kern w:val="0"/>
                      <w:sz w:val="21"/>
                      <w:szCs w:val="20"/>
                    </w:rPr>
                  </w:pPr>
                  <w:r>
                    <w:rPr>
                      <w:rFonts w:eastAsia="宋体"/>
                      <w:b/>
                      <w:kern w:val="0"/>
                      <w:sz w:val="21"/>
                      <w:szCs w:val="20"/>
                    </w:rPr>
                    <w:t>计算条件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1</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居民区</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7.0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最大弧垂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2</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非居民区</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6.0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最大弧垂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3</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导线与交通困难地区垂直距离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5.0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最大弧垂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4</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导线与步行可到地区净空距离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5.0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最大风偏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5</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导线与步行达不到地区净空距离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3.0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最大风偏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Merge w:val="restart"/>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6</w:t>
                  </w:r>
                </w:p>
              </w:tc>
              <w:tc>
                <w:tcPr>
                  <w:tcW w:w="3255" w:type="dxa"/>
                  <w:vMerge w:val="restart"/>
                  <w:vAlign w:val="center"/>
                </w:tcPr>
                <w:p>
                  <w:pPr>
                    <w:adjustRightInd w:val="0"/>
                    <w:snapToGrid w:val="0"/>
                    <w:spacing w:line="360" w:lineRule="exact"/>
                    <w:jc w:val="center"/>
                    <w:rPr>
                      <w:rFonts w:eastAsia="宋体"/>
                    </w:rPr>
                  </w:pPr>
                  <w:r>
                    <w:rPr>
                      <w:rFonts w:eastAsia="宋体"/>
                      <w:sz w:val="21"/>
                    </w:rPr>
                    <w:t>对建筑物（对城市多层或规划建筑物指水平距离）</w:t>
                  </w:r>
                </w:p>
              </w:tc>
              <w:tc>
                <w:tcPr>
                  <w:tcW w:w="12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垂直距离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5.0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最大弧垂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Merge w:val="continue"/>
                  <w:vAlign w:val="center"/>
                </w:tcPr>
                <w:p>
                  <w:pPr>
                    <w:tabs>
                      <w:tab w:val="left" w:pos="3720"/>
                    </w:tabs>
                    <w:autoSpaceDE w:val="0"/>
                    <w:autoSpaceDN w:val="0"/>
                    <w:adjustRightInd w:val="0"/>
                    <w:spacing w:line="360" w:lineRule="exact"/>
                    <w:jc w:val="center"/>
                    <w:textAlignment w:val="bottom"/>
                    <w:rPr>
                      <w:rFonts w:eastAsia="宋体"/>
                      <w:kern w:val="0"/>
                      <w:sz w:val="21"/>
                      <w:szCs w:val="20"/>
                    </w:rPr>
                  </w:pPr>
                </w:p>
              </w:tc>
              <w:tc>
                <w:tcPr>
                  <w:tcW w:w="3255" w:type="dxa"/>
                  <w:vMerge w:val="continue"/>
                  <w:vAlign w:val="center"/>
                </w:tcPr>
                <w:p>
                  <w:pPr>
                    <w:tabs>
                      <w:tab w:val="left" w:pos="3720"/>
                    </w:tabs>
                    <w:autoSpaceDE w:val="0"/>
                    <w:autoSpaceDN w:val="0"/>
                    <w:adjustRightInd w:val="0"/>
                    <w:spacing w:line="360" w:lineRule="exact"/>
                    <w:jc w:val="center"/>
                    <w:textAlignment w:val="bottom"/>
                    <w:rPr>
                      <w:rFonts w:eastAsia="宋体"/>
                      <w:kern w:val="0"/>
                      <w:sz w:val="21"/>
                      <w:szCs w:val="20"/>
                    </w:rPr>
                  </w:pPr>
                </w:p>
              </w:tc>
              <w:tc>
                <w:tcPr>
                  <w:tcW w:w="12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净空距离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4.0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最大风偏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7</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对不在规划范围内的建筑物的水平距离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2.0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无风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Merge w:val="restart"/>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8</w:t>
                  </w:r>
                </w:p>
              </w:tc>
              <w:tc>
                <w:tcPr>
                  <w:tcW w:w="3255" w:type="dxa"/>
                  <w:vMerge w:val="restart"/>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对树木自然生长高</w:t>
                  </w:r>
                </w:p>
              </w:tc>
              <w:tc>
                <w:tcPr>
                  <w:tcW w:w="12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垂直距离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4.0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最大弧垂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Merge w:val="continue"/>
                  <w:vAlign w:val="center"/>
                </w:tcPr>
                <w:p>
                  <w:pPr>
                    <w:tabs>
                      <w:tab w:val="left" w:pos="3720"/>
                    </w:tabs>
                    <w:autoSpaceDE w:val="0"/>
                    <w:autoSpaceDN w:val="0"/>
                    <w:adjustRightInd w:val="0"/>
                    <w:spacing w:line="360" w:lineRule="exact"/>
                    <w:jc w:val="center"/>
                    <w:textAlignment w:val="bottom"/>
                    <w:rPr>
                      <w:rFonts w:eastAsia="宋体"/>
                      <w:kern w:val="0"/>
                      <w:sz w:val="21"/>
                      <w:szCs w:val="20"/>
                    </w:rPr>
                  </w:pPr>
                </w:p>
              </w:tc>
              <w:tc>
                <w:tcPr>
                  <w:tcW w:w="3255" w:type="dxa"/>
                  <w:vMerge w:val="continue"/>
                  <w:vAlign w:val="center"/>
                </w:tcPr>
                <w:p>
                  <w:pPr>
                    <w:tabs>
                      <w:tab w:val="left" w:pos="3720"/>
                    </w:tabs>
                    <w:autoSpaceDE w:val="0"/>
                    <w:autoSpaceDN w:val="0"/>
                    <w:adjustRightInd w:val="0"/>
                    <w:spacing w:line="360" w:lineRule="exact"/>
                    <w:jc w:val="center"/>
                    <w:textAlignment w:val="bottom"/>
                    <w:rPr>
                      <w:rFonts w:eastAsia="宋体"/>
                      <w:kern w:val="0"/>
                      <w:sz w:val="21"/>
                      <w:szCs w:val="20"/>
                    </w:rPr>
                  </w:pPr>
                </w:p>
              </w:tc>
              <w:tc>
                <w:tcPr>
                  <w:tcW w:w="12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净空距离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3.5</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最大风偏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7"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9</w:t>
                  </w:r>
                </w:p>
              </w:tc>
              <w:tc>
                <w:tcPr>
                  <w:tcW w:w="4542" w:type="dxa"/>
                  <w:gridSpan w:val="2"/>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对果树、经济林及城市街道行道树距离</w:t>
                  </w:r>
                </w:p>
              </w:tc>
              <w:tc>
                <w:tcPr>
                  <w:tcW w:w="193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3.0</w:t>
                  </w:r>
                </w:p>
              </w:tc>
              <w:tc>
                <w:tcPr>
                  <w:tcW w:w="1982" w:type="dxa"/>
                  <w:vAlign w:val="center"/>
                </w:tcPr>
                <w:p>
                  <w:pPr>
                    <w:tabs>
                      <w:tab w:val="left" w:pos="3720"/>
                    </w:tabs>
                    <w:autoSpaceDE w:val="0"/>
                    <w:autoSpaceDN w:val="0"/>
                    <w:adjustRightInd w:val="0"/>
                    <w:spacing w:line="360" w:lineRule="exact"/>
                    <w:jc w:val="center"/>
                    <w:textAlignment w:val="bottom"/>
                    <w:rPr>
                      <w:rFonts w:eastAsia="宋体"/>
                      <w:kern w:val="0"/>
                      <w:sz w:val="21"/>
                      <w:szCs w:val="20"/>
                    </w:rPr>
                  </w:pPr>
                  <w:r>
                    <w:rPr>
                      <w:rFonts w:eastAsia="宋体"/>
                      <w:kern w:val="0"/>
                      <w:sz w:val="21"/>
                      <w:szCs w:val="20"/>
                    </w:rPr>
                    <w:t>最大弧垂</w:t>
                  </w:r>
                </w:p>
              </w:tc>
            </w:tr>
          </w:tbl>
          <w:p>
            <w:pPr>
              <w:spacing w:line="520" w:lineRule="exact"/>
              <w:ind w:firstLine="480" w:firstLineChars="200"/>
              <w:rPr>
                <w:rFonts w:eastAsia="宋体"/>
                <w:snapToGrid w:val="0"/>
                <w:sz w:val="24"/>
              </w:rPr>
            </w:pPr>
            <w:r>
              <w:rPr>
                <w:rFonts w:hint="eastAsia" w:eastAsia="宋体"/>
                <w:snapToGrid w:val="0"/>
                <w:sz w:val="24"/>
              </w:rPr>
              <w:t>（</w:t>
            </w:r>
            <w:r>
              <w:rPr>
                <w:rFonts w:eastAsia="宋体"/>
                <w:snapToGrid w:val="0"/>
                <w:sz w:val="24"/>
              </w:rPr>
              <w:t>2</w:t>
            </w:r>
            <w:r>
              <w:rPr>
                <w:rFonts w:hAnsi="宋体" w:eastAsia="宋体"/>
                <w:snapToGrid w:val="0"/>
                <w:sz w:val="24"/>
              </w:rPr>
              <w:t>）交叉跨越距离</w:t>
            </w:r>
          </w:p>
          <w:p>
            <w:pPr>
              <w:autoSpaceDE w:val="0"/>
              <w:autoSpaceDN w:val="0"/>
              <w:adjustRightInd w:val="0"/>
              <w:spacing w:line="520" w:lineRule="exact"/>
              <w:ind w:firstLine="480" w:firstLineChars="200"/>
              <w:jc w:val="left"/>
              <w:rPr>
                <w:rFonts w:eastAsia="宋体"/>
                <w:sz w:val="24"/>
              </w:rPr>
            </w:pPr>
            <w:r>
              <w:rPr>
                <w:rFonts w:hAnsi="宋体" w:eastAsia="宋体"/>
                <w:sz w:val="24"/>
              </w:rPr>
              <w:t>根据《</w:t>
            </w:r>
            <w:r>
              <w:rPr>
                <w:rFonts w:eastAsia="宋体"/>
                <w:sz w:val="24"/>
              </w:rPr>
              <w:t>110</w:t>
            </w:r>
            <w:r>
              <w:rPr>
                <w:rFonts w:hAnsi="宋体" w:eastAsia="宋体"/>
                <w:sz w:val="24"/>
              </w:rPr>
              <w:t>～</w:t>
            </w:r>
            <w:r>
              <w:rPr>
                <w:rFonts w:eastAsia="宋体"/>
                <w:sz w:val="24"/>
              </w:rPr>
              <w:t>750kV</w:t>
            </w:r>
            <w:r>
              <w:rPr>
                <w:rFonts w:hAnsi="宋体" w:eastAsia="宋体"/>
                <w:sz w:val="24"/>
              </w:rPr>
              <w:t>架空送电线路设计规范》（</w:t>
            </w:r>
            <w:r>
              <w:rPr>
                <w:rFonts w:eastAsia="宋体"/>
                <w:sz w:val="24"/>
              </w:rPr>
              <w:t>GB 50545-2010</w:t>
            </w:r>
            <w:r>
              <w:rPr>
                <w:rFonts w:hAnsi="宋体" w:eastAsia="宋体"/>
                <w:sz w:val="24"/>
              </w:rPr>
              <w:t>）规定，导线对各种被跨越物的最小垂直距离如表</w:t>
            </w:r>
            <w:r>
              <w:rPr>
                <w:rFonts w:eastAsia="宋体"/>
                <w:sz w:val="24"/>
              </w:rPr>
              <w:t>1-7</w:t>
            </w:r>
            <w:r>
              <w:rPr>
                <w:rFonts w:hAnsi="宋体" w:eastAsia="宋体"/>
                <w:sz w:val="24"/>
              </w:rPr>
              <w:t>所示。</w:t>
            </w:r>
            <w:bookmarkStart w:id="14" w:name="_Ref123461375"/>
          </w:p>
          <w:bookmarkEnd w:id="14"/>
          <w:p>
            <w:pPr>
              <w:pStyle w:val="4"/>
              <w:adjustRightInd w:val="0"/>
              <w:snapToGrid w:val="0"/>
              <w:spacing w:line="520" w:lineRule="exact"/>
              <w:ind w:firstLine="480" w:firstLineChars="200"/>
              <w:rPr>
                <w:rFonts w:ascii="Times New Roman" w:hAnsi="Times New Roman" w:eastAsia="宋体"/>
                <w:sz w:val="24"/>
                <w:szCs w:val="24"/>
              </w:rPr>
            </w:pPr>
            <w:bookmarkStart w:id="15" w:name="_Ref174162985"/>
            <w:r>
              <w:rPr>
                <w:rFonts w:ascii="Times New Roman" w:hAnsi="宋体" w:eastAsia="宋体"/>
                <w:sz w:val="24"/>
                <w:szCs w:val="24"/>
              </w:rPr>
              <w:t>表</w:t>
            </w:r>
            <w:bookmarkEnd w:id="15"/>
            <w:r>
              <w:rPr>
                <w:rFonts w:ascii="Times New Roman" w:hAnsi="Times New Roman" w:eastAsia="宋体"/>
                <w:sz w:val="24"/>
                <w:szCs w:val="24"/>
              </w:rPr>
              <w:t xml:space="preserve">1-7    </w:t>
            </w:r>
            <w:r>
              <w:rPr>
                <w:rFonts w:ascii="Times New Roman" w:hAnsi="宋体" w:eastAsia="宋体"/>
                <w:sz w:val="24"/>
                <w:szCs w:val="24"/>
              </w:rPr>
              <w:t>导线与道路、河流、管道及各种架空线路交叉跨越的距离</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96"/>
              <w:gridCol w:w="2107"/>
              <w:gridCol w:w="1695"/>
              <w:gridCol w:w="30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4013" w:type="dxa"/>
                  <w:gridSpan w:val="2"/>
                  <w:vAlign w:val="center"/>
                </w:tcPr>
                <w:p>
                  <w:pPr>
                    <w:pStyle w:val="25"/>
                    <w:spacing w:line="360" w:lineRule="exact"/>
                    <w:rPr>
                      <w:rFonts w:ascii="Times New Roman" w:hAnsi="Times New Roman"/>
                      <w:b/>
                    </w:rPr>
                  </w:pPr>
                  <w:r>
                    <w:rPr>
                      <w:rFonts w:ascii="Times New Roman" w:hAnsi="Times New Roman"/>
                      <w:b/>
                    </w:rPr>
                    <w:t>被跨越物名称</w:t>
                  </w:r>
                </w:p>
              </w:tc>
              <w:tc>
                <w:tcPr>
                  <w:tcW w:w="1869" w:type="dxa"/>
                  <w:vAlign w:val="center"/>
                </w:tcPr>
                <w:p>
                  <w:pPr>
                    <w:pStyle w:val="25"/>
                    <w:spacing w:line="360" w:lineRule="exact"/>
                    <w:rPr>
                      <w:rFonts w:ascii="Times New Roman" w:hAnsi="Times New Roman"/>
                      <w:b/>
                    </w:rPr>
                  </w:pPr>
                  <w:r>
                    <w:rPr>
                      <w:rFonts w:ascii="Times New Roman" w:hAnsi="Times New Roman"/>
                      <w:b/>
                    </w:rPr>
                    <w:t>最小距离(m)</w:t>
                  </w:r>
                </w:p>
              </w:tc>
              <w:tc>
                <w:tcPr>
                  <w:tcW w:w="3361" w:type="dxa"/>
                  <w:vAlign w:val="center"/>
                </w:tcPr>
                <w:p>
                  <w:pPr>
                    <w:pStyle w:val="25"/>
                    <w:spacing w:line="360" w:lineRule="exact"/>
                    <w:rPr>
                      <w:rFonts w:ascii="Times New Roman" w:hAnsi="Times New Roman"/>
                      <w:b/>
                    </w:rPr>
                  </w:pPr>
                  <w:r>
                    <w:rPr>
                      <w:rFonts w:ascii="Times New Roman" w:hAnsi="Times New Roman"/>
                      <w:b/>
                    </w:rPr>
                    <w:t>计算条件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1656" w:type="dxa"/>
                  <w:vAlign w:val="center"/>
                </w:tcPr>
                <w:p>
                  <w:pPr>
                    <w:pStyle w:val="25"/>
                    <w:spacing w:line="360" w:lineRule="exact"/>
                    <w:rPr>
                      <w:rFonts w:ascii="Times New Roman" w:hAnsi="Times New Roman"/>
                    </w:rPr>
                  </w:pPr>
                  <w:r>
                    <w:rPr>
                      <w:rFonts w:ascii="Times New Roman" w:hAnsi="Times New Roman"/>
                    </w:rPr>
                    <w:t>公路路面</w:t>
                  </w:r>
                </w:p>
              </w:tc>
              <w:tc>
                <w:tcPr>
                  <w:tcW w:w="2357" w:type="dxa"/>
                  <w:vAlign w:val="center"/>
                </w:tcPr>
                <w:p>
                  <w:pPr>
                    <w:pStyle w:val="25"/>
                    <w:spacing w:line="360" w:lineRule="exact"/>
                    <w:rPr>
                      <w:rFonts w:ascii="Times New Roman" w:hAnsi="Times New Roman"/>
                    </w:rPr>
                  </w:pPr>
                  <w:r>
                    <w:rPr>
                      <w:rFonts w:ascii="Times New Roman" w:hAnsi="Times New Roman"/>
                    </w:rPr>
                    <w:t>等级公路</w:t>
                  </w:r>
                </w:p>
              </w:tc>
              <w:tc>
                <w:tcPr>
                  <w:tcW w:w="1869" w:type="dxa"/>
                  <w:vAlign w:val="center"/>
                </w:tcPr>
                <w:p>
                  <w:pPr>
                    <w:pStyle w:val="25"/>
                    <w:spacing w:line="360" w:lineRule="exact"/>
                    <w:rPr>
                      <w:rFonts w:ascii="Times New Roman" w:hAnsi="Times New Roman"/>
                    </w:rPr>
                  </w:pPr>
                  <w:r>
                    <w:rPr>
                      <w:rFonts w:ascii="Times New Roman" w:hAnsi="Times New Roman"/>
                    </w:rPr>
                    <w:t>7.0</w:t>
                  </w:r>
                </w:p>
              </w:tc>
              <w:tc>
                <w:tcPr>
                  <w:tcW w:w="3361" w:type="dxa"/>
                  <w:vAlign w:val="center"/>
                </w:tcPr>
                <w:p>
                  <w:pPr>
                    <w:pStyle w:val="25"/>
                    <w:spacing w:line="360" w:lineRule="exact"/>
                    <w:rPr>
                      <w:rFonts w:ascii="Times New Roman" w:hAnsi="Times New Roman"/>
                    </w:rPr>
                  </w:pPr>
                  <w:r>
                    <w:rPr>
                      <w:rFonts w:ascii="Times New Roman" w:hAnsi="Times New Roman"/>
                    </w:rPr>
                    <w:t>70</w:t>
                  </w:r>
                  <w:r>
                    <w:rPr>
                      <w:rFonts w:hint="eastAsia" w:cs="宋体"/>
                    </w:rPr>
                    <w:t>℃</w:t>
                  </w:r>
                  <w:r>
                    <w:rPr>
                      <w:rFonts w:ascii="Times New Roman" w:hAnsi="Times New Roman"/>
                    </w:rPr>
                    <w:t>时导线最大弧垂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656" w:type="dxa"/>
                  <w:vMerge w:val="restart"/>
                  <w:vAlign w:val="center"/>
                </w:tcPr>
                <w:p>
                  <w:pPr>
                    <w:pStyle w:val="25"/>
                    <w:spacing w:line="360" w:lineRule="exact"/>
                    <w:rPr>
                      <w:rFonts w:ascii="Times New Roman" w:hAnsi="Times New Roman"/>
                    </w:rPr>
                  </w:pPr>
                  <w:r>
                    <w:rPr>
                      <w:rFonts w:ascii="Times New Roman" w:hAnsi="Times New Roman"/>
                    </w:rPr>
                    <w:t>不通航河流</w:t>
                  </w:r>
                </w:p>
              </w:tc>
              <w:tc>
                <w:tcPr>
                  <w:tcW w:w="2357" w:type="dxa"/>
                  <w:vAlign w:val="center"/>
                </w:tcPr>
                <w:p>
                  <w:pPr>
                    <w:pStyle w:val="25"/>
                    <w:spacing w:line="360" w:lineRule="exact"/>
                    <w:rPr>
                      <w:rFonts w:ascii="Times New Roman" w:hAnsi="Times New Roman"/>
                    </w:rPr>
                  </w:pPr>
                  <w:r>
                    <w:rPr>
                      <w:rFonts w:ascii="Times New Roman" w:hAnsi="Times New Roman"/>
                    </w:rPr>
                    <w:t>至百年一遇洪水位</w:t>
                  </w:r>
                </w:p>
              </w:tc>
              <w:tc>
                <w:tcPr>
                  <w:tcW w:w="1869" w:type="dxa"/>
                  <w:vAlign w:val="center"/>
                </w:tcPr>
                <w:p>
                  <w:pPr>
                    <w:pStyle w:val="25"/>
                    <w:spacing w:line="360" w:lineRule="exact"/>
                    <w:rPr>
                      <w:rFonts w:ascii="Times New Roman" w:hAnsi="Times New Roman"/>
                    </w:rPr>
                  </w:pPr>
                  <w:r>
                    <w:rPr>
                      <w:rFonts w:ascii="Times New Roman" w:hAnsi="Times New Roman"/>
                    </w:rPr>
                    <w:t>3.0</w:t>
                  </w:r>
                </w:p>
              </w:tc>
              <w:tc>
                <w:tcPr>
                  <w:tcW w:w="3361" w:type="dxa"/>
                  <w:vAlign w:val="center"/>
                </w:tcPr>
                <w:p>
                  <w:pPr>
                    <w:pStyle w:val="25"/>
                    <w:spacing w:line="360" w:lineRule="exact"/>
                    <w:rPr>
                      <w:rFonts w:ascii="Times New Roman" w:hAnsi="Times New Roman"/>
                    </w:rPr>
                  </w:pPr>
                  <w:r>
                    <w:rPr>
                      <w:rFonts w:ascii="Times New Roman" w:hAnsi="Times New Roman"/>
                    </w:rPr>
                    <w:t>40</w:t>
                  </w:r>
                  <w:r>
                    <w:rPr>
                      <w:rFonts w:hint="eastAsia" w:cs="宋体"/>
                    </w:rPr>
                    <w:t>℃</w:t>
                  </w:r>
                  <w:r>
                    <w:rPr>
                      <w:rFonts w:ascii="Times New Roman" w:hAnsi="Times New Roman"/>
                    </w:rPr>
                    <w:t>时导线最大弧垂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656" w:type="dxa"/>
                  <w:vMerge w:val="continue"/>
                  <w:vAlign w:val="center"/>
                </w:tcPr>
                <w:p>
                  <w:pPr>
                    <w:pStyle w:val="25"/>
                    <w:spacing w:line="360" w:lineRule="exact"/>
                    <w:rPr>
                      <w:rFonts w:ascii="Times New Roman" w:hAnsi="Times New Roman"/>
                    </w:rPr>
                  </w:pPr>
                </w:p>
              </w:tc>
              <w:tc>
                <w:tcPr>
                  <w:tcW w:w="2357" w:type="dxa"/>
                  <w:vAlign w:val="center"/>
                </w:tcPr>
                <w:p>
                  <w:pPr>
                    <w:pStyle w:val="25"/>
                    <w:spacing w:line="360" w:lineRule="exact"/>
                    <w:rPr>
                      <w:rFonts w:ascii="Times New Roman" w:hAnsi="Times New Roman"/>
                    </w:rPr>
                  </w:pPr>
                  <w:r>
                    <w:rPr>
                      <w:rFonts w:ascii="Times New Roman" w:hAnsi="Times New Roman"/>
                    </w:rPr>
                    <w:t>冬季至冰面</w:t>
                  </w:r>
                </w:p>
              </w:tc>
              <w:tc>
                <w:tcPr>
                  <w:tcW w:w="1869" w:type="dxa"/>
                  <w:vAlign w:val="center"/>
                </w:tcPr>
                <w:p>
                  <w:pPr>
                    <w:pStyle w:val="25"/>
                    <w:spacing w:line="360" w:lineRule="exact"/>
                    <w:rPr>
                      <w:rFonts w:ascii="Times New Roman" w:hAnsi="Times New Roman"/>
                    </w:rPr>
                  </w:pPr>
                  <w:r>
                    <w:rPr>
                      <w:rFonts w:ascii="Times New Roman" w:hAnsi="Times New Roman"/>
                    </w:rPr>
                    <w:t>6.0</w:t>
                  </w:r>
                </w:p>
              </w:tc>
              <w:tc>
                <w:tcPr>
                  <w:tcW w:w="3361" w:type="dxa"/>
                  <w:vAlign w:val="center"/>
                </w:tcPr>
                <w:p>
                  <w:pPr>
                    <w:pStyle w:val="25"/>
                    <w:spacing w:line="360" w:lineRule="exact"/>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jc w:val="center"/>
              </w:trPr>
              <w:tc>
                <w:tcPr>
                  <w:tcW w:w="1656" w:type="dxa"/>
                  <w:vAlign w:val="center"/>
                </w:tcPr>
                <w:p>
                  <w:pPr>
                    <w:pStyle w:val="25"/>
                    <w:spacing w:line="360" w:lineRule="exact"/>
                    <w:rPr>
                      <w:rFonts w:ascii="Times New Roman" w:hAnsi="Times New Roman"/>
                    </w:rPr>
                  </w:pPr>
                  <w:r>
                    <w:rPr>
                      <w:rFonts w:ascii="Times New Roman" w:hAnsi="Times New Roman"/>
                    </w:rPr>
                    <w:t>电 力 线</w:t>
                  </w:r>
                </w:p>
              </w:tc>
              <w:tc>
                <w:tcPr>
                  <w:tcW w:w="2357" w:type="dxa"/>
                  <w:vAlign w:val="center"/>
                </w:tcPr>
                <w:p>
                  <w:pPr>
                    <w:pStyle w:val="25"/>
                    <w:spacing w:line="360" w:lineRule="exact"/>
                    <w:rPr>
                      <w:rFonts w:ascii="Times New Roman" w:hAnsi="Times New Roman"/>
                    </w:rPr>
                  </w:pPr>
                  <w:r>
                    <w:rPr>
                      <w:rFonts w:ascii="Times New Roman" w:hAnsi="Times New Roman"/>
                    </w:rPr>
                    <w:t>至导线或地线</w:t>
                  </w:r>
                </w:p>
              </w:tc>
              <w:tc>
                <w:tcPr>
                  <w:tcW w:w="1869" w:type="dxa"/>
                  <w:vAlign w:val="center"/>
                </w:tcPr>
                <w:p>
                  <w:pPr>
                    <w:pStyle w:val="25"/>
                    <w:spacing w:line="360" w:lineRule="exact"/>
                    <w:rPr>
                      <w:rFonts w:ascii="Times New Roman" w:hAnsi="Times New Roman"/>
                    </w:rPr>
                  </w:pPr>
                  <w:r>
                    <w:rPr>
                      <w:rFonts w:ascii="Times New Roman" w:hAnsi="Times New Roman"/>
                    </w:rPr>
                    <w:t>3.0</w:t>
                  </w:r>
                </w:p>
              </w:tc>
              <w:tc>
                <w:tcPr>
                  <w:tcW w:w="3361" w:type="dxa"/>
                  <w:vAlign w:val="center"/>
                </w:tcPr>
                <w:p>
                  <w:pPr>
                    <w:pStyle w:val="25"/>
                    <w:spacing w:line="360" w:lineRule="exact"/>
                    <w:rPr>
                      <w:rFonts w:ascii="Times New Roman" w:hAnsi="Times New Roman"/>
                    </w:rPr>
                  </w:pPr>
                  <w:r>
                    <w:rPr>
                      <w:rFonts w:ascii="Times New Roman" w:hAnsi="Times New Roman"/>
                    </w:rPr>
                    <w:t>40</w:t>
                  </w:r>
                  <w:r>
                    <w:rPr>
                      <w:rFonts w:hint="eastAsia" w:cs="宋体"/>
                    </w:rPr>
                    <w:t>℃</w:t>
                  </w:r>
                  <w:r>
                    <w:rPr>
                      <w:rFonts w:ascii="Times New Roman" w:hAnsi="Times New Roman"/>
                    </w:rPr>
                    <w:t>时导线最大弧垂</w:t>
                  </w:r>
                </w:p>
              </w:tc>
            </w:tr>
          </w:tbl>
          <w:p>
            <w:pPr>
              <w:adjustRightInd w:val="0"/>
              <w:snapToGrid w:val="0"/>
              <w:spacing w:line="520" w:lineRule="exact"/>
              <w:rPr>
                <w:rFonts w:eastAsia="宋体"/>
                <w:b/>
                <w:sz w:val="24"/>
              </w:rPr>
            </w:pPr>
            <w:r>
              <w:rPr>
                <w:rFonts w:eastAsia="宋体"/>
                <w:b/>
                <w:sz w:val="24"/>
              </w:rPr>
              <w:t>1.4.3.6架空电力线路保护区</w:t>
            </w:r>
          </w:p>
          <w:p>
            <w:pPr>
              <w:autoSpaceDE w:val="0"/>
              <w:autoSpaceDN w:val="0"/>
              <w:adjustRightInd w:val="0"/>
              <w:spacing w:line="520" w:lineRule="exact"/>
              <w:ind w:firstLine="480" w:firstLineChars="200"/>
              <w:rPr>
                <w:rFonts w:eastAsia="宋体"/>
                <w:sz w:val="24"/>
              </w:rPr>
            </w:pPr>
            <w:r>
              <w:rPr>
                <w:rFonts w:eastAsia="宋体"/>
                <w:sz w:val="24"/>
              </w:rPr>
              <w:t>根据国务院令第239号《电力设施保护条例》第十条，电力线路保护区，架空电力线路保护区：导线边线向外侧水平延伸并垂直于地面所形成的两平行面内的区域，110kV线路在一般地区时边线延伸距离为10m。</w:t>
            </w:r>
          </w:p>
          <w:p>
            <w:pPr>
              <w:adjustRightInd w:val="0"/>
              <w:snapToGrid w:val="0"/>
              <w:spacing w:line="520" w:lineRule="exact"/>
              <w:jc w:val="left"/>
              <w:rPr>
                <w:rFonts w:eastAsia="宋体"/>
                <w:b/>
                <w:sz w:val="24"/>
              </w:rPr>
            </w:pPr>
            <w:r>
              <w:rPr>
                <w:rFonts w:eastAsia="宋体"/>
                <w:b/>
                <w:sz w:val="24"/>
              </w:rPr>
              <w:t>1.4.3.7输电线路工程主要经济技术指标</w:t>
            </w:r>
          </w:p>
          <w:p>
            <w:pPr>
              <w:autoSpaceDE w:val="0"/>
              <w:autoSpaceDN w:val="0"/>
              <w:adjustRightInd w:val="0"/>
              <w:spacing w:line="520" w:lineRule="exact"/>
              <w:ind w:firstLine="480" w:firstLineChars="200"/>
              <w:jc w:val="left"/>
              <w:rPr>
                <w:rFonts w:eastAsia="宋体"/>
                <w:sz w:val="24"/>
              </w:rPr>
            </w:pPr>
            <w:r>
              <w:rPr>
                <w:rFonts w:eastAsia="宋体"/>
                <w:sz w:val="24"/>
              </w:rPr>
              <w:t>输电线路工程主要技术经济指标见表</w:t>
            </w:r>
            <w:r>
              <w:rPr>
                <w:rFonts w:hint="eastAsia" w:eastAsia="宋体"/>
                <w:sz w:val="24"/>
              </w:rPr>
              <w:t>1-</w:t>
            </w:r>
            <w:r>
              <w:rPr>
                <w:rFonts w:eastAsia="宋体"/>
                <w:sz w:val="24"/>
              </w:rPr>
              <w:t>8。</w:t>
            </w:r>
            <w:bookmarkStart w:id="16" w:name="_Ref171409611"/>
          </w:p>
          <w:p>
            <w:pPr>
              <w:pStyle w:val="4"/>
              <w:adjustRightInd w:val="0"/>
              <w:snapToGrid w:val="0"/>
              <w:spacing w:line="520" w:lineRule="exact"/>
              <w:ind w:firstLine="480" w:firstLineChars="200"/>
              <w:rPr>
                <w:rFonts w:ascii="Times New Roman" w:hAnsi="Times New Roman"/>
                <w:sz w:val="24"/>
                <w:szCs w:val="24"/>
              </w:rPr>
            </w:pPr>
            <w:r>
              <w:rPr>
                <w:rFonts w:ascii="Times New Roman" w:hAnsi="黑体"/>
                <w:sz w:val="24"/>
                <w:szCs w:val="24"/>
              </w:rPr>
              <w:t>表</w:t>
            </w:r>
            <w:r>
              <w:rPr>
                <w:rFonts w:ascii="Times New Roman" w:hAnsi="Times New Roman"/>
                <w:sz w:val="24"/>
                <w:szCs w:val="24"/>
              </w:rPr>
              <w:t>1-</w:t>
            </w:r>
            <w:bookmarkEnd w:id="16"/>
            <w:r>
              <w:rPr>
                <w:rFonts w:ascii="Times New Roman" w:hAnsi="Times New Roman"/>
                <w:sz w:val="24"/>
                <w:szCs w:val="24"/>
              </w:rPr>
              <w:t xml:space="preserve">8              </w:t>
            </w:r>
            <w:r>
              <w:rPr>
                <w:rFonts w:ascii="Times New Roman" w:hAnsi="黑体"/>
                <w:sz w:val="24"/>
                <w:szCs w:val="24"/>
              </w:rPr>
              <w:t>输电线路工程主要技术经济指标</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89"/>
              <w:gridCol w:w="55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063" w:type="dxa"/>
                  <w:vAlign w:val="center"/>
                </w:tcPr>
                <w:p>
                  <w:pPr>
                    <w:pStyle w:val="19"/>
                    <w:adjustRightInd/>
                    <w:snapToGrid/>
                    <w:spacing w:before="0" w:beforeAutospacing="0" w:after="0" w:afterAutospacing="0" w:line="240" w:lineRule="auto"/>
                    <w:rPr>
                      <w:rFonts w:ascii="Times New Roman" w:hAnsi="Times New Roman"/>
                      <w:kern w:val="2"/>
                    </w:rPr>
                  </w:pPr>
                  <w:r>
                    <w:rPr>
                      <w:rFonts w:ascii="Times New Roman" w:hAnsi="宋体"/>
                      <w:kern w:val="2"/>
                    </w:rPr>
                    <w:t>电压等级</w:t>
                  </w:r>
                </w:p>
              </w:tc>
              <w:tc>
                <w:tcPr>
                  <w:tcW w:w="6180" w:type="dxa"/>
                  <w:vAlign w:val="center"/>
                </w:tcPr>
                <w:p>
                  <w:pPr>
                    <w:jc w:val="center"/>
                    <w:rPr>
                      <w:rFonts w:eastAsia="宋体"/>
                      <w:sz w:val="21"/>
                      <w:szCs w:val="21"/>
                    </w:rPr>
                  </w:pPr>
                  <w:r>
                    <w:rPr>
                      <w:rFonts w:eastAsia="宋体"/>
                      <w:sz w:val="21"/>
                      <w:szCs w:val="21"/>
                    </w:rPr>
                    <w:t>110kV</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063" w:type="dxa"/>
                  <w:vAlign w:val="center"/>
                </w:tcPr>
                <w:p>
                  <w:pPr>
                    <w:adjustRightInd w:val="0"/>
                    <w:snapToGrid w:val="0"/>
                    <w:ind w:firstLine="28"/>
                    <w:jc w:val="center"/>
                    <w:rPr>
                      <w:rFonts w:eastAsia="宋体"/>
                      <w:sz w:val="21"/>
                      <w:szCs w:val="21"/>
                    </w:rPr>
                  </w:pPr>
                  <w:r>
                    <w:rPr>
                      <w:rFonts w:hAnsi="宋体" w:eastAsia="宋体"/>
                      <w:sz w:val="21"/>
                      <w:szCs w:val="21"/>
                    </w:rPr>
                    <w:t>线路名称</w:t>
                  </w:r>
                </w:p>
              </w:tc>
              <w:tc>
                <w:tcPr>
                  <w:tcW w:w="6180" w:type="dxa"/>
                  <w:vAlign w:val="center"/>
                </w:tcPr>
                <w:p>
                  <w:pPr>
                    <w:ind w:firstLine="17"/>
                    <w:jc w:val="center"/>
                    <w:rPr>
                      <w:rFonts w:eastAsia="宋体"/>
                      <w:color w:val="000000"/>
                      <w:sz w:val="21"/>
                      <w:szCs w:val="21"/>
                    </w:rPr>
                  </w:pPr>
                  <w:r>
                    <w:rPr>
                      <w:rFonts w:eastAsia="宋体"/>
                      <w:color w:val="000000"/>
                      <w:sz w:val="21"/>
                      <w:szCs w:val="21"/>
                    </w:rPr>
                    <w:t>110kV月湾变至110kV升压站线路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063" w:type="dxa"/>
                  <w:vAlign w:val="center"/>
                </w:tcPr>
                <w:p>
                  <w:pPr>
                    <w:jc w:val="center"/>
                    <w:rPr>
                      <w:rFonts w:eastAsia="宋体"/>
                      <w:sz w:val="21"/>
                      <w:szCs w:val="21"/>
                    </w:rPr>
                  </w:pPr>
                  <w:r>
                    <w:rPr>
                      <w:rFonts w:hAnsi="宋体" w:eastAsia="宋体"/>
                      <w:sz w:val="21"/>
                      <w:szCs w:val="21"/>
                    </w:rPr>
                    <w:t>回</w:t>
                  </w:r>
                  <w:r>
                    <w:rPr>
                      <w:rFonts w:eastAsia="宋体"/>
                      <w:sz w:val="21"/>
                      <w:szCs w:val="21"/>
                    </w:rPr>
                    <w:t xml:space="preserve"> </w:t>
                  </w:r>
                  <w:r>
                    <w:rPr>
                      <w:rFonts w:hAnsi="宋体" w:eastAsia="宋体"/>
                      <w:sz w:val="21"/>
                      <w:szCs w:val="21"/>
                    </w:rPr>
                    <w:t>路</w:t>
                  </w:r>
                  <w:r>
                    <w:rPr>
                      <w:rFonts w:eastAsia="宋体"/>
                      <w:sz w:val="21"/>
                      <w:szCs w:val="21"/>
                    </w:rPr>
                    <w:t xml:space="preserve"> </w:t>
                  </w:r>
                  <w:r>
                    <w:rPr>
                      <w:rFonts w:hAnsi="宋体" w:eastAsia="宋体"/>
                      <w:sz w:val="21"/>
                      <w:szCs w:val="21"/>
                    </w:rPr>
                    <w:t>数</w:t>
                  </w:r>
                </w:p>
              </w:tc>
              <w:tc>
                <w:tcPr>
                  <w:tcW w:w="6180" w:type="dxa"/>
                  <w:vAlign w:val="center"/>
                </w:tcPr>
                <w:p>
                  <w:pPr>
                    <w:ind w:firstLine="17"/>
                    <w:jc w:val="center"/>
                    <w:rPr>
                      <w:rFonts w:eastAsia="宋体"/>
                      <w:color w:val="000000"/>
                      <w:sz w:val="21"/>
                      <w:szCs w:val="21"/>
                    </w:rPr>
                  </w:pPr>
                  <w:r>
                    <w:rPr>
                      <w:rFonts w:eastAsia="宋体"/>
                      <w:color w:val="000000"/>
                      <w:sz w:val="21"/>
                      <w:szCs w:val="21"/>
                    </w:rPr>
                    <w:t>1回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063" w:type="dxa"/>
                  <w:vAlign w:val="center"/>
                </w:tcPr>
                <w:p>
                  <w:pPr>
                    <w:pStyle w:val="19"/>
                    <w:adjustRightInd/>
                    <w:snapToGrid/>
                    <w:spacing w:before="0" w:beforeAutospacing="0" w:after="0" w:afterAutospacing="0" w:line="240" w:lineRule="auto"/>
                    <w:rPr>
                      <w:rFonts w:ascii="Times New Roman" w:hAnsi="Times New Roman"/>
                      <w:kern w:val="2"/>
                    </w:rPr>
                  </w:pPr>
                  <w:r>
                    <w:rPr>
                      <w:rFonts w:ascii="Times New Roman" w:hAnsi="宋体"/>
                      <w:kern w:val="2"/>
                    </w:rPr>
                    <w:t>路径长度（</w:t>
                  </w:r>
                  <w:r>
                    <w:rPr>
                      <w:rFonts w:ascii="Times New Roman" w:hAnsi="Times New Roman"/>
                      <w:kern w:val="2"/>
                    </w:rPr>
                    <w:t>km</w:t>
                  </w:r>
                  <w:r>
                    <w:rPr>
                      <w:rFonts w:ascii="Times New Roman" w:hAnsi="宋体"/>
                      <w:kern w:val="2"/>
                    </w:rPr>
                    <w:t>）</w:t>
                  </w:r>
                </w:p>
              </w:tc>
              <w:tc>
                <w:tcPr>
                  <w:tcW w:w="6180" w:type="dxa"/>
                  <w:vAlign w:val="center"/>
                </w:tcPr>
                <w:p>
                  <w:pPr>
                    <w:adjustRightInd w:val="0"/>
                    <w:snapToGrid w:val="0"/>
                    <w:jc w:val="center"/>
                    <w:rPr>
                      <w:rFonts w:eastAsia="宋体"/>
                      <w:color w:val="000000"/>
                      <w:sz w:val="21"/>
                      <w:szCs w:val="21"/>
                    </w:rPr>
                  </w:pPr>
                  <w:r>
                    <w:rPr>
                      <w:rFonts w:eastAsia="宋体"/>
                      <w:color w:val="000000"/>
                      <w:kern w:val="0"/>
                      <w:sz w:val="21"/>
                      <w:szCs w:val="21"/>
                    </w:rPr>
                    <w:t>线路长度14.56</w:t>
                  </w:r>
                  <w:r>
                    <w:rPr>
                      <w:rFonts w:hint="eastAsia" w:eastAsia="宋体"/>
                      <w:color w:val="000000"/>
                      <w:kern w:val="0"/>
                      <w:sz w:val="21"/>
                      <w:szCs w:val="21"/>
                    </w:rPr>
                    <w:t>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063" w:type="dxa"/>
                  <w:vAlign w:val="center"/>
                </w:tcPr>
                <w:p>
                  <w:pPr>
                    <w:pStyle w:val="19"/>
                    <w:adjustRightInd/>
                    <w:snapToGrid/>
                    <w:spacing w:before="0" w:beforeAutospacing="0" w:after="0" w:afterAutospacing="0" w:line="240" w:lineRule="auto"/>
                    <w:rPr>
                      <w:rFonts w:ascii="Times New Roman" w:hAnsi="Times New Roman"/>
                      <w:kern w:val="2"/>
                    </w:rPr>
                  </w:pPr>
                  <w:r>
                    <w:rPr>
                      <w:rFonts w:ascii="Times New Roman" w:hAnsi="宋体"/>
                      <w:kern w:val="2"/>
                    </w:rPr>
                    <w:t>杆塔数量（基）</w:t>
                  </w:r>
                </w:p>
              </w:tc>
              <w:tc>
                <w:tcPr>
                  <w:tcW w:w="6180" w:type="dxa"/>
                  <w:vAlign w:val="center"/>
                </w:tcPr>
                <w:p>
                  <w:pPr>
                    <w:jc w:val="center"/>
                    <w:rPr>
                      <w:rFonts w:eastAsia="宋体"/>
                      <w:color w:val="000000"/>
                      <w:sz w:val="21"/>
                      <w:szCs w:val="21"/>
                      <w:highlight w:val="yellow"/>
                    </w:rPr>
                  </w:pPr>
                  <w:r>
                    <w:rPr>
                      <w:rFonts w:eastAsia="宋体"/>
                      <w:color w:val="000000"/>
                      <w:spacing w:val="-2"/>
                      <w:kern w:val="16"/>
                      <w:sz w:val="21"/>
                    </w:rPr>
                    <w:t>新建塔基共51基，其中直线塔31基，转角塔18基，终端塔2基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3063" w:type="dxa"/>
                  <w:vAlign w:val="center"/>
                </w:tcPr>
                <w:p>
                  <w:pPr>
                    <w:pStyle w:val="19"/>
                    <w:adjustRightInd/>
                    <w:snapToGrid/>
                    <w:spacing w:before="0" w:beforeAutospacing="0" w:after="0" w:afterAutospacing="0" w:line="240" w:lineRule="auto"/>
                    <w:rPr>
                      <w:rFonts w:ascii="Times New Roman" w:hAnsi="Times New Roman"/>
                      <w:kern w:val="2"/>
                    </w:rPr>
                  </w:pPr>
                  <w:r>
                    <w:rPr>
                      <w:rFonts w:ascii="Times New Roman" w:hAnsi="宋体"/>
                      <w:kern w:val="2"/>
                    </w:rPr>
                    <w:t>沿线地形情况</w:t>
                  </w:r>
                </w:p>
              </w:tc>
              <w:tc>
                <w:tcPr>
                  <w:tcW w:w="6180" w:type="dxa"/>
                  <w:vAlign w:val="center"/>
                </w:tcPr>
                <w:p>
                  <w:pPr>
                    <w:jc w:val="center"/>
                    <w:rPr>
                      <w:rFonts w:eastAsia="宋体"/>
                      <w:color w:val="000000"/>
                      <w:sz w:val="21"/>
                      <w:szCs w:val="21"/>
                      <w:highlight w:val="yellow"/>
                    </w:rPr>
                  </w:pPr>
                  <w:r>
                    <w:rPr>
                      <w:rFonts w:eastAsia="宋体"/>
                      <w:color w:val="000000"/>
                      <w:sz w:val="21"/>
                      <w:szCs w:val="21"/>
                    </w:rPr>
                    <w:t>山地，地形复杂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3063" w:type="dxa"/>
                  <w:vAlign w:val="center"/>
                </w:tcPr>
                <w:p>
                  <w:pPr>
                    <w:jc w:val="center"/>
                    <w:rPr>
                      <w:rFonts w:eastAsia="宋体"/>
                      <w:color w:val="000000" w:themeColor="text1"/>
                      <w:sz w:val="21"/>
                      <w:szCs w:val="21"/>
                    </w:rPr>
                  </w:pPr>
                  <w:r>
                    <w:rPr>
                      <w:rFonts w:hAnsi="宋体" w:eastAsia="宋体"/>
                      <w:color w:val="000000" w:themeColor="text1"/>
                      <w:sz w:val="21"/>
                      <w:szCs w:val="21"/>
                    </w:rPr>
                    <w:t>塔基总占地（</w:t>
                  </w:r>
                  <w:r>
                    <w:rPr>
                      <w:rFonts w:eastAsia="宋体"/>
                      <w:color w:val="000000" w:themeColor="text1"/>
                      <w:sz w:val="21"/>
                      <w:szCs w:val="21"/>
                    </w:rPr>
                    <w:t>m</w:t>
                  </w:r>
                  <w:r>
                    <w:rPr>
                      <w:rFonts w:eastAsia="宋体"/>
                      <w:color w:val="000000" w:themeColor="text1"/>
                      <w:sz w:val="21"/>
                      <w:szCs w:val="21"/>
                      <w:vertAlign w:val="superscript"/>
                    </w:rPr>
                    <w:t>2</w:t>
                  </w:r>
                  <w:r>
                    <w:rPr>
                      <w:rFonts w:hAnsi="宋体" w:eastAsia="宋体"/>
                      <w:color w:val="000000" w:themeColor="text1"/>
                      <w:sz w:val="21"/>
                      <w:szCs w:val="21"/>
                    </w:rPr>
                    <w:t>）</w:t>
                  </w:r>
                </w:p>
              </w:tc>
              <w:tc>
                <w:tcPr>
                  <w:tcW w:w="6180" w:type="dxa"/>
                  <w:vAlign w:val="center"/>
                </w:tcPr>
                <w:p>
                  <w:pPr>
                    <w:pStyle w:val="19"/>
                    <w:adjustRightInd/>
                    <w:snapToGrid/>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2550</w:t>
                  </w:r>
                </w:p>
              </w:tc>
            </w:tr>
          </w:tbl>
          <w:p>
            <w:pPr>
              <w:adjustRightInd w:val="0"/>
              <w:snapToGrid w:val="0"/>
              <w:spacing w:line="520" w:lineRule="exact"/>
              <w:rPr>
                <w:rFonts w:eastAsia="宋体"/>
                <w:b/>
                <w:sz w:val="24"/>
              </w:rPr>
            </w:pPr>
            <w:r>
              <w:rPr>
                <w:rFonts w:eastAsia="宋体"/>
                <w:b/>
                <w:sz w:val="24"/>
              </w:rPr>
              <w:t>1.4.3.8本项目交叉跨越情况</w:t>
            </w:r>
          </w:p>
          <w:p>
            <w:pPr>
              <w:autoSpaceDE w:val="0"/>
              <w:autoSpaceDN w:val="0"/>
              <w:adjustRightInd w:val="0"/>
              <w:spacing w:line="520" w:lineRule="exact"/>
              <w:ind w:firstLine="480" w:firstLineChars="200"/>
              <w:rPr>
                <w:rFonts w:eastAsia="宋体"/>
                <w:sz w:val="24"/>
              </w:rPr>
            </w:pPr>
            <w:r>
              <w:rPr>
                <w:rFonts w:hAnsi="宋体" w:eastAsia="宋体"/>
                <w:kern w:val="0"/>
                <w:sz w:val="24"/>
              </w:rPr>
              <w:t>本项目线路长度</w:t>
            </w:r>
            <w:r>
              <w:rPr>
                <w:rFonts w:hint="eastAsia" w:eastAsia="宋体"/>
                <w:kern w:val="0"/>
                <w:sz w:val="24"/>
              </w:rPr>
              <w:t>14.56km</w:t>
            </w:r>
            <w:r>
              <w:rPr>
                <w:rFonts w:hAnsi="宋体" w:eastAsia="宋体"/>
                <w:kern w:val="0"/>
                <w:sz w:val="24"/>
              </w:rPr>
              <w:t>，主要交叉跨越为：跨越村村通道路</w:t>
            </w:r>
            <w:r>
              <w:rPr>
                <w:rFonts w:eastAsia="宋体"/>
                <w:kern w:val="0"/>
                <w:sz w:val="24"/>
              </w:rPr>
              <w:t>1</w:t>
            </w:r>
            <w:r>
              <w:rPr>
                <w:rFonts w:hint="eastAsia" w:eastAsia="宋体"/>
                <w:kern w:val="0"/>
                <w:sz w:val="24"/>
              </w:rPr>
              <w:t>2</w:t>
            </w:r>
            <w:r>
              <w:rPr>
                <w:rFonts w:hAnsi="宋体" w:eastAsia="宋体"/>
                <w:kern w:val="0"/>
                <w:sz w:val="24"/>
              </w:rPr>
              <w:t>次</w:t>
            </w:r>
            <w:r>
              <w:rPr>
                <w:rFonts w:hAnsi="宋体" w:eastAsia="宋体"/>
                <w:color w:val="000000" w:themeColor="text1"/>
                <w:kern w:val="0"/>
                <w:sz w:val="24"/>
              </w:rPr>
              <w:t>，钻越</w:t>
            </w:r>
            <w:r>
              <w:rPr>
                <w:rFonts w:hint="eastAsia" w:eastAsia="宋体"/>
                <w:color w:val="000000" w:themeColor="text1"/>
                <w:kern w:val="0"/>
                <w:sz w:val="24"/>
              </w:rPr>
              <w:t>500</w:t>
            </w:r>
            <w:r>
              <w:rPr>
                <w:rFonts w:eastAsia="宋体"/>
                <w:color w:val="000000" w:themeColor="text1"/>
                <w:kern w:val="0"/>
                <w:sz w:val="24"/>
              </w:rPr>
              <w:t>kV</w:t>
            </w:r>
            <w:r>
              <w:rPr>
                <w:rFonts w:hAnsi="宋体" w:eastAsia="宋体"/>
                <w:color w:val="000000" w:themeColor="text1"/>
                <w:kern w:val="0"/>
                <w:sz w:val="24"/>
              </w:rPr>
              <w:t>线路</w:t>
            </w:r>
            <w:r>
              <w:rPr>
                <w:rFonts w:eastAsia="宋体"/>
                <w:color w:val="000000" w:themeColor="text1"/>
                <w:kern w:val="0"/>
                <w:sz w:val="24"/>
              </w:rPr>
              <w:t>1</w:t>
            </w:r>
            <w:r>
              <w:rPr>
                <w:rFonts w:hAnsi="宋体" w:eastAsia="宋体"/>
                <w:color w:val="000000" w:themeColor="text1"/>
                <w:kern w:val="0"/>
                <w:sz w:val="24"/>
              </w:rPr>
              <w:t>次。本项目跨越公路时的线路高度能够满足详见表</w:t>
            </w:r>
            <w:r>
              <w:rPr>
                <w:rFonts w:eastAsia="宋体"/>
                <w:color w:val="000000" w:themeColor="text1"/>
                <w:kern w:val="0"/>
                <w:sz w:val="24"/>
              </w:rPr>
              <w:t>1-9</w:t>
            </w:r>
            <w:r>
              <w:rPr>
                <w:rFonts w:hAnsi="宋体" w:eastAsia="宋体"/>
                <w:color w:val="000000" w:themeColor="text1"/>
                <w:kern w:val="0"/>
                <w:sz w:val="24"/>
              </w:rPr>
              <w:t>。</w:t>
            </w:r>
          </w:p>
          <w:p>
            <w:pPr>
              <w:autoSpaceDE w:val="0"/>
              <w:autoSpaceDN w:val="0"/>
              <w:adjustRightInd w:val="0"/>
              <w:spacing w:line="520" w:lineRule="exact"/>
              <w:ind w:firstLine="480" w:firstLineChars="200"/>
              <w:rPr>
                <w:rFonts w:eastAsia="黑体"/>
                <w:sz w:val="24"/>
              </w:rPr>
            </w:pPr>
            <w:r>
              <w:rPr>
                <w:rFonts w:hAnsi="黑体" w:eastAsia="黑体"/>
                <w:sz w:val="24"/>
              </w:rPr>
              <w:t>表</w:t>
            </w:r>
            <w:r>
              <w:rPr>
                <w:rFonts w:eastAsia="黑体"/>
                <w:sz w:val="24"/>
              </w:rPr>
              <w:t xml:space="preserve">1-9                    </w:t>
            </w:r>
            <w:r>
              <w:rPr>
                <w:rFonts w:hAnsi="黑体" w:eastAsia="黑体"/>
                <w:sz w:val="24"/>
              </w:rPr>
              <w:t>本工程跨越情况一览表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6"/>
              <w:gridCol w:w="1781"/>
              <w:gridCol w:w="1524"/>
              <w:gridCol w:w="2175"/>
              <w:gridCol w:w="21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395" w:type="pct"/>
                  <w:vAlign w:val="center"/>
                </w:tcPr>
                <w:p>
                  <w:pPr>
                    <w:spacing w:line="360" w:lineRule="exact"/>
                    <w:jc w:val="center"/>
                    <w:rPr>
                      <w:rFonts w:eastAsia="宋体"/>
                      <w:sz w:val="21"/>
                      <w:szCs w:val="21"/>
                    </w:rPr>
                  </w:pPr>
                  <w:r>
                    <w:rPr>
                      <w:rFonts w:hAnsi="宋体" w:eastAsia="宋体"/>
                      <w:sz w:val="21"/>
                      <w:szCs w:val="21"/>
                    </w:rPr>
                    <w:t>序号</w:t>
                  </w:r>
                </w:p>
              </w:tc>
              <w:tc>
                <w:tcPr>
                  <w:tcW w:w="1072" w:type="pct"/>
                  <w:vAlign w:val="center"/>
                </w:tcPr>
                <w:p>
                  <w:pPr>
                    <w:spacing w:line="360" w:lineRule="exact"/>
                    <w:jc w:val="center"/>
                    <w:rPr>
                      <w:rFonts w:eastAsia="宋体"/>
                      <w:sz w:val="21"/>
                      <w:szCs w:val="21"/>
                    </w:rPr>
                  </w:pPr>
                  <w:r>
                    <w:rPr>
                      <w:rFonts w:hAnsi="宋体" w:eastAsia="宋体"/>
                      <w:sz w:val="21"/>
                      <w:szCs w:val="21"/>
                    </w:rPr>
                    <w:t>目标名称</w:t>
                  </w:r>
                </w:p>
              </w:tc>
              <w:tc>
                <w:tcPr>
                  <w:tcW w:w="917" w:type="pct"/>
                  <w:vAlign w:val="center"/>
                </w:tcPr>
                <w:p>
                  <w:pPr>
                    <w:spacing w:line="360" w:lineRule="exact"/>
                    <w:jc w:val="center"/>
                    <w:rPr>
                      <w:rFonts w:eastAsia="宋体"/>
                      <w:sz w:val="21"/>
                      <w:szCs w:val="21"/>
                    </w:rPr>
                  </w:pPr>
                  <w:r>
                    <w:rPr>
                      <w:rFonts w:hAnsi="宋体" w:eastAsia="宋体"/>
                      <w:sz w:val="21"/>
                      <w:szCs w:val="21"/>
                    </w:rPr>
                    <w:t>交叉跨越次数</w:t>
                  </w:r>
                </w:p>
              </w:tc>
              <w:tc>
                <w:tcPr>
                  <w:tcW w:w="1309" w:type="pct"/>
                  <w:vAlign w:val="center"/>
                </w:tcPr>
                <w:p>
                  <w:pPr>
                    <w:spacing w:line="360" w:lineRule="exact"/>
                    <w:jc w:val="center"/>
                    <w:rPr>
                      <w:rFonts w:eastAsia="宋体"/>
                      <w:sz w:val="21"/>
                      <w:szCs w:val="21"/>
                    </w:rPr>
                  </w:pPr>
                  <w:r>
                    <w:rPr>
                      <w:rFonts w:hAnsi="宋体" w:eastAsia="宋体"/>
                      <w:sz w:val="21"/>
                      <w:szCs w:val="21"/>
                    </w:rPr>
                    <w:t>交叉处线路设计高度</w:t>
                  </w:r>
                </w:p>
              </w:tc>
              <w:tc>
                <w:tcPr>
                  <w:tcW w:w="1306" w:type="pct"/>
                  <w:vAlign w:val="center"/>
                </w:tcPr>
                <w:p>
                  <w:pPr>
                    <w:adjustRightInd w:val="0"/>
                    <w:snapToGrid w:val="0"/>
                    <w:spacing w:line="360" w:lineRule="exact"/>
                    <w:jc w:val="center"/>
                    <w:rPr>
                      <w:rFonts w:eastAsia="宋体"/>
                      <w:sz w:val="21"/>
                      <w:szCs w:val="21"/>
                    </w:rPr>
                  </w:pPr>
                  <w:r>
                    <w:rPr>
                      <w:rFonts w:hAnsi="宋体" w:eastAsia="宋体"/>
                      <w:sz w:val="21"/>
                      <w:szCs w:val="21"/>
                    </w:rPr>
                    <w:t>目标性质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395" w:type="pct"/>
                  <w:vAlign w:val="center"/>
                </w:tcPr>
                <w:p>
                  <w:pPr>
                    <w:spacing w:line="360" w:lineRule="exact"/>
                    <w:jc w:val="center"/>
                    <w:rPr>
                      <w:rFonts w:eastAsia="宋体"/>
                      <w:sz w:val="21"/>
                      <w:szCs w:val="21"/>
                    </w:rPr>
                  </w:pPr>
                  <w:r>
                    <w:rPr>
                      <w:rFonts w:eastAsia="宋体"/>
                      <w:sz w:val="21"/>
                      <w:szCs w:val="21"/>
                    </w:rPr>
                    <w:t>1</w:t>
                  </w:r>
                </w:p>
              </w:tc>
              <w:tc>
                <w:tcPr>
                  <w:tcW w:w="1072" w:type="pct"/>
                  <w:vAlign w:val="center"/>
                </w:tcPr>
                <w:p>
                  <w:pPr>
                    <w:spacing w:line="360" w:lineRule="exact"/>
                    <w:jc w:val="center"/>
                    <w:rPr>
                      <w:rFonts w:eastAsia="宋体"/>
                      <w:sz w:val="21"/>
                      <w:szCs w:val="21"/>
                    </w:rPr>
                  </w:pPr>
                  <w:r>
                    <w:rPr>
                      <w:rFonts w:hAnsi="宋体" w:eastAsia="宋体"/>
                      <w:sz w:val="21"/>
                      <w:szCs w:val="21"/>
                    </w:rPr>
                    <w:t>跨越村村通道路</w:t>
                  </w:r>
                </w:p>
              </w:tc>
              <w:tc>
                <w:tcPr>
                  <w:tcW w:w="917" w:type="pct"/>
                  <w:vAlign w:val="center"/>
                </w:tcPr>
                <w:p>
                  <w:pPr>
                    <w:spacing w:line="360" w:lineRule="exact"/>
                    <w:jc w:val="center"/>
                    <w:rPr>
                      <w:rFonts w:eastAsia="宋体"/>
                      <w:sz w:val="21"/>
                      <w:szCs w:val="21"/>
                    </w:rPr>
                  </w:pPr>
                  <w:r>
                    <w:rPr>
                      <w:rFonts w:eastAsia="宋体"/>
                      <w:sz w:val="21"/>
                      <w:szCs w:val="21"/>
                    </w:rPr>
                    <w:t>1</w:t>
                  </w:r>
                  <w:r>
                    <w:rPr>
                      <w:rFonts w:hint="eastAsia" w:eastAsia="宋体"/>
                      <w:sz w:val="21"/>
                      <w:szCs w:val="21"/>
                    </w:rPr>
                    <w:t>2</w:t>
                  </w:r>
                </w:p>
              </w:tc>
              <w:tc>
                <w:tcPr>
                  <w:tcW w:w="1309" w:type="pct"/>
                  <w:vAlign w:val="center"/>
                </w:tcPr>
                <w:p>
                  <w:pPr>
                    <w:spacing w:line="360" w:lineRule="exact"/>
                    <w:jc w:val="center"/>
                    <w:rPr>
                      <w:rFonts w:eastAsia="宋体"/>
                      <w:color w:val="000000" w:themeColor="text1"/>
                      <w:sz w:val="21"/>
                      <w:szCs w:val="21"/>
                    </w:rPr>
                  </w:pPr>
                  <w:r>
                    <w:rPr>
                      <w:rFonts w:hint="eastAsia" w:eastAsia="宋体"/>
                      <w:color w:val="000000" w:themeColor="text1"/>
                      <w:sz w:val="21"/>
                      <w:szCs w:val="21"/>
                    </w:rPr>
                    <w:t>30</w:t>
                  </w:r>
                  <w:r>
                    <w:rPr>
                      <w:rFonts w:eastAsia="宋体"/>
                      <w:color w:val="000000" w:themeColor="text1"/>
                      <w:sz w:val="21"/>
                      <w:szCs w:val="21"/>
                    </w:rPr>
                    <w:t>m</w:t>
                  </w:r>
                </w:p>
              </w:tc>
              <w:tc>
                <w:tcPr>
                  <w:tcW w:w="1306" w:type="pct"/>
                  <w:vAlign w:val="center"/>
                </w:tcPr>
                <w:p>
                  <w:pPr>
                    <w:adjustRightInd w:val="0"/>
                    <w:snapToGrid w:val="0"/>
                    <w:spacing w:line="360" w:lineRule="exact"/>
                    <w:jc w:val="center"/>
                    <w:rPr>
                      <w:rFonts w:eastAsia="宋体"/>
                      <w:sz w:val="21"/>
                      <w:szCs w:val="21"/>
                    </w:rPr>
                  </w:pPr>
                  <w:r>
                    <w:rPr>
                      <w:rFonts w:hAnsi="宋体" w:eastAsia="宋体"/>
                      <w:sz w:val="21"/>
                      <w:szCs w:val="21"/>
                    </w:rPr>
                    <w:t>村路，无名称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395" w:type="pct"/>
                  <w:vAlign w:val="center"/>
                </w:tcPr>
                <w:p>
                  <w:pPr>
                    <w:spacing w:line="360" w:lineRule="exact"/>
                    <w:jc w:val="center"/>
                    <w:rPr>
                      <w:rFonts w:eastAsia="宋体"/>
                      <w:color w:val="000000" w:themeColor="text1"/>
                      <w:sz w:val="21"/>
                      <w:szCs w:val="21"/>
                    </w:rPr>
                  </w:pPr>
                  <w:r>
                    <w:rPr>
                      <w:rFonts w:eastAsia="宋体"/>
                      <w:color w:val="000000" w:themeColor="text1"/>
                      <w:sz w:val="21"/>
                      <w:szCs w:val="21"/>
                    </w:rPr>
                    <w:t>2</w:t>
                  </w:r>
                </w:p>
              </w:tc>
              <w:tc>
                <w:tcPr>
                  <w:tcW w:w="1072" w:type="pct"/>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钻越</w:t>
                  </w:r>
                  <w:r>
                    <w:rPr>
                      <w:rFonts w:hint="eastAsia" w:eastAsia="宋体"/>
                      <w:color w:val="000000" w:themeColor="text1"/>
                      <w:sz w:val="21"/>
                      <w:szCs w:val="21"/>
                    </w:rPr>
                    <w:t>500</w:t>
                  </w:r>
                  <w:r>
                    <w:rPr>
                      <w:rFonts w:eastAsia="宋体"/>
                      <w:color w:val="000000" w:themeColor="text1"/>
                      <w:sz w:val="21"/>
                      <w:szCs w:val="21"/>
                    </w:rPr>
                    <w:t>kV</w:t>
                  </w:r>
                  <w:r>
                    <w:rPr>
                      <w:rFonts w:hAnsi="宋体" w:eastAsia="宋体"/>
                      <w:color w:val="000000" w:themeColor="text1"/>
                      <w:sz w:val="21"/>
                      <w:szCs w:val="21"/>
                    </w:rPr>
                    <w:t>线路</w:t>
                  </w:r>
                </w:p>
              </w:tc>
              <w:tc>
                <w:tcPr>
                  <w:tcW w:w="917" w:type="pct"/>
                  <w:vAlign w:val="center"/>
                </w:tcPr>
                <w:p>
                  <w:pPr>
                    <w:spacing w:line="360" w:lineRule="exact"/>
                    <w:jc w:val="center"/>
                    <w:rPr>
                      <w:rFonts w:eastAsia="宋体"/>
                      <w:color w:val="000000" w:themeColor="text1"/>
                      <w:sz w:val="21"/>
                      <w:szCs w:val="21"/>
                    </w:rPr>
                  </w:pPr>
                  <w:r>
                    <w:rPr>
                      <w:rFonts w:eastAsia="宋体"/>
                      <w:color w:val="000000" w:themeColor="text1"/>
                      <w:sz w:val="21"/>
                      <w:szCs w:val="21"/>
                    </w:rPr>
                    <w:t>1</w:t>
                  </w:r>
                </w:p>
              </w:tc>
              <w:tc>
                <w:tcPr>
                  <w:tcW w:w="1309" w:type="pct"/>
                  <w:vAlign w:val="center"/>
                </w:tcPr>
                <w:p>
                  <w:pPr>
                    <w:spacing w:line="360" w:lineRule="exact"/>
                    <w:jc w:val="center"/>
                    <w:rPr>
                      <w:rFonts w:eastAsia="宋体"/>
                      <w:color w:val="000000" w:themeColor="text1"/>
                      <w:sz w:val="21"/>
                      <w:szCs w:val="21"/>
                    </w:rPr>
                  </w:pPr>
                  <w:r>
                    <w:rPr>
                      <w:rFonts w:hint="eastAsia" w:eastAsia="宋体"/>
                      <w:color w:val="000000" w:themeColor="text1"/>
                      <w:sz w:val="21"/>
                      <w:szCs w:val="21"/>
                    </w:rPr>
                    <w:t>7</w:t>
                  </w:r>
                  <w:r>
                    <w:rPr>
                      <w:rFonts w:eastAsia="宋体"/>
                      <w:color w:val="000000" w:themeColor="text1"/>
                      <w:sz w:val="21"/>
                      <w:szCs w:val="21"/>
                    </w:rPr>
                    <w:t>m</w:t>
                  </w:r>
                </w:p>
              </w:tc>
              <w:tc>
                <w:tcPr>
                  <w:tcW w:w="1306" w:type="pct"/>
                  <w:vAlign w:val="center"/>
                </w:tcPr>
                <w:p>
                  <w:pPr>
                    <w:adjustRightInd w:val="0"/>
                    <w:snapToGrid w:val="0"/>
                    <w:spacing w:line="360" w:lineRule="exact"/>
                    <w:jc w:val="center"/>
                    <w:rPr>
                      <w:rFonts w:eastAsia="宋体"/>
                      <w:color w:val="000000" w:themeColor="text1"/>
                      <w:sz w:val="21"/>
                      <w:szCs w:val="21"/>
                    </w:rPr>
                  </w:pPr>
                  <w:r>
                    <w:rPr>
                      <w:rFonts w:hint="eastAsia" w:eastAsia="宋体"/>
                      <w:color w:val="000000" w:themeColor="text1"/>
                      <w:kern w:val="0"/>
                      <w:sz w:val="21"/>
                      <w:szCs w:val="21"/>
                    </w:rPr>
                    <w:t>500</w:t>
                  </w:r>
                  <w:r>
                    <w:rPr>
                      <w:rFonts w:eastAsia="宋体"/>
                      <w:color w:val="000000" w:themeColor="text1"/>
                      <w:kern w:val="0"/>
                      <w:sz w:val="21"/>
                      <w:szCs w:val="21"/>
                    </w:rPr>
                    <w:t>kV</w:t>
                  </w:r>
                  <w:r>
                    <w:rPr>
                      <w:rFonts w:hint="eastAsia" w:hAnsi="宋体" w:eastAsia="宋体"/>
                      <w:color w:val="000000" w:themeColor="text1"/>
                      <w:kern w:val="0"/>
                      <w:sz w:val="21"/>
                      <w:szCs w:val="21"/>
                    </w:rPr>
                    <w:t>香武线</w:t>
                  </w:r>
                </w:p>
              </w:tc>
            </w:tr>
          </w:tbl>
          <w:p>
            <w:pPr>
              <w:tabs>
                <w:tab w:val="left" w:pos="709"/>
              </w:tabs>
              <w:adjustRightInd w:val="0"/>
              <w:snapToGrid w:val="0"/>
              <w:spacing w:line="520" w:lineRule="exact"/>
              <w:ind w:firstLine="480" w:firstLineChars="200"/>
              <w:rPr>
                <w:rFonts w:hAnsi="宋体" w:eastAsia="宋体"/>
                <w:kern w:val="0"/>
                <w:sz w:val="24"/>
              </w:rPr>
            </w:pPr>
            <w:r>
              <w:rPr>
                <w:rFonts w:hint="eastAsia" w:hAnsi="宋体" w:eastAsia="宋体"/>
                <w:kern w:val="0"/>
                <w:sz w:val="24"/>
              </w:rPr>
              <w:t>从上表</w:t>
            </w:r>
            <w:r>
              <w:rPr>
                <w:rFonts w:hAnsi="宋体" w:eastAsia="宋体"/>
                <w:kern w:val="0"/>
                <w:sz w:val="24"/>
              </w:rPr>
              <w:t>可以看出，本项目钻越</w:t>
            </w:r>
            <w:r>
              <w:rPr>
                <w:rFonts w:hint="eastAsia" w:hAnsi="宋体" w:eastAsia="宋体"/>
                <w:kern w:val="0"/>
                <w:sz w:val="24"/>
              </w:rPr>
              <w:t>500kV香武线</w:t>
            </w:r>
            <w:r>
              <w:rPr>
                <w:rFonts w:hAnsi="宋体" w:eastAsia="宋体"/>
                <w:kern w:val="0"/>
                <w:sz w:val="24"/>
              </w:rPr>
              <w:t>时，线路</w:t>
            </w:r>
            <w:r>
              <w:rPr>
                <w:rFonts w:hint="eastAsia" w:hAnsi="宋体" w:eastAsia="宋体"/>
                <w:kern w:val="0"/>
                <w:sz w:val="24"/>
              </w:rPr>
              <w:t>高度</w:t>
            </w:r>
            <w:r>
              <w:rPr>
                <w:rFonts w:hAnsi="宋体" w:eastAsia="宋体"/>
                <w:kern w:val="0"/>
                <w:sz w:val="24"/>
              </w:rPr>
              <w:t>能够满足</w:t>
            </w:r>
            <w:r>
              <w:rPr>
                <w:rFonts w:hint="eastAsia" w:hAnsi="宋体" w:eastAsia="宋体"/>
                <w:kern w:val="0"/>
                <w:sz w:val="24"/>
              </w:rPr>
              <w:t>表1-7中</w:t>
            </w:r>
            <w:r>
              <w:rPr>
                <w:rFonts w:hAnsi="宋体" w:eastAsia="宋体"/>
                <w:kern w:val="0"/>
                <w:sz w:val="24"/>
              </w:rPr>
              <w:t>的设计要求，</w:t>
            </w:r>
            <w:r>
              <w:rPr>
                <w:rFonts w:hint="eastAsia" w:hAnsi="宋体" w:eastAsia="宋体"/>
                <w:kern w:val="0"/>
                <w:sz w:val="24"/>
              </w:rPr>
              <w:t>跨越公路</w:t>
            </w:r>
            <w:r>
              <w:rPr>
                <w:rFonts w:hAnsi="宋体" w:eastAsia="宋体"/>
                <w:kern w:val="0"/>
                <w:sz w:val="24"/>
              </w:rPr>
              <w:t>时最小距离为</w:t>
            </w:r>
            <w:r>
              <w:rPr>
                <w:rFonts w:hint="eastAsia" w:hAnsi="宋体" w:eastAsia="宋体"/>
                <w:kern w:val="0"/>
                <w:sz w:val="24"/>
              </w:rPr>
              <w:t>30m，</w:t>
            </w:r>
            <w:r>
              <w:rPr>
                <w:rFonts w:hAnsi="宋体" w:eastAsia="宋体"/>
                <w:kern w:val="0"/>
                <w:sz w:val="24"/>
              </w:rPr>
              <w:t>满足最小距离</w:t>
            </w:r>
            <w:r>
              <w:rPr>
                <w:rFonts w:hint="eastAsia" w:hAnsi="宋体" w:eastAsia="宋体"/>
                <w:kern w:val="0"/>
                <w:sz w:val="24"/>
              </w:rPr>
              <w:t>7</w:t>
            </w:r>
            <w:r>
              <w:rPr>
                <w:rFonts w:hAnsi="宋体" w:eastAsia="宋体"/>
                <w:kern w:val="0"/>
                <w:sz w:val="24"/>
              </w:rPr>
              <w:t>m的</w:t>
            </w:r>
            <w:r>
              <w:rPr>
                <w:rFonts w:hint="eastAsia" w:hAnsi="宋体" w:eastAsia="宋体"/>
                <w:kern w:val="0"/>
                <w:sz w:val="24"/>
              </w:rPr>
              <w:t>设计</w:t>
            </w:r>
            <w:r>
              <w:rPr>
                <w:rFonts w:hAnsi="宋体" w:eastAsia="宋体"/>
                <w:kern w:val="0"/>
                <w:sz w:val="24"/>
              </w:rPr>
              <w:t>要求，跨越线路时，本项目线路与被跨越线路之间的最小距离</w:t>
            </w:r>
            <w:r>
              <w:rPr>
                <w:rFonts w:hint="eastAsia" w:hAnsi="宋体" w:eastAsia="宋体"/>
                <w:kern w:val="0"/>
                <w:sz w:val="24"/>
              </w:rPr>
              <w:t>为7m，</w:t>
            </w:r>
            <w:r>
              <w:rPr>
                <w:rFonts w:hAnsi="宋体" w:eastAsia="宋体"/>
                <w:kern w:val="0"/>
                <w:sz w:val="24"/>
              </w:rPr>
              <w:t>满足最小距离</w:t>
            </w:r>
            <w:r>
              <w:rPr>
                <w:rFonts w:hint="eastAsia" w:hAnsi="宋体" w:eastAsia="宋体"/>
                <w:kern w:val="0"/>
                <w:sz w:val="24"/>
              </w:rPr>
              <w:t>3m的设计</w:t>
            </w:r>
            <w:r>
              <w:rPr>
                <w:rFonts w:hAnsi="宋体" w:eastAsia="宋体"/>
                <w:kern w:val="0"/>
                <w:sz w:val="24"/>
              </w:rPr>
              <w:t>要求</w:t>
            </w:r>
            <w:r>
              <w:rPr>
                <w:rFonts w:hint="eastAsia" w:hAnsi="宋体" w:eastAsia="宋体"/>
                <w:kern w:val="0"/>
                <w:sz w:val="24"/>
              </w:rPr>
              <w:t>。</w:t>
            </w:r>
          </w:p>
          <w:p>
            <w:pPr>
              <w:tabs>
                <w:tab w:val="left" w:pos="709"/>
              </w:tabs>
              <w:adjustRightInd w:val="0"/>
              <w:snapToGrid w:val="0"/>
              <w:spacing w:line="520" w:lineRule="exact"/>
              <w:jc w:val="left"/>
              <w:rPr>
                <w:rFonts w:eastAsia="宋体"/>
                <w:b/>
                <w:sz w:val="24"/>
              </w:rPr>
            </w:pPr>
            <w:r>
              <w:rPr>
                <w:rFonts w:eastAsia="宋体"/>
                <w:b/>
                <w:sz w:val="24"/>
              </w:rPr>
              <w:t>1.5环保投资</w:t>
            </w:r>
          </w:p>
          <w:p>
            <w:pPr>
              <w:autoSpaceDE w:val="0"/>
              <w:autoSpaceDN w:val="0"/>
              <w:adjustRightInd w:val="0"/>
              <w:spacing w:line="520" w:lineRule="exact"/>
              <w:ind w:firstLine="480" w:firstLineChars="200"/>
              <w:jc w:val="left"/>
              <w:rPr>
                <w:rFonts w:eastAsia="宋体"/>
                <w:color w:val="000000" w:themeColor="text1"/>
                <w:sz w:val="24"/>
              </w:rPr>
            </w:pPr>
            <w:r>
              <w:rPr>
                <w:rFonts w:eastAsia="宋体"/>
                <w:color w:val="000000" w:themeColor="text1"/>
                <w:sz w:val="24"/>
              </w:rPr>
              <w:t>工程总投资</w:t>
            </w:r>
            <w:r>
              <w:rPr>
                <w:rFonts w:hint="eastAsia" w:eastAsia="宋体"/>
                <w:color w:val="000000" w:themeColor="text1"/>
                <w:sz w:val="24"/>
              </w:rPr>
              <w:t>2250.73</w:t>
            </w:r>
            <w:r>
              <w:rPr>
                <w:rFonts w:eastAsia="宋体"/>
                <w:color w:val="000000" w:themeColor="text1"/>
                <w:sz w:val="24"/>
              </w:rPr>
              <w:t>万元，其中环保投资</w:t>
            </w:r>
            <w:r>
              <w:rPr>
                <w:rFonts w:hint="eastAsia" w:eastAsia="宋体"/>
                <w:color w:val="000000" w:themeColor="text1"/>
                <w:sz w:val="24"/>
              </w:rPr>
              <w:t>37</w:t>
            </w:r>
            <w:r>
              <w:rPr>
                <w:rFonts w:eastAsia="宋体"/>
                <w:color w:val="000000" w:themeColor="text1"/>
                <w:sz w:val="24"/>
              </w:rPr>
              <w:t>万元，占工程总投资的1.64%。环保投资具体见表</w:t>
            </w:r>
            <w:r>
              <w:rPr>
                <w:rFonts w:hint="eastAsia" w:eastAsia="宋体"/>
                <w:color w:val="000000" w:themeColor="text1"/>
                <w:sz w:val="24"/>
              </w:rPr>
              <w:t>1-</w:t>
            </w:r>
            <w:r>
              <w:rPr>
                <w:rFonts w:eastAsia="宋体"/>
                <w:color w:val="000000" w:themeColor="text1"/>
                <w:sz w:val="24"/>
              </w:rPr>
              <w:t>10。</w:t>
            </w:r>
          </w:p>
          <w:p>
            <w:pPr>
              <w:autoSpaceDE w:val="0"/>
              <w:autoSpaceDN w:val="0"/>
              <w:adjustRightInd w:val="0"/>
              <w:spacing w:line="360" w:lineRule="auto"/>
              <w:ind w:firstLine="482" w:firstLineChars="200"/>
              <w:jc w:val="left"/>
              <w:rPr>
                <w:rFonts w:ascii="宋体" w:hAnsi="宋体" w:eastAsia="宋体"/>
                <w:b/>
                <w:color w:val="FF0000"/>
                <w:sz w:val="24"/>
                <w:szCs w:val="21"/>
              </w:rPr>
            </w:pPr>
            <w:bookmarkStart w:id="17" w:name="_Ref144777518"/>
          </w:p>
          <w:p>
            <w:pPr>
              <w:autoSpaceDE w:val="0"/>
              <w:autoSpaceDN w:val="0"/>
              <w:adjustRightInd w:val="0"/>
              <w:spacing w:line="360" w:lineRule="auto"/>
              <w:ind w:firstLine="482" w:firstLineChars="200"/>
              <w:jc w:val="left"/>
              <w:rPr>
                <w:rFonts w:ascii="宋体" w:hAnsi="宋体" w:eastAsia="宋体"/>
                <w:b/>
                <w:color w:val="FF0000"/>
                <w:sz w:val="24"/>
                <w:szCs w:val="21"/>
              </w:rPr>
            </w:pPr>
          </w:p>
          <w:p>
            <w:pPr>
              <w:autoSpaceDE w:val="0"/>
              <w:autoSpaceDN w:val="0"/>
              <w:adjustRightInd w:val="0"/>
              <w:spacing w:line="360" w:lineRule="auto"/>
              <w:ind w:firstLine="482" w:firstLineChars="200"/>
              <w:jc w:val="left"/>
              <w:rPr>
                <w:rFonts w:ascii="宋体" w:hAnsi="宋体" w:eastAsia="宋体"/>
                <w:b/>
                <w:color w:val="FF0000"/>
                <w:sz w:val="24"/>
                <w:szCs w:val="21"/>
              </w:rPr>
            </w:pPr>
          </w:p>
          <w:p>
            <w:pPr>
              <w:autoSpaceDE w:val="0"/>
              <w:autoSpaceDN w:val="0"/>
              <w:adjustRightInd w:val="0"/>
              <w:spacing w:line="360" w:lineRule="auto"/>
              <w:ind w:firstLine="482" w:firstLineChars="200"/>
              <w:jc w:val="left"/>
              <w:rPr>
                <w:rFonts w:ascii="宋体" w:hAnsi="宋体" w:eastAsia="宋体"/>
                <w:b/>
                <w:color w:val="FF0000"/>
                <w:sz w:val="24"/>
                <w:szCs w:val="21"/>
              </w:rPr>
            </w:pPr>
          </w:p>
          <w:p>
            <w:pPr>
              <w:autoSpaceDE w:val="0"/>
              <w:autoSpaceDN w:val="0"/>
              <w:adjustRightInd w:val="0"/>
              <w:spacing w:line="360" w:lineRule="auto"/>
              <w:ind w:firstLine="482" w:firstLineChars="200"/>
              <w:jc w:val="left"/>
              <w:rPr>
                <w:rFonts w:ascii="宋体" w:hAnsi="宋体" w:eastAsia="宋体"/>
                <w:b/>
                <w:color w:val="FF0000"/>
                <w:sz w:val="24"/>
                <w:szCs w:val="21"/>
              </w:rPr>
            </w:pPr>
          </w:p>
          <w:p>
            <w:pPr>
              <w:autoSpaceDE w:val="0"/>
              <w:autoSpaceDN w:val="0"/>
              <w:adjustRightInd w:val="0"/>
              <w:spacing w:line="520" w:lineRule="exact"/>
              <w:ind w:firstLine="480" w:firstLineChars="200"/>
              <w:jc w:val="left"/>
              <w:rPr>
                <w:rFonts w:eastAsia="黑体"/>
                <w:sz w:val="24"/>
              </w:rPr>
            </w:pPr>
            <w:r>
              <w:rPr>
                <w:rFonts w:hAnsi="黑体" w:eastAsia="黑体"/>
                <w:sz w:val="24"/>
                <w:szCs w:val="21"/>
              </w:rPr>
              <w:t>表</w:t>
            </w:r>
            <w:r>
              <w:rPr>
                <w:rFonts w:eastAsia="黑体"/>
                <w:sz w:val="24"/>
                <w:szCs w:val="21"/>
              </w:rPr>
              <w:t xml:space="preserve"> </w:t>
            </w:r>
            <w:bookmarkEnd w:id="17"/>
            <w:r>
              <w:rPr>
                <w:rFonts w:eastAsia="黑体"/>
                <w:sz w:val="24"/>
                <w:szCs w:val="21"/>
              </w:rPr>
              <w:t xml:space="preserve">1-10                 </w:t>
            </w:r>
            <w:r>
              <w:rPr>
                <w:rFonts w:hAnsi="黑体" w:eastAsia="黑体"/>
                <w:sz w:val="24"/>
                <w:szCs w:val="21"/>
              </w:rPr>
              <w:t>本工程环保投资估算表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36"/>
              <w:gridCol w:w="719"/>
              <w:gridCol w:w="1638"/>
              <w:gridCol w:w="1454"/>
              <w:gridCol w:w="39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ascii="Times New Roman" w:hAnsi="Times New Roman"/>
                    </w:rPr>
                    <w:t>序号</w:t>
                  </w:r>
                </w:p>
              </w:tc>
              <w:tc>
                <w:tcPr>
                  <w:tcW w:w="2628" w:type="dxa"/>
                  <w:gridSpan w:val="2"/>
                  <w:vAlign w:val="center"/>
                </w:tcPr>
                <w:p>
                  <w:pPr>
                    <w:pStyle w:val="19"/>
                    <w:adjustRightInd/>
                    <w:snapToGrid/>
                    <w:spacing w:line="240" w:lineRule="exact"/>
                    <w:rPr>
                      <w:rFonts w:ascii="Times New Roman" w:hAnsi="Times New Roman"/>
                    </w:rPr>
                  </w:pPr>
                  <w:r>
                    <w:rPr>
                      <w:rFonts w:ascii="Times New Roman" w:hAnsi="Times New Roman"/>
                    </w:rPr>
                    <w:t>项  目</w:t>
                  </w:r>
                </w:p>
              </w:tc>
              <w:tc>
                <w:tcPr>
                  <w:tcW w:w="1560" w:type="dxa"/>
                  <w:vAlign w:val="center"/>
                </w:tcPr>
                <w:p>
                  <w:pPr>
                    <w:pStyle w:val="19"/>
                    <w:adjustRightInd/>
                    <w:snapToGrid/>
                    <w:spacing w:line="240" w:lineRule="exact"/>
                    <w:rPr>
                      <w:rFonts w:ascii="Times New Roman" w:hAnsi="Times New Roman"/>
                    </w:rPr>
                  </w:pPr>
                  <w:r>
                    <w:rPr>
                      <w:rFonts w:ascii="Times New Roman" w:hAnsi="Times New Roman"/>
                    </w:rPr>
                    <w:t>投资估算（万元）</w:t>
                  </w:r>
                </w:p>
              </w:tc>
              <w:tc>
                <w:tcPr>
                  <w:tcW w:w="4478" w:type="dxa"/>
                  <w:vAlign w:val="center"/>
                </w:tcPr>
                <w:p>
                  <w:pPr>
                    <w:pStyle w:val="19"/>
                    <w:adjustRightInd/>
                    <w:snapToGrid/>
                    <w:spacing w:line="240" w:lineRule="exact"/>
                    <w:rPr>
                      <w:rFonts w:ascii="Times New Roman" w:hAnsi="Times New Roman"/>
                    </w:rPr>
                  </w:pPr>
                  <w:r>
                    <w:rPr>
                      <w:rFonts w:ascii="Times New Roman" w:hAnsi="Times New Roma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ascii="Times New Roman" w:hAnsi="Times New Roman"/>
                    </w:rPr>
                    <w:t>1</w:t>
                  </w:r>
                </w:p>
              </w:tc>
              <w:tc>
                <w:tcPr>
                  <w:tcW w:w="786" w:type="dxa"/>
                  <w:vMerge w:val="restart"/>
                  <w:vAlign w:val="center"/>
                </w:tcPr>
                <w:p>
                  <w:pPr>
                    <w:pStyle w:val="19"/>
                    <w:adjustRightInd/>
                    <w:snapToGrid/>
                    <w:spacing w:line="240" w:lineRule="auto"/>
                    <w:rPr>
                      <w:rFonts w:ascii="Times New Roman" w:hAnsi="Times New Roman"/>
                    </w:rPr>
                  </w:pPr>
                  <w:r>
                    <w:rPr>
                      <w:rFonts w:ascii="Times New Roman" w:hAnsi="Times New Roman"/>
                    </w:rPr>
                    <w:t>施工期</w:t>
                  </w:r>
                </w:p>
              </w:tc>
              <w:tc>
                <w:tcPr>
                  <w:tcW w:w="1842" w:type="dxa"/>
                  <w:vAlign w:val="center"/>
                </w:tcPr>
                <w:p>
                  <w:pPr>
                    <w:pStyle w:val="19"/>
                    <w:spacing w:line="240" w:lineRule="auto"/>
                    <w:rPr>
                      <w:rFonts w:ascii="Times New Roman" w:hAnsi="Times New Roman"/>
                    </w:rPr>
                  </w:pPr>
                  <w:r>
                    <w:rPr>
                      <w:rFonts w:hint="eastAsia" w:ascii="Times New Roman" w:hAnsi="Times New Roman"/>
                    </w:rPr>
                    <w:t>固体废物处置费</w:t>
                  </w:r>
                </w:p>
              </w:tc>
              <w:tc>
                <w:tcPr>
                  <w:tcW w:w="1560" w:type="dxa"/>
                  <w:vAlign w:val="center"/>
                </w:tcPr>
                <w:p>
                  <w:pPr>
                    <w:widowControl/>
                    <w:jc w:val="center"/>
                    <w:rPr>
                      <w:rFonts w:eastAsia="宋体"/>
                      <w:kern w:val="0"/>
                      <w:sz w:val="21"/>
                      <w:szCs w:val="21"/>
                    </w:rPr>
                  </w:pPr>
                  <w:r>
                    <w:rPr>
                      <w:sz w:val="21"/>
                      <w:szCs w:val="21"/>
                    </w:rPr>
                    <w:t>6.0</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施工期弃土弃渣收集及清运费、运行期生活垃圾处置费等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ascii="Times New Roman" w:hAnsi="Times New Roman"/>
                    </w:rPr>
                    <w:t>2</w:t>
                  </w:r>
                </w:p>
              </w:tc>
              <w:tc>
                <w:tcPr>
                  <w:tcW w:w="786" w:type="dxa"/>
                  <w:vMerge w:val="continue"/>
                  <w:vAlign w:val="center"/>
                </w:tcPr>
                <w:p>
                  <w:pPr>
                    <w:pStyle w:val="19"/>
                    <w:spacing w:line="240" w:lineRule="auto"/>
                    <w:rPr>
                      <w:rFonts w:ascii="Times New Roman" w:hAnsi="Times New Roman"/>
                    </w:rPr>
                  </w:pPr>
                </w:p>
              </w:tc>
              <w:tc>
                <w:tcPr>
                  <w:tcW w:w="1842" w:type="dxa"/>
                  <w:vAlign w:val="center"/>
                </w:tcPr>
                <w:p>
                  <w:pPr>
                    <w:pStyle w:val="19"/>
                    <w:spacing w:line="240" w:lineRule="auto"/>
                    <w:rPr>
                      <w:rFonts w:ascii="Times New Roman" w:hAnsi="Times New Roman"/>
                    </w:rPr>
                  </w:pPr>
                  <w:r>
                    <w:rPr>
                      <w:rFonts w:hint="eastAsia" w:ascii="Times New Roman" w:hAnsi="Times New Roman"/>
                    </w:rPr>
                    <w:t>水土流失防治费用</w:t>
                  </w:r>
                </w:p>
              </w:tc>
              <w:tc>
                <w:tcPr>
                  <w:tcW w:w="1560" w:type="dxa"/>
                  <w:vAlign w:val="center"/>
                </w:tcPr>
                <w:p>
                  <w:pPr>
                    <w:jc w:val="center"/>
                    <w:rPr>
                      <w:sz w:val="21"/>
                      <w:szCs w:val="21"/>
                    </w:rPr>
                  </w:pPr>
                  <w:r>
                    <w:rPr>
                      <w:rFonts w:hint="eastAsia"/>
                      <w:sz w:val="21"/>
                      <w:szCs w:val="21"/>
                    </w:rPr>
                    <w:t>4.5</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施工期塔基开挖、升压站基础施工等防护费用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ascii="Times New Roman" w:hAnsi="Times New Roman"/>
                    </w:rPr>
                    <w:t>3</w:t>
                  </w:r>
                </w:p>
              </w:tc>
              <w:tc>
                <w:tcPr>
                  <w:tcW w:w="786" w:type="dxa"/>
                  <w:vMerge w:val="continue"/>
                  <w:vAlign w:val="center"/>
                </w:tcPr>
                <w:p>
                  <w:pPr>
                    <w:pStyle w:val="19"/>
                    <w:adjustRightInd/>
                    <w:snapToGrid/>
                    <w:spacing w:line="240" w:lineRule="auto"/>
                    <w:rPr>
                      <w:rFonts w:ascii="Times New Roman" w:hAnsi="Times New Roman"/>
                    </w:rPr>
                  </w:pPr>
                </w:p>
              </w:tc>
              <w:tc>
                <w:tcPr>
                  <w:tcW w:w="1842" w:type="dxa"/>
                  <w:vAlign w:val="center"/>
                </w:tcPr>
                <w:p>
                  <w:pPr>
                    <w:pStyle w:val="19"/>
                    <w:spacing w:line="240" w:lineRule="auto"/>
                    <w:rPr>
                      <w:rFonts w:ascii="Times New Roman" w:hAnsi="Times New Roman"/>
                    </w:rPr>
                  </w:pPr>
                  <w:r>
                    <w:rPr>
                      <w:rFonts w:hint="eastAsia" w:ascii="Times New Roman" w:hAnsi="Times New Roman"/>
                    </w:rPr>
                    <w:t>植被</w:t>
                  </w:r>
                  <w:r>
                    <w:rPr>
                      <w:rFonts w:ascii="Times New Roman" w:hAnsi="Times New Roman"/>
                    </w:rPr>
                    <w:t>恢复费</w:t>
                  </w:r>
                </w:p>
              </w:tc>
              <w:tc>
                <w:tcPr>
                  <w:tcW w:w="1560" w:type="dxa"/>
                  <w:vAlign w:val="center"/>
                </w:tcPr>
                <w:p>
                  <w:pPr>
                    <w:jc w:val="center"/>
                    <w:rPr>
                      <w:sz w:val="21"/>
                      <w:szCs w:val="21"/>
                    </w:rPr>
                  </w:pPr>
                  <w:r>
                    <w:rPr>
                      <w:rFonts w:hint="eastAsia"/>
                      <w:sz w:val="21"/>
                      <w:szCs w:val="21"/>
                    </w:rPr>
                    <w:t>6</w:t>
                  </w:r>
                  <w:r>
                    <w:rPr>
                      <w:sz w:val="21"/>
                      <w:szCs w:val="21"/>
                    </w:rPr>
                    <w:t>.</w:t>
                  </w:r>
                  <w:r>
                    <w:rPr>
                      <w:rFonts w:hint="eastAsia"/>
                      <w:sz w:val="21"/>
                      <w:szCs w:val="21"/>
                    </w:rPr>
                    <w:t>0</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站址四周，塔基处及临时占地处绿化植被恢复费及补偿费、站址处表层耕植土保护增加费用等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ascii="Times New Roman" w:hAnsi="Times New Roman"/>
                    </w:rPr>
                    <w:t>4</w:t>
                  </w:r>
                </w:p>
              </w:tc>
              <w:tc>
                <w:tcPr>
                  <w:tcW w:w="786" w:type="dxa"/>
                  <w:vMerge w:val="continue"/>
                  <w:vAlign w:val="center"/>
                </w:tcPr>
                <w:p>
                  <w:pPr>
                    <w:pStyle w:val="19"/>
                    <w:adjustRightInd/>
                    <w:snapToGrid/>
                    <w:spacing w:line="240" w:lineRule="auto"/>
                    <w:rPr>
                      <w:rFonts w:ascii="Times New Roman" w:hAnsi="Times New Roman"/>
                    </w:rPr>
                  </w:pPr>
                </w:p>
              </w:tc>
              <w:tc>
                <w:tcPr>
                  <w:tcW w:w="1842" w:type="dxa"/>
                  <w:vAlign w:val="center"/>
                </w:tcPr>
                <w:p>
                  <w:pPr>
                    <w:pStyle w:val="19"/>
                    <w:spacing w:line="240" w:lineRule="auto"/>
                    <w:rPr>
                      <w:rFonts w:ascii="Times New Roman" w:hAnsi="Times New Roman"/>
                    </w:rPr>
                  </w:pPr>
                  <w:r>
                    <w:rPr>
                      <w:rFonts w:hint="eastAsia" w:ascii="Times New Roman" w:hAnsi="Times New Roman"/>
                    </w:rPr>
                    <w:t>废水</w:t>
                  </w:r>
                  <w:r>
                    <w:rPr>
                      <w:rFonts w:ascii="Times New Roman" w:hAnsi="Times New Roman"/>
                    </w:rPr>
                    <w:t>防治</w:t>
                  </w:r>
                  <w:r>
                    <w:rPr>
                      <w:rFonts w:hint="eastAsia" w:ascii="Times New Roman" w:hAnsi="Times New Roman"/>
                    </w:rPr>
                    <w:t>费用</w:t>
                  </w:r>
                </w:p>
              </w:tc>
              <w:tc>
                <w:tcPr>
                  <w:tcW w:w="1560" w:type="dxa"/>
                  <w:vAlign w:val="center"/>
                </w:tcPr>
                <w:p>
                  <w:pPr>
                    <w:jc w:val="center"/>
                    <w:rPr>
                      <w:sz w:val="21"/>
                      <w:szCs w:val="21"/>
                    </w:rPr>
                  </w:pPr>
                  <w:r>
                    <w:rPr>
                      <w:sz w:val="21"/>
                      <w:szCs w:val="21"/>
                    </w:rPr>
                    <w:t>3.</w:t>
                  </w:r>
                  <w:r>
                    <w:rPr>
                      <w:rFonts w:hint="eastAsia"/>
                      <w:sz w:val="21"/>
                      <w:szCs w:val="21"/>
                    </w:rPr>
                    <w:t>0</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施工期生活污水处置清运费等、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ascii="Times New Roman" w:hAnsi="Times New Roman"/>
                    </w:rPr>
                    <w:t>5</w:t>
                  </w:r>
                </w:p>
              </w:tc>
              <w:tc>
                <w:tcPr>
                  <w:tcW w:w="786" w:type="dxa"/>
                  <w:vMerge w:val="restart"/>
                  <w:vAlign w:val="center"/>
                </w:tcPr>
                <w:p>
                  <w:pPr>
                    <w:pStyle w:val="19"/>
                    <w:adjustRightInd/>
                    <w:snapToGrid/>
                    <w:spacing w:line="240" w:lineRule="auto"/>
                    <w:rPr>
                      <w:rFonts w:ascii="Times New Roman" w:hAnsi="Times New Roman"/>
                    </w:rPr>
                  </w:pPr>
                  <w:r>
                    <w:rPr>
                      <w:rFonts w:hint="eastAsia" w:ascii="Times New Roman" w:hAnsi="Times New Roman"/>
                    </w:rPr>
                    <w:t>运行期</w:t>
                  </w:r>
                </w:p>
              </w:tc>
              <w:tc>
                <w:tcPr>
                  <w:tcW w:w="1842" w:type="dxa"/>
                  <w:vAlign w:val="center"/>
                </w:tcPr>
                <w:p>
                  <w:pPr>
                    <w:pStyle w:val="19"/>
                    <w:adjustRightInd/>
                    <w:snapToGrid/>
                    <w:spacing w:line="240" w:lineRule="auto"/>
                    <w:rPr>
                      <w:rFonts w:ascii="Times New Roman" w:hAnsi="Times New Roman"/>
                    </w:rPr>
                  </w:pPr>
                  <w:r>
                    <w:rPr>
                      <w:rFonts w:hint="eastAsia" w:ascii="Times New Roman" w:hAnsi="Times New Roman"/>
                    </w:rPr>
                    <w:t>废弃污染</w:t>
                  </w:r>
                  <w:r>
                    <w:rPr>
                      <w:rFonts w:ascii="Times New Roman" w:hAnsi="Times New Roman"/>
                    </w:rPr>
                    <w:t>防治费</w:t>
                  </w:r>
                </w:p>
              </w:tc>
              <w:tc>
                <w:tcPr>
                  <w:tcW w:w="1560" w:type="dxa"/>
                  <w:vAlign w:val="center"/>
                </w:tcPr>
                <w:p>
                  <w:pPr>
                    <w:jc w:val="center"/>
                    <w:rPr>
                      <w:sz w:val="21"/>
                      <w:szCs w:val="21"/>
                    </w:rPr>
                  </w:pPr>
                  <w:r>
                    <w:rPr>
                      <w:sz w:val="21"/>
                      <w:szCs w:val="21"/>
                    </w:rPr>
                    <w:t>4.</w:t>
                  </w:r>
                  <w:r>
                    <w:rPr>
                      <w:rFonts w:hint="eastAsia"/>
                      <w:sz w:val="21"/>
                      <w:szCs w:val="21"/>
                    </w:rPr>
                    <w:t>5</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施工期场地洒水以及填土运输车土工布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hint="eastAsia" w:ascii="Times New Roman" w:hAnsi="Times New Roman"/>
                    </w:rPr>
                    <w:t>6</w:t>
                  </w:r>
                </w:p>
              </w:tc>
              <w:tc>
                <w:tcPr>
                  <w:tcW w:w="786" w:type="dxa"/>
                  <w:vMerge w:val="continue"/>
                  <w:vAlign w:val="center"/>
                </w:tcPr>
                <w:p>
                  <w:pPr>
                    <w:pStyle w:val="19"/>
                    <w:adjustRightInd/>
                    <w:snapToGrid/>
                    <w:spacing w:line="240" w:lineRule="auto"/>
                    <w:rPr>
                      <w:rFonts w:ascii="Times New Roman" w:hAnsi="Times New Roman"/>
                    </w:rPr>
                  </w:pPr>
                </w:p>
              </w:tc>
              <w:tc>
                <w:tcPr>
                  <w:tcW w:w="1842" w:type="dxa"/>
                  <w:vAlign w:val="center"/>
                </w:tcPr>
                <w:p>
                  <w:pPr>
                    <w:pStyle w:val="19"/>
                    <w:adjustRightInd/>
                    <w:snapToGrid/>
                    <w:spacing w:line="240" w:lineRule="auto"/>
                    <w:rPr>
                      <w:rFonts w:ascii="Times New Roman" w:hAnsi="Times New Roman"/>
                    </w:rPr>
                  </w:pPr>
                  <w:r>
                    <w:rPr>
                      <w:rFonts w:hint="eastAsia" w:ascii="Times New Roman" w:hAnsi="Times New Roman"/>
                    </w:rPr>
                    <w:t>废水</w:t>
                  </w:r>
                  <w:r>
                    <w:rPr>
                      <w:rFonts w:ascii="Times New Roman" w:hAnsi="Times New Roman"/>
                    </w:rPr>
                    <w:t>防治</w:t>
                  </w:r>
                  <w:r>
                    <w:rPr>
                      <w:rFonts w:hint="eastAsia" w:ascii="Times New Roman" w:hAnsi="Times New Roman"/>
                    </w:rPr>
                    <w:t>费用</w:t>
                  </w:r>
                </w:p>
              </w:tc>
              <w:tc>
                <w:tcPr>
                  <w:tcW w:w="1560" w:type="dxa"/>
                  <w:vAlign w:val="center"/>
                </w:tcPr>
                <w:p>
                  <w:pPr>
                    <w:jc w:val="center"/>
                    <w:rPr>
                      <w:sz w:val="21"/>
                      <w:szCs w:val="21"/>
                    </w:rPr>
                  </w:pPr>
                  <w:r>
                    <w:rPr>
                      <w:rFonts w:hint="eastAsia"/>
                      <w:sz w:val="21"/>
                      <w:szCs w:val="21"/>
                    </w:rPr>
                    <w:t>3.0</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站内新建化粪池等费用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hint="eastAsia" w:ascii="Times New Roman" w:hAnsi="Times New Roman"/>
                    </w:rPr>
                    <w:t>7</w:t>
                  </w:r>
                </w:p>
              </w:tc>
              <w:tc>
                <w:tcPr>
                  <w:tcW w:w="786" w:type="dxa"/>
                  <w:vMerge w:val="continue"/>
                  <w:vAlign w:val="center"/>
                </w:tcPr>
                <w:p>
                  <w:pPr>
                    <w:pStyle w:val="19"/>
                    <w:adjustRightInd/>
                    <w:snapToGrid/>
                    <w:spacing w:line="240" w:lineRule="auto"/>
                    <w:rPr>
                      <w:rFonts w:ascii="Times New Roman" w:hAnsi="Times New Roman"/>
                    </w:rPr>
                  </w:pPr>
                </w:p>
              </w:tc>
              <w:tc>
                <w:tcPr>
                  <w:tcW w:w="1842" w:type="dxa"/>
                  <w:vAlign w:val="center"/>
                </w:tcPr>
                <w:p>
                  <w:pPr>
                    <w:pStyle w:val="19"/>
                    <w:adjustRightInd/>
                    <w:snapToGrid/>
                    <w:spacing w:line="240" w:lineRule="auto"/>
                    <w:rPr>
                      <w:rFonts w:ascii="Times New Roman" w:hAnsi="Times New Roman"/>
                    </w:rPr>
                  </w:pPr>
                  <w:r>
                    <w:rPr>
                      <w:rFonts w:hint="eastAsia" w:ascii="Times New Roman" w:hAnsi="Times New Roman"/>
                    </w:rPr>
                    <w:t>噪声防治费用</w:t>
                  </w:r>
                </w:p>
              </w:tc>
              <w:tc>
                <w:tcPr>
                  <w:tcW w:w="1560" w:type="dxa"/>
                  <w:vAlign w:val="center"/>
                </w:tcPr>
                <w:p>
                  <w:pPr>
                    <w:jc w:val="center"/>
                    <w:rPr>
                      <w:sz w:val="21"/>
                      <w:szCs w:val="21"/>
                    </w:rPr>
                  </w:pPr>
                  <w:r>
                    <w:rPr>
                      <w:rFonts w:hint="eastAsia"/>
                      <w:sz w:val="21"/>
                      <w:szCs w:val="21"/>
                    </w:rPr>
                    <w:t>3.0</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购买低噪声设备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77" w:type="dxa"/>
                  <w:vAlign w:val="center"/>
                </w:tcPr>
                <w:p>
                  <w:pPr>
                    <w:pStyle w:val="19"/>
                    <w:adjustRightInd/>
                    <w:snapToGrid/>
                    <w:spacing w:line="240" w:lineRule="auto"/>
                    <w:rPr>
                      <w:rFonts w:ascii="Times New Roman" w:hAnsi="Times New Roman"/>
                    </w:rPr>
                  </w:pPr>
                  <w:r>
                    <w:rPr>
                      <w:rFonts w:hint="eastAsia" w:ascii="Times New Roman" w:hAnsi="Times New Roman"/>
                    </w:rPr>
                    <w:t>8</w:t>
                  </w:r>
                </w:p>
              </w:tc>
              <w:tc>
                <w:tcPr>
                  <w:tcW w:w="786" w:type="dxa"/>
                  <w:vMerge w:val="continue"/>
                  <w:vAlign w:val="center"/>
                </w:tcPr>
                <w:p>
                  <w:pPr>
                    <w:pStyle w:val="19"/>
                    <w:adjustRightInd/>
                    <w:snapToGrid/>
                    <w:spacing w:line="240" w:lineRule="auto"/>
                    <w:rPr>
                      <w:rFonts w:ascii="Times New Roman" w:hAnsi="Times New Roman"/>
                    </w:rPr>
                  </w:pPr>
                </w:p>
              </w:tc>
              <w:tc>
                <w:tcPr>
                  <w:tcW w:w="1842" w:type="dxa"/>
                  <w:vAlign w:val="center"/>
                </w:tcPr>
                <w:p>
                  <w:pPr>
                    <w:pStyle w:val="19"/>
                    <w:spacing w:line="240" w:lineRule="auto"/>
                    <w:rPr>
                      <w:rFonts w:ascii="Times New Roman" w:hAnsi="Times New Roman"/>
                    </w:rPr>
                  </w:pPr>
                  <w:r>
                    <w:rPr>
                      <w:rFonts w:hint="eastAsia" w:ascii="Times New Roman" w:hAnsi="Times New Roman"/>
                    </w:rPr>
                    <w:t>事故油池</w:t>
                  </w:r>
                </w:p>
              </w:tc>
              <w:tc>
                <w:tcPr>
                  <w:tcW w:w="1560" w:type="dxa"/>
                  <w:vAlign w:val="center"/>
                </w:tcPr>
                <w:p>
                  <w:pPr>
                    <w:jc w:val="center"/>
                    <w:rPr>
                      <w:sz w:val="21"/>
                      <w:szCs w:val="21"/>
                    </w:rPr>
                  </w:pPr>
                  <w:r>
                    <w:rPr>
                      <w:rFonts w:hint="eastAsia"/>
                      <w:sz w:val="21"/>
                      <w:szCs w:val="21"/>
                    </w:rPr>
                    <w:t>7.0</w:t>
                  </w:r>
                </w:p>
              </w:tc>
              <w:tc>
                <w:tcPr>
                  <w:tcW w:w="4478" w:type="dxa"/>
                  <w:vAlign w:val="center"/>
                </w:tcPr>
                <w:p>
                  <w:pPr>
                    <w:pStyle w:val="19"/>
                    <w:adjustRightInd/>
                    <w:snapToGrid/>
                    <w:spacing w:line="240" w:lineRule="auto"/>
                    <w:rPr>
                      <w:rFonts w:ascii="Times New Roman" w:hAnsi="Times New Roman"/>
                    </w:rPr>
                  </w:pPr>
                  <w:r>
                    <w:rPr>
                      <w:rFonts w:hint="eastAsia" w:ascii="Times New Roman" w:hAnsi="Times New Roman"/>
                    </w:rPr>
                    <w:t>事故油池建设费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05" w:type="dxa"/>
                  <w:gridSpan w:val="3"/>
                  <w:vAlign w:val="center"/>
                </w:tcPr>
                <w:p>
                  <w:pPr>
                    <w:pStyle w:val="19"/>
                    <w:adjustRightInd/>
                    <w:snapToGrid/>
                    <w:spacing w:line="240" w:lineRule="auto"/>
                    <w:rPr>
                      <w:rFonts w:ascii="Times New Roman" w:hAnsi="Times New Roman"/>
                    </w:rPr>
                  </w:pPr>
                  <w:r>
                    <w:rPr>
                      <w:rFonts w:ascii="Times New Roman" w:hAnsi="Times New Roman"/>
                    </w:rPr>
                    <w:t>合计</w:t>
                  </w:r>
                </w:p>
              </w:tc>
              <w:tc>
                <w:tcPr>
                  <w:tcW w:w="1560" w:type="dxa"/>
                  <w:vAlign w:val="center"/>
                </w:tcPr>
                <w:p>
                  <w:pPr>
                    <w:pStyle w:val="19"/>
                    <w:adjustRightInd/>
                    <w:snapToGrid/>
                    <w:spacing w:line="240" w:lineRule="exact"/>
                    <w:rPr>
                      <w:rFonts w:ascii="Times New Roman" w:hAnsi="Times New Roman"/>
                    </w:rPr>
                  </w:pPr>
                  <w:r>
                    <w:rPr>
                      <w:rFonts w:hint="eastAsia" w:ascii="Times New Roman" w:hAnsi="Times New Roman"/>
                    </w:rPr>
                    <w:t>37</w:t>
                  </w:r>
                </w:p>
              </w:tc>
              <w:tc>
                <w:tcPr>
                  <w:tcW w:w="4478" w:type="dxa"/>
                  <w:vAlign w:val="center"/>
                </w:tcPr>
                <w:p>
                  <w:pPr>
                    <w:pStyle w:val="19"/>
                    <w:adjustRightInd/>
                    <w:snapToGrid/>
                    <w:spacing w:line="240" w:lineRule="exact"/>
                    <w:rPr>
                      <w:rFonts w:ascii="Times New Roman" w:hAnsi="Times New Roman"/>
                    </w:rPr>
                  </w:pPr>
                  <w:r>
                    <w:rPr>
                      <w:rFonts w:hint="eastAsia"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05" w:type="dxa"/>
                  <w:gridSpan w:val="3"/>
                  <w:vAlign w:val="center"/>
                </w:tcPr>
                <w:p>
                  <w:pPr>
                    <w:pStyle w:val="19"/>
                    <w:adjustRightInd/>
                    <w:snapToGrid/>
                    <w:spacing w:line="240" w:lineRule="auto"/>
                    <w:rPr>
                      <w:rFonts w:ascii="Times New Roman" w:hAnsi="Times New Roman"/>
                    </w:rPr>
                  </w:pPr>
                  <w:r>
                    <w:rPr>
                      <w:rFonts w:ascii="Times New Roman" w:hAnsi="Times New Roman"/>
                    </w:rPr>
                    <w:t>工程总投资</w:t>
                  </w:r>
                </w:p>
              </w:tc>
              <w:tc>
                <w:tcPr>
                  <w:tcW w:w="1560" w:type="dxa"/>
                  <w:vAlign w:val="center"/>
                </w:tcPr>
                <w:p>
                  <w:pPr>
                    <w:pStyle w:val="19"/>
                    <w:adjustRightInd/>
                    <w:snapToGrid/>
                    <w:spacing w:line="240" w:lineRule="exact"/>
                    <w:rPr>
                      <w:rFonts w:ascii="Times New Roman" w:hAnsi="Times New Roman"/>
                    </w:rPr>
                  </w:pPr>
                  <w:r>
                    <w:rPr>
                      <w:rFonts w:hint="eastAsia" w:ascii="Times New Roman" w:hAnsi="Times New Roman"/>
                    </w:rPr>
                    <w:t>2250.73</w:t>
                  </w:r>
                </w:p>
              </w:tc>
              <w:tc>
                <w:tcPr>
                  <w:tcW w:w="4478" w:type="dxa"/>
                  <w:vAlign w:val="center"/>
                </w:tcPr>
                <w:p>
                  <w:pPr>
                    <w:pStyle w:val="19"/>
                    <w:adjustRightInd/>
                    <w:snapToGrid/>
                    <w:spacing w:line="240" w:lineRule="exact"/>
                    <w:rPr>
                      <w:rFonts w:ascii="Times New Roman" w:hAnsi="Times New Roman"/>
                    </w:rPr>
                  </w:pPr>
                  <w:r>
                    <w:rPr>
                      <w:rFonts w:hint="eastAsia"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05" w:type="dxa"/>
                  <w:gridSpan w:val="3"/>
                  <w:vAlign w:val="center"/>
                </w:tcPr>
                <w:p>
                  <w:pPr>
                    <w:pStyle w:val="19"/>
                    <w:adjustRightInd/>
                    <w:snapToGrid/>
                    <w:spacing w:line="240" w:lineRule="auto"/>
                    <w:rPr>
                      <w:rFonts w:ascii="Times New Roman" w:hAnsi="Times New Roman"/>
                    </w:rPr>
                  </w:pPr>
                  <w:r>
                    <w:rPr>
                      <w:rFonts w:ascii="Times New Roman" w:hAnsi="Times New Roman"/>
                    </w:rPr>
                    <w:t>环保投资占总投资比例（%）</w:t>
                  </w:r>
                </w:p>
              </w:tc>
              <w:tc>
                <w:tcPr>
                  <w:tcW w:w="1560" w:type="dxa"/>
                  <w:vAlign w:val="center"/>
                </w:tcPr>
                <w:p>
                  <w:pPr>
                    <w:pStyle w:val="19"/>
                    <w:adjustRightInd/>
                    <w:snapToGrid/>
                    <w:spacing w:line="240" w:lineRule="exact"/>
                    <w:rPr>
                      <w:rFonts w:ascii="Times New Roman" w:hAnsi="Times New Roman"/>
                    </w:rPr>
                  </w:pPr>
                  <w:r>
                    <w:rPr>
                      <w:rFonts w:ascii="Times New Roman" w:hAnsi="Times New Roman"/>
                    </w:rPr>
                    <w:t>1.64</w:t>
                  </w:r>
                </w:p>
              </w:tc>
              <w:tc>
                <w:tcPr>
                  <w:tcW w:w="4478" w:type="dxa"/>
                  <w:vAlign w:val="center"/>
                </w:tcPr>
                <w:p>
                  <w:pPr>
                    <w:pStyle w:val="19"/>
                    <w:adjustRightInd/>
                    <w:snapToGrid/>
                    <w:spacing w:line="240" w:lineRule="exact"/>
                    <w:rPr>
                      <w:rFonts w:ascii="Times New Roman" w:hAnsi="Times New Roman"/>
                    </w:rPr>
                  </w:pPr>
                  <w:r>
                    <w:rPr>
                      <w:rFonts w:hint="eastAsia" w:ascii="Times New Roman" w:hAnsi="Times New Roman"/>
                    </w:rPr>
                    <w:t>/</w:t>
                  </w:r>
                </w:p>
              </w:tc>
            </w:tr>
          </w:tbl>
          <w:p>
            <w:pPr>
              <w:tabs>
                <w:tab w:val="left" w:pos="709"/>
              </w:tabs>
              <w:adjustRightInd w:val="0"/>
              <w:snapToGrid w:val="0"/>
              <w:spacing w:line="520" w:lineRule="exact"/>
              <w:jc w:val="left"/>
              <w:rPr>
                <w:rFonts w:eastAsia="宋体"/>
                <w:b/>
                <w:sz w:val="24"/>
              </w:rPr>
            </w:pPr>
            <w:r>
              <w:rPr>
                <w:rFonts w:eastAsia="宋体"/>
                <w:b/>
                <w:sz w:val="24"/>
              </w:rPr>
              <w:t>1.6工程与政策及规划的相符性</w:t>
            </w:r>
          </w:p>
          <w:p>
            <w:pPr>
              <w:autoSpaceDE w:val="0"/>
              <w:autoSpaceDN w:val="0"/>
              <w:adjustRightInd w:val="0"/>
              <w:spacing w:line="520" w:lineRule="exact"/>
              <w:ind w:firstLine="480" w:firstLineChars="200"/>
              <w:jc w:val="left"/>
              <w:rPr>
                <w:rFonts w:eastAsia="宋体"/>
                <w:sz w:val="24"/>
              </w:rPr>
            </w:pPr>
            <w:r>
              <w:rPr>
                <w:rFonts w:eastAsia="宋体"/>
                <w:sz w:val="24"/>
              </w:rPr>
              <w:t>本工程属于城乡电网建设项目。</w:t>
            </w:r>
            <w:r>
              <w:rPr>
                <w:rFonts w:hint="eastAsia" w:eastAsia="宋体"/>
                <w:sz w:val="24"/>
              </w:rPr>
              <w:t>根据《产业结构调整指导目录（2019年本）》</w:t>
            </w:r>
            <w:r>
              <w:rPr>
                <w:rFonts w:eastAsia="宋体"/>
                <w:sz w:val="24"/>
              </w:rPr>
              <w:t>，</w:t>
            </w:r>
            <w:r>
              <w:rPr>
                <w:rFonts w:hint="eastAsia" w:eastAsia="宋体"/>
                <w:sz w:val="24"/>
              </w:rPr>
              <w:t>本项目</w:t>
            </w:r>
            <w:r>
              <w:rPr>
                <w:rFonts w:eastAsia="宋体"/>
                <w:sz w:val="24"/>
              </w:rPr>
              <w:t>为“鼓励类”项目。</w:t>
            </w:r>
            <w:r>
              <w:rPr>
                <w:rFonts w:hint="eastAsia" w:eastAsia="宋体"/>
                <w:sz w:val="24"/>
              </w:rPr>
              <w:t>且本项目是清洁可再生能源开发利用项目，符合国家产业发展政策，符合当地总体发展规划和环境保护要求，具有明显的经济效益和环境效益。</w:t>
            </w:r>
          </w:p>
          <w:p>
            <w:pPr>
              <w:autoSpaceDE w:val="0"/>
              <w:autoSpaceDN w:val="0"/>
              <w:adjustRightInd w:val="0"/>
              <w:spacing w:line="520" w:lineRule="exact"/>
              <w:ind w:firstLine="480" w:firstLineChars="200"/>
              <w:rPr>
                <w:rFonts w:eastAsia="宋体"/>
                <w:sz w:val="22"/>
              </w:rPr>
            </w:pPr>
            <w:r>
              <w:rPr>
                <w:rFonts w:eastAsia="宋体"/>
                <w:sz w:val="24"/>
              </w:rPr>
              <w:t>因此，本工程的建设与国家产业政策是相符的</w:t>
            </w:r>
            <w:r>
              <w:t>。</w:t>
            </w:r>
          </w:p>
          <w:p>
            <w:pPr>
              <w:autoSpaceDE w:val="0"/>
              <w:autoSpaceDN w:val="0"/>
              <w:adjustRightInd w:val="0"/>
              <w:spacing w:line="520" w:lineRule="exact"/>
              <w:rPr>
                <w:rFonts w:eastAsia="宋体"/>
                <w:sz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000" w:type="pct"/>
            <w:gridSpan w:val="10"/>
            <w:vAlign w:val="center"/>
          </w:tcPr>
          <w:p>
            <w:pPr>
              <w:adjustRightInd w:val="0"/>
              <w:snapToGrid w:val="0"/>
              <w:spacing w:line="520" w:lineRule="exact"/>
              <w:jc w:val="left"/>
              <w:rPr>
                <w:rFonts w:eastAsia="宋体"/>
                <w:b/>
                <w:szCs w:val="28"/>
              </w:rPr>
            </w:pPr>
            <w:r>
              <w:rPr>
                <w:rFonts w:eastAsia="宋体"/>
                <w:b/>
                <w:szCs w:val="28"/>
              </w:rPr>
              <w:t>本项目原有污染情况：</w:t>
            </w:r>
          </w:p>
          <w:p>
            <w:pPr>
              <w:adjustRightInd w:val="0"/>
              <w:snapToGrid w:val="0"/>
              <w:spacing w:line="520" w:lineRule="exact"/>
              <w:ind w:firstLine="480" w:firstLineChars="200"/>
              <w:rPr>
                <w:rFonts w:eastAsia="宋体"/>
                <w:sz w:val="24"/>
              </w:rPr>
            </w:pPr>
            <w:r>
              <w:rPr>
                <w:rFonts w:eastAsia="宋体"/>
                <w:sz w:val="24"/>
              </w:rPr>
              <w:t>根据现场调查，</w:t>
            </w:r>
            <w:r>
              <w:rPr>
                <w:rFonts w:hint="eastAsia" w:eastAsia="宋体"/>
                <w:sz w:val="24"/>
              </w:rPr>
              <w:t>该升压站及塔基已建成并运行，在</w:t>
            </w:r>
            <w:r>
              <w:rPr>
                <w:rFonts w:eastAsia="宋体"/>
                <w:sz w:val="24"/>
              </w:rPr>
              <w:t>现场勘察时发现有部分塔基所占用土地还未进行绿化</w:t>
            </w:r>
            <w:r>
              <w:rPr>
                <w:rFonts w:hint="eastAsia" w:eastAsia="宋体"/>
                <w:sz w:val="24"/>
              </w:rPr>
              <w:t>，据此本次评价提出：要求企业</w:t>
            </w:r>
            <w:r>
              <w:rPr>
                <w:rFonts w:eastAsia="宋体"/>
                <w:sz w:val="24"/>
              </w:rPr>
              <w:t>时对塔基所占地进行复耕及绿化</w:t>
            </w:r>
            <w:r>
              <w:rPr>
                <w:rFonts w:hint="eastAsia" w:eastAsia="宋体"/>
                <w:sz w:val="24"/>
              </w:rPr>
              <w:t>。</w:t>
            </w:r>
          </w:p>
          <w:p>
            <w:pPr>
              <w:autoSpaceDE w:val="0"/>
              <w:autoSpaceDN w:val="0"/>
              <w:adjustRightInd w:val="0"/>
              <w:spacing w:line="520" w:lineRule="exact"/>
              <w:jc w:val="left"/>
              <w:rPr>
                <w:rFonts w:hAnsi="宋体" w:eastAsia="宋体"/>
                <w:b/>
                <w:color w:val="FF0000"/>
                <w:sz w:val="24"/>
              </w:rPr>
            </w:pPr>
          </w:p>
          <w:p>
            <w:pPr>
              <w:autoSpaceDE w:val="0"/>
              <w:autoSpaceDN w:val="0"/>
              <w:adjustRightInd w:val="0"/>
              <w:spacing w:line="520" w:lineRule="exact"/>
              <w:jc w:val="left"/>
              <w:rPr>
                <w:rFonts w:eastAsia="宋体"/>
                <w:b/>
                <w:spacing w:val="-2"/>
                <w:kern w:val="16"/>
                <w:sz w:val="24"/>
              </w:rPr>
            </w:pPr>
          </w:p>
          <w:p>
            <w:pPr>
              <w:autoSpaceDE w:val="0"/>
              <w:autoSpaceDN w:val="0"/>
              <w:adjustRightInd w:val="0"/>
              <w:spacing w:line="520" w:lineRule="exact"/>
              <w:jc w:val="left"/>
              <w:rPr>
                <w:rFonts w:eastAsia="宋体"/>
                <w:b/>
                <w:spacing w:val="-2"/>
                <w:kern w:val="16"/>
                <w:sz w:val="24"/>
              </w:rPr>
            </w:pPr>
          </w:p>
        </w:tc>
      </w:tr>
    </w:tbl>
    <w:p>
      <w:pPr>
        <w:outlineLvl w:val="0"/>
        <w:rPr>
          <w:rFonts w:eastAsia="宋体"/>
          <w:b/>
          <w:bCs/>
          <w:sz w:val="30"/>
          <w:szCs w:val="30"/>
        </w:rPr>
      </w:pPr>
      <w:bookmarkStart w:id="18" w:name="_Toc37923281"/>
      <w:bookmarkStart w:id="19" w:name="_Toc307124764"/>
      <w:r>
        <w:rPr>
          <w:rFonts w:hint="eastAsia" w:eastAsia="宋体"/>
          <w:b/>
          <w:bCs/>
          <w:sz w:val="30"/>
          <w:szCs w:val="30"/>
        </w:rPr>
        <w:t>二、</w:t>
      </w:r>
      <w:r>
        <w:rPr>
          <w:rFonts w:eastAsia="宋体"/>
          <w:b/>
          <w:bCs/>
          <w:sz w:val="30"/>
          <w:szCs w:val="30"/>
        </w:rPr>
        <w:t>建设项目所在地自然环境简况</w:t>
      </w:r>
      <w:bookmarkEnd w:id="18"/>
      <w:bookmarkEnd w:id="19"/>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2" w:type="dxa"/>
          </w:tcPr>
          <w:p>
            <w:pPr>
              <w:adjustRightInd w:val="0"/>
              <w:snapToGrid w:val="0"/>
              <w:spacing w:line="520" w:lineRule="exact"/>
              <w:jc w:val="left"/>
              <w:rPr>
                <w:rFonts w:eastAsia="宋体"/>
                <w:b/>
                <w:sz w:val="24"/>
                <w:szCs w:val="28"/>
              </w:rPr>
            </w:pPr>
            <w:r>
              <w:rPr>
                <w:rFonts w:hint="eastAsia" w:eastAsia="宋体"/>
                <w:b/>
                <w:sz w:val="24"/>
                <w:szCs w:val="28"/>
              </w:rPr>
              <w:t>2.1</w:t>
            </w:r>
            <w:r>
              <w:rPr>
                <w:rFonts w:eastAsia="宋体"/>
                <w:b/>
                <w:sz w:val="24"/>
                <w:szCs w:val="28"/>
              </w:rPr>
              <w:t>自然环境简况</w:t>
            </w:r>
          </w:p>
          <w:p>
            <w:pPr>
              <w:adjustRightInd w:val="0"/>
              <w:snapToGrid w:val="0"/>
              <w:spacing w:line="520" w:lineRule="exact"/>
              <w:jc w:val="left"/>
              <w:rPr>
                <w:rFonts w:eastAsia="宋体"/>
                <w:b/>
                <w:sz w:val="24"/>
                <w:szCs w:val="28"/>
              </w:rPr>
            </w:pPr>
            <w:r>
              <w:rPr>
                <w:rFonts w:eastAsia="宋体"/>
                <w:b/>
                <w:sz w:val="24"/>
                <w:szCs w:val="28"/>
              </w:rPr>
              <w:t>2.1.1地理位置</w:t>
            </w:r>
          </w:p>
          <w:p>
            <w:pPr>
              <w:spacing w:line="520" w:lineRule="exact"/>
              <w:ind w:firstLine="480" w:firstLineChars="200"/>
              <w:rPr>
                <w:rFonts w:eastAsia="宋体"/>
                <w:snapToGrid w:val="0"/>
                <w:kern w:val="24"/>
                <w:sz w:val="24"/>
              </w:rPr>
            </w:pPr>
            <w:r>
              <w:rPr>
                <w:rFonts w:hAnsi="宋体" w:eastAsia="宋体"/>
                <w:snapToGrid w:val="0"/>
                <w:kern w:val="24"/>
                <w:sz w:val="24"/>
              </w:rPr>
              <w:t>禹州市位于河南省中部，地处伏牛山脉与豫东平原过渡带，在东经</w:t>
            </w:r>
            <w:r>
              <w:rPr>
                <w:rFonts w:eastAsia="宋体"/>
                <w:snapToGrid w:val="0"/>
                <w:kern w:val="24"/>
                <w:sz w:val="24"/>
              </w:rPr>
              <w:t>113°03′-113°39′</w:t>
            </w:r>
            <w:r>
              <w:rPr>
                <w:rFonts w:hAnsi="宋体" w:eastAsia="宋体"/>
                <w:snapToGrid w:val="0"/>
                <w:kern w:val="24"/>
                <w:sz w:val="24"/>
              </w:rPr>
              <w:t>和北纬</w:t>
            </w:r>
            <w:r>
              <w:rPr>
                <w:rFonts w:eastAsia="宋体"/>
                <w:snapToGrid w:val="0"/>
                <w:kern w:val="24"/>
                <w:sz w:val="24"/>
              </w:rPr>
              <w:t>33°59′-34°24′</w:t>
            </w:r>
            <w:r>
              <w:rPr>
                <w:rFonts w:hAnsi="宋体" w:eastAsia="宋体"/>
                <w:snapToGrid w:val="0"/>
                <w:kern w:val="24"/>
                <w:sz w:val="24"/>
              </w:rPr>
              <w:t>之间。总面积</w:t>
            </w:r>
            <w:r>
              <w:rPr>
                <w:rFonts w:eastAsia="宋体"/>
                <w:snapToGrid w:val="0"/>
                <w:kern w:val="24"/>
                <w:sz w:val="24"/>
              </w:rPr>
              <w:t>1472 km</w:t>
            </w:r>
            <w:r>
              <w:rPr>
                <w:rFonts w:eastAsia="宋体"/>
                <w:snapToGrid w:val="0"/>
                <w:kern w:val="24"/>
                <w:sz w:val="24"/>
                <w:vertAlign w:val="superscript"/>
              </w:rPr>
              <w:t>2</w:t>
            </w:r>
            <w:r>
              <w:rPr>
                <w:rFonts w:hAnsi="宋体" w:eastAsia="宋体"/>
                <w:snapToGrid w:val="0"/>
                <w:kern w:val="24"/>
                <w:sz w:val="24"/>
              </w:rPr>
              <w:t>。东接许昌、长葛，北靠新郑、新密，西北邻登封，西及南部连汝州、郏县、襄县。</w:t>
            </w:r>
          </w:p>
          <w:p>
            <w:pPr>
              <w:spacing w:line="520" w:lineRule="exact"/>
              <w:ind w:firstLine="480" w:firstLineChars="200"/>
              <w:rPr>
                <w:rFonts w:hAnsi="宋体" w:eastAsia="宋体"/>
                <w:kern w:val="24"/>
                <w:sz w:val="24"/>
              </w:rPr>
            </w:pPr>
            <w:r>
              <w:rPr>
                <w:rFonts w:hAnsi="宋体" w:eastAsia="宋体"/>
                <w:sz w:val="24"/>
                <w:szCs w:val="28"/>
              </w:rPr>
              <w:t>本项目位于</w:t>
            </w:r>
            <w:r>
              <w:rPr>
                <w:rFonts w:hAnsi="宋体" w:eastAsia="宋体"/>
                <w:sz w:val="24"/>
              </w:rPr>
              <w:t>禹州市苌庄乡、浅井镇的山地地带，</w:t>
            </w:r>
            <w:r>
              <w:rPr>
                <w:rFonts w:hAnsi="宋体" w:eastAsia="宋体"/>
                <w:kern w:val="24"/>
                <w:sz w:val="24"/>
              </w:rPr>
              <w:t>区域内山脊大致为东西走向，项目地理位置见附图</w:t>
            </w:r>
            <w:r>
              <w:rPr>
                <w:rFonts w:eastAsia="宋体"/>
                <w:kern w:val="24"/>
                <w:sz w:val="24"/>
              </w:rPr>
              <w:t>1</w:t>
            </w:r>
            <w:r>
              <w:rPr>
                <w:rFonts w:hAnsi="宋体" w:eastAsia="宋体"/>
                <w:kern w:val="24"/>
                <w:sz w:val="24"/>
              </w:rPr>
              <w:t>，周边环境概况见附图</w:t>
            </w:r>
            <w:r>
              <w:rPr>
                <w:rFonts w:eastAsia="宋体"/>
                <w:kern w:val="24"/>
                <w:sz w:val="24"/>
              </w:rPr>
              <w:t>2</w:t>
            </w:r>
            <w:r>
              <w:rPr>
                <w:rFonts w:hAnsi="宋体" w:eastAsia="宋体"/>
                <w:kern w:val="24"/>
                <w:sz w:val="24"/>
              </w:rPr>
              <w:t>。</w:t>
            </w:r>
          </w:p>
          <w:p>
            <w:pPr>
              <w:adjustRightInd w:val="0"/>
              <w:snapToGrid w:val="0"/>
              <w:spacing w:line="520" w:lineRule="exact"/>
              <w:jc w:val="left"/>
              <w:rPr>
                <w:rFonts w:eastAsia="宋体"/>
                <w:b/>
                <w:sz w:val="24"/>
                <w:szCs w:val="28"/>
              </w:rPr>
            </w:pPr>
            <w:r>
              <w:rPr>
                <w:rFonts w:eastAsia="宋体"/>
                <w:b/>
                <w:sz w:val="24"/>
                <w:szCs w:val="28"/>
              </w:rPr>
              <w:t>2.1.</w:t>
            </w:r>
            <w:r>
              <w:rPr>
                <w:rFonts w:hint="eastAsia" w:eastAsia="宋体"/>
                <w:b/>
                <w:sz w:val="24"/>
                <w:szCs w:val="28"/>
              </w:rPr>
              <w:t>2</w:t>
            </w:r>
            <w:r>
              <w:rPr>
                <w:rFonts w:eastAsia="宋体"/>
                <w:b/>
                <w:sz w:val="24"/>
                <w:szCs w:val="28"/>
              </w:rPr>
              <w:t>地形地貌</w:t>
            </w:r>
          </w:p>
          <w:p>
            <w:pPr>
              <w:spacing w:line="520" w:lineRule="exact"/>
              <w:ind w:firstLine="480" w:firstLineChars="200"/>
              <w:rPr>
                <w:rFonts w:eastAsia="宋体"/>
                <w:snapToGrid w:val="0"/>
                <w:kern w:val="24"/>
                <w:sz w:val="24"/>
              </w:rPr>
            </w:pPr>
            <w:r>
              <w:rPr>
                <w:rFonts w:eastAsia="宋体"/>
                <w:snapToGrid w:val="0"/>
                <w:kern w:val="24"/>
                <w:sz w:val="24"/>
              </w:rPr>
              <w:t>禹州市处于伏牛山余脉与豫东南平原的交接部位，北部、西部为山地丘陵，中部和东南部为冲积平原，整个地势由西北向东南倾斜。海拔由西部的最高点（西大洪寨山）1150.6m，降到东南部的最低点（范坡镇新前一带）92.3m。地貌类型主要有山地、丘陵、岗地和平原。其中平原589.6k ㎡，占40.4%；岗地450.4k ㎡，占30.8%；山地416.5k ㎡，占13.9%。其中水域4.5k ㎡。</w:t>
            </w:r>
          </w:p>
          <w:p>
            <w:pPr>
              <w:spacing w:line="520" w:lineRule="exact"/>
              <w:ind w:firstLine="480" w:firstLineChars="200"/>
              <w:rPr>
                <w:rFonts w:eastAsia="宋体"/>
                <w:kern w:val="0"/>
                <w:sz w:val="24"/>
              </w:rPr>
            </w:pPr>
            <w:r>
              <w:rPr>
                <w:rFonts w:eastAsia="宋体"/>
                <w:snapToGrid w:val="0"/>
                <w:kern w:val="24"/>
                <w:sz w:val="24"/>
              </w:rPr>
              <w:t>禹州市地貌类型大体可分为十三种：一、石英岩、灰岩质中山；二、灰岩、变质岩质低山；三、灰岩、砂页岩质丘陵；黄土状亚砂土质山前丘陵；黄土状亚砂土质山前交接坡地；砂砾石、亚砂土质山间丘间倾斜平地；碎石、亚砂土质高岗地；亚砂土亚粘土质岗地；亚粘土、亚砂土质缓平岗；亚砂土质微倾斜平地；亚粘土、亚砂土质微倾斜平原；粉砂、</w:t>
            </w:r>
            <w:r>
              <w:rPr>
                <w:rFonts w:eastAsia="宋体"/>
                <w:kern w:val="0"/>
                <w:sz w:val="24"/>
              </w:rPr>
              <w:t>亚砂土质阶地；砂砾质河滩地。</w:t>
            </w:r>
          </w:p>
          <w:p>
            <w:pPr>
              <w:spacing w:line="520" w:lineRule="exact"/>
              <w:ind w:firstLine="480" w:firstLineChars="200"/>
              <w:rPr>
                <w:rFonts w:eastAsia="宋体"/>
                <w:snapToGrid w:val="0"/>
                <w:kern w:val="24"/>
                <w:sz w:val="24"/>
              </w:rPr>
            </w:pPr>
            <w:r>
              <w:rPr>
                <w:rFonts w:hint="eastAsia" w:eastAsia="宋体"/>
                <w:snapToGrid w:val="0"/>
                <w:kern w:val="24"/>
                <w:sz w:val="24"/>
              </w:rPr>
              <w:t>苌庄风电工程位于禹州市北部，工程场址地面标高</w:t>
            </w:r>
            <w:r>
              <w:rPr>
                <w:rFonts w:eastAsia="宋体"/>
                <w:snapToGrid w:val="0"/>
                <w:kern w:val="24"/>
                <w:sz w:val="24"/>
              </w:rPr>
              <w:t>350.00m</w:t>
            </w:r>
            <w:r>
              <w:rPr>
                <w:rFonts w:hint="eastAsia" w:eastAsia="宋体"/>
                <w:snapToGrid w:val="0"/>
                <w:kern w:val="24"/>
                <w:sz w:val="24"/>
              </w:rPr>
              <w:t>～</w:t>
            </w:r>
            <w:r>
              <w:rPr>
                <w:rFonts w:eastAsia="宋体"/>
                <w:snapToGrid w:val="0"/>
                <w:kern w:val="24"/>
                <w:sz w:val="24"/>
              </w:rPr>
              <w:t>725.00m</w:t>
            </w:r>
            <w:r>
              <w:rPr>
                <w:rFonts w:hint="eastAsia" w:eastAsia="宋体"/>
                <w:snapToGrid w:val="0"/>
                <w:kern w:val="24"/>
                <w:sz w:val="24"/>
              </w:rPr>
              <w:t>，相对高差</w:t>
            </w:r>
            <w:r>
              <w:rPr>
                <w:rFonts w:eastAsia="宋体"/>
                <w:snapToGrid w:val="0"/>
                <w:kern w:val="24"/>
                <w:sz w:val="24"/>
              </w:rPr>
              <w:t>150m</w:t>
            </w:r>
            <w:r>
              <w:rPr>
                <w:rFonts w:hint="eastAsia" w:eastAsia="宋体"/>
                <w:snapToGrid w:val="0"/>
                <w:kern w:val="24"/>
                <w:sz w:val="24"/>
              </w:rPr>
              <w:t>～</w:t>
            </w:r>
            <w:r>
              <w:rPr>
                <w:rFonts w:eastAsia="宋体"/>
                <w:snapToGrid w:val="0"/>
                <w:kern w:val="24"/>
                <w:sz w:val="24"/>
              </w:rPr>
              <w:t>300m</w:t>
            </w:r>
            <w:r>
              <w:rPr>
                <w:rFonts w:hint="eastAsia" w:eastAsia="宋体"/>
                <w:snapToGrid w:val="0"/>
                <w:kern w:val="24"/>
                <w:sz w:val="24"/>
              </w:rPr>
              <w:t>，属低山丘陵地形，山体边坡坡度</w:t>
            </w:r>
            <w:r>
              <w:rPr>
                <w:rFonts w:eastAsia="宋体"/>
                <w:snapToGrid w:val="0"/>
                <w:kern w:val="24"/>
                <w:sz w:val="24"/>
              </w:rPr>
              <w:t>16°</w:t>
            </w:r>
            <w:r>
              <w:rPr>
                <w:rFonts w:hint="eastAsia" w:eastAsia="宋体"/>
                <w:snapToGrid w:val="0"/>
                <w:kern w:val="24"/>
                <w:sz w:val="24"/>
              </w:rPr>
              <w:t>～</w:t>
            </w:r>
            <w:r>
              <w:rPr>
                <w:rFonts w:eastAsia="宋体"/>
                <w:snapToGrid w:val="0"/>
                <w:kern w:val="24"/>
                <w:sz w:val="24"/>
              </w:rPr>
              <w:t>35°</w:t>
            </w:r>
            <w:r>
              <w:rPr>
                <w:rFonts w:hint="eastAsia" w:eastAsia="宋体"/>
                <w:snapToGrid w:val="0"/>
                <w:kern w:val="24"/>
                <w:sz w:val="24"/>
              </w:rPr>
              <w:t>，塔基主要布置于农田或山地上。</w:t>
            </w:r>
          </w:p>
          <w:p>
            <w:pPr>
              <w:spacing w:line="500" w:lineRule="exact"/>
              <w:ind w:firstLine="480" w:firstLineChars="200"/>
              <w:rPr>
                <w:rFonts w:eastAsia="宋体"/>
                <w:snapToGrid w:val="0"/>
                <w:kern w:val="24"/>
                <w:sz w:val="24"/>
              </w:rPr>
            </w:pPr>
          </w:p>
          <w:p>
            <w:pPr>
              <w:spacing w:line="500" w:lineRule="exact"/>
              <w:ind w:firstLine="480" w:firstLineChars="200"/>
              <w:rPr>
                <w:rFonts w:eastAsia="宋体"/>
                <w:snapToGrid w:val="0"/>
                <w:kern w:val="24"/>
                <w:sz w:val="24"/>
              </w:rPr>
            </w:pPr>
          </w:p>
          <w:p>
            <w:pPr>
              <w:spacing w:line="520" w:lineRule="exact"/>
              <w:ind w:firstLine="480" w:firstLineChars="200"/>
              <w:rPr>
                <w:rFonts w:eastAsia="宋体"/>
                <w:kern w:val="24"/>
                <w:sz w:val="24"/>
              </w:rPr>
            </w:pPr>
          </w:p>
          <w:p>
            <w:pPr>
              <w:spacing w:line="520" w:lineRule="exact"/>
              <w:rPr>
                <w:rFonts w:eastAsia="宋体"/>
                <w:kern w:val="24"/>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Pr>
                <w:p>
                  <w:pPr>
                    <w:spacing w:line="520" w:lineRule="exact"/>
                    <w:rPr>
                      <w:rFonts w:eastAsia="宋体"/>
                      <w:kern w:val="24"/>
                      <w:sz w:val="24"/>
                    </w:rPr>
                  </w:pPr>
                  <w:r>
                    <w:rPr>
                      <w:rFonts w:hint="eastAsia" w:eastAsia="宋体"/>
                      <w:b/>
                      <w:sz w:val="24"/>
                      <w:szCs w:val="28"/>
                    </w:rPr>
                    <w:drawing>
                      <wp:anchor distT="0" distB="0" distL="114300" distR="114300" simplePos="0" relativeHeight="251657216" behindDoc="0" locked="0" layoutInCell="1" allowOverlap="1">
                        <wp:simplePos x="0" y="0"/>
                        <wp:positionH relativeFrom="column">
                          <wp:posOffset>10160</wp:posOffset>
                        </wp:positionH>
                        <wp:positionV relativeFrom="paragraph">
                          <wp:posOffset>32385</wp:posOffset>
                        </wp:positionV>
                        <wp:extent cx="2491105" cy="1871980"/>
                        <wp:effectExtent l="19050" t="0" r="4445" b="0"/>
                        <wp:wrapNone/>
                        <wp:docPr id="18" name="图片 18" descr="微信图片_2020030415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304152435"/>
                                <pic:cNvPicPr>
                                  <a:picLocks noChangeAspect="1" noChangeArrowheads="1"/>
                                </pic:cNvPicPr>
                              </pic:nvPicPr>
                              <pic:blipFill>
                                <a:blip r:embed="rId7" cstate="print"/>
                                <a:srcRect l="3149" r="8125"/>
                                <a:stretch>
                                  <a:fillRect/>
                                </a:stretch>
                              </pic:blipFill>
                              <pic:spPr>
                                <a:xfrm>
                                  <a:off x="0" y="0"/>
                                  <a:ext cx="2491105" cy="1871980"/>
                                </a:xfrm>
                                <a:prstGeom prst="rect">
                                  <a:avLst/>
                                </a:prstGeom>
                                <a:noFill/>
                                <a:ln w="19050">
                                  <a:noFill/>
                                  <a:miter lim="800000"/>
                                  <a:headEnd/>
                                  <a:tailEnd/>
                                </a:ln>
                              </pic:spPr>
                            </pic:pic>
                          </a:graphicData>
                        </a:graphic>
                      </wp:anchor>
                    </w:drawing>
                  </w:r>
                </w:p>
                <w:p>
                  <w:pPr>
                    <w:spacing w:line="520" w:lineRule="exact"/>
                    <w:rPr>
                      <w:rFonts w:eastAsia="宋体"/>
                      <w:kern w:val="24"/>
                      <w:sz w:val="24"/>
                    </w:rPr>
                  </w:pPr>
                </w:p>
                <w:p>
                  <w:pPr>
                    <w:spacing w:line="520" w:lineRule="exact"/>
                    <w:rPr>
                      <w:rFonts w:eastAsia="宋体"/>
                      <w:kern w:val="24"/>
                      <w:sz w:val="24"/>
                    </w:rPr>
                  </w:pPr>
                </w:p>
                <w:p>
                  <w:pPr>
                    <w:spacing w:line="520" w:lineRule="exact"/>
                    <w:rPr>
                      <w:rFonts w:eastAsia="宋体"/>
                      <w:kern w:val="24"/>
                      <w:sz w:val="24"/>
                    </w:rPr>
                  </w:pPr>
                </w:p>
                <w:p>
                  <w:pPr>
                    <w:spacing w:line="520" w:lineRule="exact"/>
                    <w:rPr>
                      <w:rFonts w:eastAsia="宋体"/>
                      <w:kern w:val="24"/>
                      <w:sz w:val="24"/>
                    </w:rPr>
                  </w:pPr>
                </w:p>
                <w:p>
                  <w:pPr>
                    <w:spacing w:line="520" w:lineRule="exact"/>
                    <w:rPr>
                      <w:rFonts w:eastAsia="宋体"/>
                      <w:kern w:val="24"/>
                      <w:sz w:val="24"/>
                    </w:rPr>
                  </w:pPr>
                </w:p>
                <w:p>
                  <w:pPr>
                    <w:spacing w:line="520" w:lineRule="exact"/>
                    <w:jc w:val="center"/>
                    <w:rPr>
                      <w:rFonts w:eastAsia="宋体"/>
                      <w:kern w:val="24"/>
                      <w:sz w:val="24"/>
                    </w:rPr>
                  </w:pPr>
                  <w:r>
                    <w:rPr>
                      <w:rFonts w:hint="eastAsia" w:eastAsia="宋体"/>
                      <w:spacing w:val="-2"/>
                      <w:kern w:val="16"/>
                      <w:sz w:val="24"/>
                    </w:rPr>
                    <w:t>升压站站址</w:t>
                  </w:r>
                </w:p>
              </w:tc>
              <w:tc>
                <w:tcPr>
                  <w:tcW w:w="4146" w:type="dxa"/>
                </w:tcPr>
                <w:p>
                  <w:pPr>
                    <w:spacing w:line="520" w:lineRule="exact"/>
                    <w:rPr>
                      <w:rFonts w:eastAsia="宋体"/>
                      <w:kern w:val="24"/>
                      <w:sz w:val="24"/>
                    </w:rPr>
                  </w:pPr>
                  <w:r>
                    <w:drawing>
                      <wp:anchor distT="0" distB="0" distL="114300" distR="114300" simplePos="0" relativeHeight="251658240" behindDoc="0" locked="0" layoutInCell="1" allowOverlap="1">
                        <wp:simplePos x="0" y="0"/>
                        <wp:positionH relativeFrom="column">
                          <wp:posOffset>-61595</wp:posOffset>
                        </wp:positionH>
                        <wp:positionV relativeFrom="paragraph">
                          <wp:posOffset>32385</wp:posOffset>
                        </wp:positionV>
                        <wp:extent cx="2589530" cy="1871980"/>
                        <wp:effectExtent l="19050" t="0" r="1270" b="0"/>
                        <wp:wrapNone/>
                        <wp:docPr id="19" name="图片 19" descr="91fcea1084ef213e8d1af561974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1fcea1084ef213e8d1af5619747520"/>
                                <pic:cNvPicPr>
                                  <a:picLocks noChangeAspect="1" noChangeArrowheads="1"/>
                                </pic:cNvPicPr>
                              </pic:nvPicPr>
                              <pic:blipFill>
                                <a:blip r:embed="rId8" cstate="print"/>
                                <a:srcRect/>
                                <a:stretch>
                                  <a:fillRect/>
                                </a:stretch>
                              </pic:blipFill>
                              <pic:spPr>
                                <a:xfrm>
                                  <a:off x="0" y="0"/>
                                  <a:ext cx="2589530" cy="1871980"/>
                                </a:xfrm>
                                <a:prstGeom prst="rect">
                                  <a:avLst/>
                                </a:prstGeom>
                                <a:noFill/>
                                <a:ln w="9525">
                                  <a:noFill/>
                                  <a:miter lim="800000"/>
                                  <a:headEnd/>
                                  <a:tailEnd/>
                                </a:ln>
                              </pic:spPr>
                            </pic:pic>
                          </a:graphicData>
                        </a:graphic>
                      </wp:anchor>
                    </w:drawing>
                  </w:r>
                </w:p>
                <w:p>
                  <w:pPr>
                    <w:spacing w:line="520" w:lineRule="exact"/>
                    <w:rPr>
                      <w:rFonts w:eastAsia="宋体"/>
                      <w:kern w:val="24"/>
                      <w:sz w:val="24"/>
                    </w:rPr>
                  </w:pPr>
                </w:p>
                <w:p>
                  <w:pPr>
                    <w:spacing w:line="520" w:lineRule="exact"/>
                    <w:rPr>
                      <w:rFonts w:eastAsia="宋体"/>
                      <w:kern w:val="24"/>
                      <w:sz w:val="24"/>
                    </w:rPr>
                  </w:pPr>
                </w:p>
                <w:p>
                  <w:pPr>
                    <w:spacing w:line="520" w:lineRule="exact"/>
                    <w:rPr>
                      <w:rFonts w:eastAsia="宋体"/>
                      <w:kern w:val="24"/>
                      <w:sz w:val="24"/>
                    </w:rPr>
                  </w:pPr>
                </w:p>
                <w:p>
                  <w:pPr>
                    <w:spacing w:line="520" w:lineRule="exact"/>
                    <w:rPr>
                      <w:rFonts w:eastAsia="宋体"/>
                      <w:kern w:val="24"/>
                      <w:sz w:val="24"/>
                    </w:rPr>
                  </w:pPr>
                </w:p>
                <w:p>
                  <w:pPr>
                    <w:spacing w:line="520" w:lineRule="exact"/>
                    <w:rPr>
                      <w:rFonts w:eastAsia="宋体"/>
                      <w:kern w:val="24"/>
                      <w:sz w:val="24"/>
                    </w:rPr>
                  </w:pPr>
                </w:p>
                <w:p>
                  <w:pPr>
                    <w:spacing w:line="520" w:lineRule="exact"/>
                    <w:jc w:val="center"/>
                    <w:rPr>
                      <w:rFonts w:eastAsia="宋体"/>
                      <w:kern w:val="24"/>
                      <w:sz w:val="24"/>
                    </w:rPr>
                  </w:pPr>
                  <w:r>
                    <w:rPr>
                      <w:rFonts w:hint="eastAsia" w:eastAsia="宋体"/>
                      <w:spacing w:val="-2"/>
                      <w:kern w:val="16"/>
                      <w:sz w:val="24"/>
                    </w:rPr>
                    <w:t>线路</w:t>
                  </w:r>
                  <w:r>
                    <w:rPr>
                      <w:rFonts w:eastAsia="宋体"/>
                      <w:spacing w:val="-2"/>
                      <w:kern w:val="16"/>
                      <w:sz w:val="24"/>
                    </w:rPr>
                    <w:t>沿途</w:t>
                  </w:r>
                </w:p>
              </w:tc>
            </w:tr>
          </w:tbl>
          <w:p>
            <w:pPr>
              <w:adjustRightInd w:val="0"/>
              <w:snapToGrid w:val="0"/>
              <w:spacing w:line="520" w:lineRule="exact"/>
              <w:rPr>
                <w:rFonts w:eastAsia="宋体"/>
                <w:b/>
                <w:bCs/>
                <w:sz w:val="24"/>
                <w:szCs w:val="28"/>
              </w:rPr>
            </w:pPr>
            <w:r>
              <w:rPr>
                <w:rFonts w:eastAsia="宋体"/>
                <w:b/>
                <w:bCs/>
                <w:sz w:val="24"/>
                <w:szCs w:val="28"/>
              </w:rPr>
              <w:t>2.1.3</w:t>
            </w:r>
            <w:r>
              <w:rPr>
                <w:rFonts w:hAnsi="宋体" w:eastAsia="宋体"/>
                <w:b/>
                <w:bCs/>
                <w:sz w:val="24"/>
                <w:szCs w:val="28"/>
              </w:rPr>
              <w:t>地质</w:t>
            </w:r>
          </w:p>
          <w:p>
            <w:pPr>
              <w:spacing w:line="520" w:lineRule="exact"/>
              <w:ind w:firstLine="480" w:firstLineChars="200"/>
              <w:rPr>
                <w:rFonts w:eastAsia="宋体"/>
                <w:snapToGrid w:val="0"/>
                <w:kern w:val="24"/>
                <w:sz w:val="24"/>
              </w:rPr>
            </w:pPr>
            <w:r>
              <w:rPr>
                <w:rFonts w:hAnsi="宋体" w:eastAsia="宋体"/>
                <w:snapToGrid w:val="0"/>
                <w:kern w:val="24"/>
                <w:sz w:val="24"/>
              </w:rPr>
              <w:t>禹州属中期准地台嵩箕台隆和华北凹陷两个二极构造单元，北部及西部为嵩箕台隆，东部为华北凹陷。有白沙、禹州城向斜，荟萃山、风后岭背斜，以及角子山背斜，构造呈近东西走向。境内沉积地层有太古界、下元古界、震旦系、寒武系、奥陶系、石炭系、二迭系、三迭系及第三系第四层。</w:t>
            </w:r>
          </w:p>
          <w:p>
            <w:pPr>
              <w:spacing w:line="520" w:lineRule="exact"/>
              <w:ind w:firstLine="480" w:firstLineChars="200"/>
              <w:rPr>
                <w:rFonts w:eastAsia="宋体"/>
                <w:snapToGrid w:val="0"/>
                <w:kern w:val="24"/>
                <w:sz w:val="24"/>
              </w:rPr>
            </w:pPr>
            <w:r>
              <w:rPr>
                <w:rFonts w:hAnsi="宋体" w:eastAsia="宋体"/>
                <w:snapToGrid w:val="0"/>
                <w:kern w:val="24"/>
                <w:sz w:val="24"/>
              </w:rPr>
              <w:t>禹州在太古代、元古代时期，地壳活动频繁，嵩阳运动使太古界强烈褶皱，形成坚硬基岩，并使太古界地层变质，形成变质岩。无梁、浅井北部的各种片岩、矽质条带状灰岩即是此次运动形成。震旦纪、寒武纪、奥陶纪先后多次遭受海浸，沉积了震旦纪的石英岩、寒武纪的鲕状灰岩和奥陶纪的白云质灰岩。石炭纪再次受到海浸，沉积了燧石结核灰岩。海水退后，气候湿热，植物繁茂，地壳处于震荡性下降，枯枝落叶，泥沙岩屑持续堆积，一直延续到二迭纪结束，形成石炭、二迭系煤层。随着气候转为干旱炎热，开始沉积三迭纪紫红色砂岩。第三纪下部沉积有砖红色砂砾岩、泥质灰岩，上部沉积了杂色钙质肢结的砂砾岩、泥灰岩。第三纪地层大部分被第四纪地层覆盖，仅有少数地点出露。第四系分布于河川谷地，为洪积冲积的砂质泥质堆积物。</w:t>
            </w:r>
          </w:p>
          <w:p>
            <w:pPr>
              <w:spacing w:line="520" w:lineRule="exact"/>
              <w:ind w:firstLine="480" w:firstLineChars="200"/>
              <w:rPr>
                <w:rFonts w:eastAsia="宋体"/>
                <w:kern w:val="24"/>
                <w:sz w:val="24"/>
              </w:rPr>
            </w:pPr>
            <w:r>
              <w:rPr>
                <w:rFonts w:hAnsi="宋体" w:eastAsia="宋体"/>
                <w:snapToGrid w:val="0"/>
                <w:kern w:val="24"/>
                <w:sz w:val="24"/>
              </w:rPr>
              <w:t>项目厂区</w:t>
            </w:r>
            <w:r>
              <w:rPr>
                <w:rFonts w:hAnsi="宋体" w:eastAsia="宋体"/>
                <w:kern w:val="24"/>
                <w:sz w:val="24"/>
              </w:rPr>
              <w:t>无大的区域性断裂通过，构造以次级断层、节理裂隙为主，岩层产状：</w:t>
            </w:r>
            <w:r>
              <w:rPr>
                <w:rFonts w:eastAsia="宋体"/>
                <w:kern w:val="24"/>
                <w:sz w:val="24"/>
              </w:rPr>
              <w:t>N25°</w:t>
            </w:r>
            <w:r>
              <w:rPr>
                <w:rFonts w:hAnsi="宋体" w:eastAsia="宋体"/>
                <w:kern w:val="24"/>
                <w:sz w:val="24"/>
              </w:rPr>
              <w:t>～</w:t>
            </w:r>
            <w:r>
              <w:rPr>
                <w:rFonts w:eastAsia="宋体"/>
                <w:kern w:val="24"/>
                <w:sz w:val="24"/>
              </w:rPr>
              <w:t>35°E/SE</w:t>
            </w:r>
            <w:r>
              <w:rPr>
                <w:rFonts w:hAnsi="宋体" w:eastAsia="宋体"/>
                <w:kern w:val="24"/>
                <w:sz w:val="24"/>
              </w:rPr>
              <w:t>∠</w:t>
            </w:r>
            <w:r>
              <w:rPr>
                <w:rFonts w:eastAsia="宋体"/>
                <w:kern w:val="24"/>
                <w:sz w:val="24"/>
              </w:rPr>
              <w:t>30°</w:t>
            </w:r>
            <w:r>
              <w:rPr>
                <w:rFonts w:hAnsi="宋体" w:eastAsia="宋体"/>
                <w:kern w:val="24"/>
                <w:sz w:val="24"/>
              </w:rPr>
              <w:t>～</w:t>
            </w:r>
            <w:r>
              <w:rPr>
                <w:rFonts w:eastAsia="宋体"/>
                <w:kern w:val="24"/>
                <w:sz w:val="24"/>
              </w:rPr>
              <w:t>55°</w:t>
            </w:r>
            <w:r>
              <w:rPr>
                <w:rFonts w:hAnsi="宋体" w:eastAsia="宋体"/>
                <w:kern w:val="24"/>
                <w:sz w:val="24"/>
              </w:rPr>
              <w:t>为主。根据《中国地震动参数区划图》</w:t>
            </w:r>
            <w:r>
              <w:rPr>
                <w:rFonts w:eastAsia="宋体"/>
                <w:kern w:val="24"/>
                <w:sz w:val="24"/>
              </w:rPr>
              <w:t>(GB18306-2001)(</w:t>
            </w:r>
            <w:r>
              <w:rPr>
                <w:rFonts w:hAnsi="宋体" w:eastAsia="宋体"/>
                <w:kern w:val="24"/>
                <w:sz w:val="24"/>
              </w:rPr>
              <w:t>国家标准第</w:t>
            </w:r>
            <w:r>
              <w:rPr>
                <w:rFonts w:eastAsia="宋体"/>
                <w:kern w:val="24"/>
                <w:sz w:val="24"/>
              </w:rPr>
              <w:t xml:space="preserve">1 </w:t>
            </w:r>
            <w:r>
              <w:rPr>
                <w:rFonts w:hAnsi="宋体" w:eastAsia="宋体"/>
                <w:kern w:val="24"/>
                <w:sz w:val="24"/>
              </w:rPr>
              <w:t>号修改单</w:t>
            </w:r>
            <w:r>
              <w:rPr>
                <w:rFonts w:eastAsia="宋体"/>
                <w:kern w:val="24"/>
                <w:sz w:val="24"/>
              </w:rPr>
              <w:t>)</w:t>
            </w:r>
            <w:r>
              <w:rPr>
                <w:rFonts w:hAnsi="宋体" w:eastAsia="宋体"/>
                <w:kern w:val="24"/>
                <w:sz w:val="24"/>
              </w:rPr>
              <w:t>，场地</w:t>
            </w:r>
            <w:r>
              <w:rPr>
                <w:rFonts w:eastAsia="宋体"/>
                <w:kern w:val="24"/>
                <w:sz w:val="24"/>
              </w:rPr>
              <w:t xml:space="preserve">50 </w:t>
            </w:r>
            <w:r>
              <w:rPr>
                <w:rFonts w:hAnsi="宋体" w:eastAsia="宋体"/>
                <w:kern w:val="24"/>
                <w:sz w:val="24"/>
              </w:rPr>
              <w:t>年基准期超越概率</w:t>
            </w:r>
            <w:r>
              <w:rPr>
                <w:rFonts w:eastAsia="宋体"/>
                <w:kern w:val="24"/>
                <w:sz w:val="24"/>
              </w:rPr>
              <w:t>10%</w:t>
            </w:r>
            <w:r>
              <w:rPr>
                <w:rFonts w:hAnsi="宋体" w:eastAsia="宋体"/>
                <w:kern w:val="24"/>
                <w:sz w:val="24"/>
              </w:rPr>
              <w:t>的地震动峰值加速度为</w:t>
            </w:r>
            <w:r>
              <w:rPr>
                <w:rFonts w:eastAsia="宋体"/>
                <w:kern w:val="24"/>
                <w:sz w:val="24"/>
              </w:rPr>
              <w:t>0.10g</w:t>
            </w:r>
            <w:r>
              <w:rPr>
                <w:rFonts w:hAnsi="宋体" w:eastAsia="宋体"/>
                <w:kern w:val="24"/>
                <w:sz w:val="24"/>
              </w:rPr>
              <w:t>，相应的地震基本烈度为</w:t>
            </w:r>
            <w:r>
              <w:rPr>
                <w:rFonts w:eastAsia="宋体"/>
                <w:kern w:val="24"/>
                <w:sz w:val="24"/>
              </w:rPr>
              <w:t xml:space="preserve">7 </w:t>
            </w:r>
            <w:r>
              <w:rPr>
                <w:rFonts w:hAnsi="宋体" w:eastAsia="宋体"/>
                <w:kern w:val="24"/>
                <w:sz w:val="24"/>
              </w:rPr>
              <w:t>度，地震动反应谱特征周期为</w:t>
            </w:r>
            <w:r>
              <w:rPr>
                <w:rFonts w:eastAsia="宋体"/>
                <w:kern w:val="24"/>
                <w:sz w:val="24"/>
              </w:rPr>
              <w:t>0.35s</w:t>
            </w:r>
            <w:r>
              <w:rPr>
                <w:rFonts w:hAnsi="宋体" w:eastAsia="宋体"/>
                <w:kern w:val="24"/>
                <w:sz w:val="24"/>
              </w:rPr>
              <w:t>；区域无活动断层通过；历史上虽有发震活动，但震级较小，无严重破坏后果，区域构造稳定性好。</w:t>
            </w:r>
          </w:p>
          <w:p>
            <w:pPr>
              <w:adjustRightInd w:val="0"/>
              <w:snapToGrid w:val="0"/>
              <w:spacing w:line="520" w:lineRule="exact"/>
              <w:rPr>
                <w:rFonts w:eastAsia="宋体"/>
                <w:b/>
                <w:bCs/>
                <w:sz w:val="24"/>
                <w:szCs w:val="28"/>
              </w:rPr>
            </w:pPr>
            <w:r>
              <w:rPr>
                <w:rFonts w:eastAsia="宋体"/>
                <w:b/>
                <w:bCs/>
                <w:sz w:val="24"/>
                <w:szCs w:val="28"/>
              </w:rPr>
              <w:t>2.1.4</w:t>
            </w:r>
            <w:r>
              <w:rPr>
                <w:rFonts w:hAnsi="宋体" w:eastAsia="宋体"/>
                <w:b/>
                <w:bCs/>
                <w:sz w:val="24"/>
                <w:szCs w:val="28"/>
              </w:rPr>
              <w:t>气候气象</w:t>
            </w:r>
          </w:p>
          <w:p>
            <w:pPr>
              <w:spacing w:line="520" w:lineRule="exact"/>
              <w:ind w:firstLine="480" w:firstLineChars="200"/>
              <w:rPr>
                <w:rFonts w:eastAsia="宋体"/>
                <w:snapToGrid w:val="0"/>
                <w:kern w:val="24"/>
                <w:sz w:val="24"/>
              </w:rPr>
            </w:pPr>
            <w:r>
              <w:rPr>
                <w:rFonts w:hAnsi="宋体" w:eastAsia="宋体"/>
                <w:snapToGrid w:val="0"/>
                <w:kern w:val="24"/>
                <w:sz w:val="24"/>
              </w:rPr>
              <w:t>禹州市位于河南省中部，属北暖温带季风气候区，热量资源丰富，雨量充沛，光照充足，无霜期长。因属大陆性季风气候，多旱、涝、风、霜等气象灾害。禹州境内四季气候分明，总的特征是春季干旱多风沙，夏季炎热雨集中，秋季晴和气爽日照长，冬季寒冷少雨雪。气候特征见表</w:t>
            </w:r>
            <w:r>
              <w:rPr>
                <w:rFonts w:hint="eastAsia" w:eastAsia="宋体"/>
                <w:snapToGrid w:val="0"/>
                <w:kern w:val="24"/>
                <w:sz w:val="24"/>
              </w:rPr>
              <w:t>2-1</w:t>
            </w:r>
            <w:r>
              <w:rPr>
                <w:rFonts w:hAnsi="宋体" w:eastAsia="宋体"/>
                <w:snapToGrid w:val="0"/>
                <w:kern w:val="24"/>
                <w:sz w:val="24"/>
              </w:rPr>
              <w:t>：</w:t>
            </w:r>
          </w:p>
          <w:p>
            <w:pPr>
              <w:spacing w:line="520" w:lineRule="exact"/>
              <w:ind w:firstLine="480" w:firstLineChars="200"/>
              <w:rPr>
                <w:rFonts w:eastAsia="黑体"/>
                <w:snapToGrid w:val="0"/>
                <w:kern w:val="24"/>
                <w:sz w:val="24"/>
              </w:rPr>
            </w:pPr>
            <w:r>
              <w:rPr>
                <w:rFonts w:hAnsi="黑体" w:eastAsia="黑体"/>
                <w:snapToGrid w:val="0"/>
                <w:kern w:val="24"/>
                <w:sz w:val="24"/>
              </w:rPr>
              <w:t>表</w:t>
            </w:r>
            <w:r>
              <w:rPr>
                <w:rFonts w:hint="eastAsia" w:eastAsia="黑体"/>
                <w:snapToGrid w:val="0"/>
                <w:kern w:val="24"/>
                <w:sz w:val="24"/>
              </w:rPr>
              <w:t>2-1</w:t>
            </w:r>
            <w:r>
              <w:rPr>
                <w:rFonts w:eastAsia="黑体"/>
                <w:snapToGrid w:val="0"/>
                <w:kern w:val="24"/>
                <w:sz w:val="24"/>
              </w:rPr>
              <w:t xml:space="preserve">                    </w:t>
            </w:r>
            <w:r>
              <w:rPr>
                <w:rFonts w:hAnsi="黑体" w:eastAsia="黑体"/>
                <w:snapToGrid w:val="0"/>
                <w:kern w:val="24"/>
                <w:sz w:val="24"/>
              </w:rPr>
              <w:t>禹州市气候特征表</w:t>
            </w:r>
          </w:p>
          <w:tbl>
            <w:tblPr>
              <w:tblStyle w:val="15"/>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533"/>
              <w:gridCol w:w="1627"/>
              <w:gridCol w:w="2421"/>
              <w:gridCol w:w="172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气象要素</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数值</w:t>
                  </w:r>
                </w:p>
              </w:tc>
              <w:tc>
                <w:tcPr>
                  <w:tcW w:w="258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气象要素</w:t>
                  </w:r>
                </w:p>
              </w:tc>
              <w:tc>
                <w:tcPr>
                  <w:tcW w:w="177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数值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年平均气温</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14.3℃</w:t>
                  </w:r>
                </w:p>
              </w:tc>
              <w:tc>
                <w:tcPr>
                  <w:tcW w:w="258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主导风</w:t>
                  </w:r>
                </w:p>
              </w:tc>
              <w:tc>
                <w:tcPr>
                  <w:tcW w:w="177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东北风</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最热月平均气温（7月）</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27.6℃</w:t>
                  </w:r>
                </w:p>
              </w:tc>
              <w:tc>
                <w:tcPr>
                  <w:tcW w:w="258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夏季主导风</w:t>
                  </w:r>
                </w:p>
              </w:tc>
              <w:tc>
                <w:tcPr>
                  <w:tcW w:w="177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偏南风</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最冷月平均气温（1月）</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0.2℃</w:t>
                  </w:r>
                </w:p>
              </w:tc>
              <w:tc>
                <w:tcPr>
                  <w:tcW w:w="258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冬季主导风</w:t>
                  </w:r>
                </w:p>
              </w:tc>
              <w:tc>
                <w:tcPr>
                  <w:tcW w:w="177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偏北风</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年均降水量</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674.9mm</w:t>
                  </w:r>
                </w:p>
              </w:tc>
              <w:tc>
                <w:tcPr>
                  <w:tcW w:w="258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年均风速</w:t>
                  </w:r>
                </w:p>
              </w:tc>
              <w:tc>
                <w:tcPr>
                  <w:tcW w:w="177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2.6m/s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最大降水量</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1107.0mm</w:t>
                  </w:r>
                </w:p>
              </w:tc>
              <w:tc>
                <w:tcPr>
                  <w:tcW w:w="2584" w:type="dxa"/>
                  <w:vAlign w:val="center"/>
                </w:tcPr>
                <w:p>
                  <w:pPr>
                    <w:spacing w:line="360" w:lineRule="exact"/>
                    <w:jc w:val="center"/>
                    <w:rPr>
                      <w:rFonts w:eastAsia="宋体"/>
                      <w:snapToGrid w:val="0"/>
                      <w:kern w:val="24"/>
                      <w:sz w:val="20"/>
                      <w:szCs w:val="21"/>
                    </w:rPr>
                  </w:pPr>
                  <w:r>
                    <w:rPr>
                      <w:rFonts w:hint="eastAsia" w:eastAsia="宋体"/>
                      <w:snapToGrid w:val="0"/>
                      <w:kern w:val="24"/>
                      <w:sz w:val="20"/>
                      <w:szCs w:val="21"/>
                    </w:rPr>
                    <w:t>年平均蒸发量</w:t>
                  </w:r>
                </w:p>
              </w:tc>
              <w:tc>
                <w:tcPr>
                  <w:tcW w:w="1774" w:type="dxa"/>
                  <w:vAlign w:val="center"/>
                </w:tcPr>
                <w:p>
                  <w:pPr>
                    <w:spacing w:line="360" w:lineRule="exact"/>
                    <w:jc w:val="center"/>
                    <w:rPr>
                      <w:rFonts w:eastAsia="宋体"/>
                      <w:snapToGrid w:val="0"/>
                      <w:kern w:val="24"/>
                      <w:sz w:val="20"/>
                      <w:szCs w:val="21"/>
                    </w:rPr>
                  </w:pPr>
                  <w:r>
                    <w:rPr>
                      <w:rFonts w:hint="eastAsia" w:eastAsia="宋体"/>
                      <w:snapToGrid w:val="0"/>
                      <w:kern w:val="24"/>
                      <w:sz w:val="20"/>
                      <w:szCs w:val="21"/>
                    </w:rPr>
                    <w:t>1744.4mm</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最小降水量</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442.6mm</w:t>
                  </w:r>
                </w:p>
              </w:tc>
              <w:tc>
                <w:tcPr>
                  <w:tcW w:w="258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年最大蒸发量</w:t>
                  </w:r>
                </w:p>
              </w:tc>
              <w:tc>
                <w:tcPr>
                  <w:tcW w:w="177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2398.6mm</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最大月平均降水量（7月）</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176.0m</w:t>
                  </w:r>
                </w:p>
              </w:tc>
              <w:tc>
                <w:tcPr>
                  <w:tcW w:w="258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最大冻土深度</w:t>
                  </w:r>
                </w:p>
              </w:tc>
              <w:tc>
                <w:tcPr>
                  <w:tcW w:w="1774"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0.15m</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89"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最小月平均降水量（1月）</w:t>
                  </w:r>
                </w:p>
              </w:tc>
              <w:tc>
                <w:tcPr>
                  <w:tcW w:w="1668" w:type="dxa"/>
                  <w:vAlign w:val="center"/>
                </w:tcPr>
                <w:p>
                  <w:pPr>
                    <w:spacing w:line="360" w:lineRule="exact"/>
                    <w:jc w:val="center"/>
                    <w:rPr>
                      <w:rFonts w:eastAsia="宋体"/>
                      <w:snapToGrid w:val="0"/>
                      <w:kern w:val="24"/>
                      <w:sz w:val="21"/>
                      <w:szCs w:val="21"/>
                    </w:rPr>
                  </w:pPr>
                  <w:r>
                    <w:rPr>
                      <w:rFonts w:hint="eastAsia" w:eastAsia="宋体"/>
                      <w:snapToGrid w:val="0"/>
                      <w:kern w:val="24"/>
                      <w:sz w:val="21"/>
                      <w:szCs w:val="21"/>
                    </w:rPr>
                    <w:t>8.2mm</w:t>
                  </w:r>
                </w:p>
              </w:tc>
              <w:tc>
                <w:tcPr>
                  <w:tcW w:w="2584" w:type="dxa"/>
                  <w:vAlign w:val="center"/>
                </w:tcPr>
                <w:p>
                  <w:pPr>
                    <w:spacing w:line="360" w:lineRule="exact"/>
                    <w:jc w:val="center"/>
                    <w:rPr>
                      <w:rFonts w:eastAsia="宋体"/>
                      <w:snapToGrid w:val="0"/>
                      <w:kern w:val="24"/>
                      <w:sz w:val="20"/>
                      <w:szCs w:val="21"/>
                    </w:rPr>
                  </w:pPr>
                  <w:r>
                    <w:rPr>
                      <w:rFonts w:hint="eastAsia" w:eastAsia="宋体"/>
                      <w:snapToGrid w:val="0"/>
                      <w:kern w:val="24"/>
                      <w:sz w:val="20"/>
                      <w:szCs w:val="21"/>
                    </w:rPr>
                    <w:t>无霜期</w:t>
                  </w:r>
                </w:p>
              </w:tc>
              <w:tc>
                <w:tcPr>
                  <w:tcW w:w="1774" w:type="dxa"/>
                  <w:vAlign w:val="center"/>
                </w:tcPr>
                <w:p>
                  <w:pPr>
                    <w:spacing w:line="360" w:lineRule="exact"/>
                    <w:jc w:val="center"/>
                    <w:rPr>
                      <w:rFonts w:eastAsia="宋体"/>
                      <w:snapToGrid w:val="0"/>
                      <w:kern w:val="24"/>
                      <w:sz w:val="20"/>
                      <w:szCs w:val="21"/>
                    </w:rPr>
                  </w:pPr>
                  <w:r>
                    <w:rPr>
                      <w:rFonts w:hint="eastAsia" w:eastAsia="宋体"/>
                      <w:snapToGrid w:val="0"/>
                      <w:kern w:val="24"/>
                      <w:sz w:val="20"/>
                      <w:szCs w:val="21"/>
                    </w:rPr>
                    <w:t>281天</w:t>
                  </w:r>
                </w:p>
              </w:tc>
            </w:tr>
          </w:tbl>
          <w:p>
            <w:pPr>
              <w:spacing w:line="500" w:lineRule="exact"/>
              <w:rPr>
                <w:rFonts w:eastAsia="宋体"/>
                <w:snapToGrid w:val="0"/>
                <w:sz w:val="24"/>
              </w:rPr>
            </w:pPr>
            <w:r>
              <w:rPr>
                <w:rFonts w:eastAsia="宋体"/>
                <w:b/>
                <w:spacing w:val="-2"/>
                <w:kern w:val="16"/>
                <w:sz w:val="24"/>
              </w:rPr>
              <w:t>2.1.5</w:t>
            </w:r>
            <w:r>
              <w:rPr>
                <w:rFonts w:eastAsia="宋体"/>
                <w:b/>
                <w:snapToGrid w:val="0"/>
                <w:kern w:val="52"/>
                <w:sz w:val="24"/>
                <w:szCs w:val="21"/>
              </w:rPr>
              <w:t>地表水</w:t>
            </w:r>
          </w:p>
          <w:p>
            <w:pPr>
              <w:spacing w:line="500" w:lineRule="exact"/>
              <w:ind w:firstLine="480" w:firstLineChars="200"/>
              <w:rPr>
                <w:rFonts w:eastAsia="宋体"/>
                <w:snapToGrid w:val="0"/>
                <w:sz w:val="24"/>
              </w:rPr>
            </w:pPr>
            <w:r>
              <w:rPr>
                <w:rFonts w:eastAsia="宋体"/>
                <w:snapToGrid w:val="0"/>
                <w:sz w:val="24"/>
              </w:rPr>
              <w:t>地表水主要来源于天然降水，多年平均降水量650mm 左右，多集中在6 月至8 月，占全年降水量的54%，汛期暴雨强度较大，多年平均径流量2.4 亿</w:t>
            </w:r>
            <w:r>
              <w:rPr>
                <w:rFonts w:eastAsia="MS Mincho"/>
                <w:snapToGrid w:val="0"/>
                <w:sz w:val="24"/>
              </w:rPr>
              <w:t>㎥</w:t>
            </w:r>
            <w:r>
              <w:rPr>
                <w:rFonts w:eastAsia="宋体"/>
                <w:snapToGrid w:val="0"/>
                <w:sz w:val="24"/>
              </w:rPr>
              <w:t>。加上白沙水库平均年来水1.43 亿</w:t>
            </w:r>
            <w:r>
              <w:rPr>
                <w:rFonts w:eastAsia="MS Mincho"/>
                <w:snapToGrid w:val="0"/>
                <w:sz w:val="24"/>
              </w:rPr>
              <w:t>㎥</w:t>
            </w:r>
            <w:r>
              <w:rPr>
                <w:rFonts w:eastAsia="宋体"/>
                <w:snapToGrid w:val="0"/>
                <w:sz w:val="24"/>
              </w:rPr>
              <w:t>，共为3.83 亿</w:t>
            </w:r>
            <w:r>
              <w:rPr>
                <w:rFonts w:eastAsia="MS Mincho"/>
                <w:snapToGrid w:val="0"/>
                <w:sz w:val="24"/>
              </w:rPr>
              <w:t>㎥</w:t>
            </w:r>
            <w:r>
              <w:rPr>
                <w:rFonts w:eastAsia="宋体"/>
                <w:snapToGrid w:val="0"/>
                <w:sz w:val="24"/>
              </w:rPr>
              <w:t>。天然降水汇入颍河、颍河、潘家河等，河川年径流总量为0.3 亿</w:t>
            </w:r>
            <w:r>
              <w:rPr>
                <w:rFonts w:eastAsia="MS Mincho"/>
                <w:snapToGrid w:val="0"/>
                <w:sz w:val="24"/>
              </w:rPr>
              <w:t>㎥</w:t>
            </w:r>
            <w:r>
              <w:rPr>
                <w:rFonts w:eastAsia="宋体"/>
                <w:snapToGrid w:val="0"/>
                <w:sz w:val="24"/>
              </w:rPr>
              <w:t>。</w:t>
            </w:r>
          </w:p>
          <w:p>
            <w:pPr>
              <w:spacing w:line="500" w:lineRule="exact"/>
              <w:ind w:firstLine="480" w:firstLineChars="200"/>
              <w:rPr>
                <w:rFonts w:eastAsia="宋体"/>
                <w:snapToGrid w:val="0"/>
                <w:sz w:val="24"/>
              </w:rPr>
            </w:pPr>
            <w:r>
              <w:rPr>
                <w:rFonts w:eastAsia="宋体"/>
                <w:snapToGrid w:val="0"/>
                <w:sz w:val="24"/>
              </w:rPr>
              <w:t>颍河是禹州境内最大河流，发源于登封市嵩山山脉之阳乾、少室诸山，由西北流向东南，于白沙入境。干流自西北向东南贯穿全境中部，流经花石、顺店、火龙、朱阁、城区、禇河、范坡等乡镇，在范坡镇董庄村注入禹州市境，下游汇入淮河。颍河在禹境流程为59.5k㎡，流域面积910k</w:t>
            </w:r>
            <w:r>
              <w:rPr>
                <w:rFonts w:hint="eastAsia" w:eastAsia="宋体"/>
                <w:snapToGrid w:val="0"/>
                <w:sz w:val="24"/>
              </w:rPr>
              <w:t>m</w:t>
            </w:r>
            <w:r>
              <w:rPr>
                <w:rFonts w:hint="eastAsia" w:eastAsia="宋体"/>
                <w:snapToGrid w:val="0"/>
                <w:sz w:val="24"/>
                <w:vertAlign w:val="superscript"/>
              </w:rPr>
              <w:t>2</w:t>
            </w:r>
            <w:r>
              <w:rPr>
                <w:rFonts w:eastAsia="宋体"/>
                <w:snapToGrid w:val="0"/>
                <w:sz w:val="24"/>
              </w:rPr>
              <w:t>，最大洪水流量2230</w:t>
            </w:r>
            <w:r>
              <w:rPr>
                <w:rFonts w:hint="eastAsia" w:eastAsia="宋体"/>
                <w:snapToGrid w:val="0"/>
                <w:sz w:val="24"/>
              </w:rPr>
              <w:t>m</w:t>
            </w:r>
            <w:r>
              <w:rPr>
                <w:rFonts w:hint="eastAsia" w:eastAsia="宋体"/>
                <w:snapToGrid w:val="0"/>
                <w:sz w:val="24"/>
                <w:vertAlign w:val="superscript"/>
              </w:rPr>
              <w:t>3</w:t>
            </w:r>
            <w:r>
              <w:rPr>
                <w:rFonts w:eastAsia="宋体"/>
                <w:snapToGrid w:val="0"/>
                <w:sz w:val="24"/>
              </w:rPr>
              <w:t>/s，最大流速4m/s。市境内颍河主要支流自西北向东南方向主要有：颍河、潘家河、磨河、龙潭河、书堂河、扒村河、犊水河、小泥河、涌泉河共9 条支流。</w:t>
            </w:r>
          </w:p>
          <w:p>
            <w:pPr>
              <w:spacing w:line="500" w:lineRule="exact"/>
              <w:ind w:firstLine="480" w:firstLineChars="200"/>
              <w:rPr>
                <w:rFonts w:eastAsia="宋体"/>
                <w:snapToGrid w:val="0"/>
                <w:color w:val="000000" w:themeColor="text1"/>
                <w:sz w:val="24"/>
              </w:rPr>
            </w:pPr>
            <w:r>
              <w:rPr>
                <w:rFonts w:eastAsia="宋体"/>
                <w:color w:val="000000" w:themeColor="text1"/>
                <w:sz w:val="24"/>
              </w:rPr>
              <w:t>项目位于禹州市北部低山丘陵区，项目区域附近地表水体主要为宋河和天井河，该两条河流下游均汇入颍河。区域地表水系图见附图</w:t>
            </w:r>
            <w:r>
              <w:rPr>
                <w:rFonts w:hint="eastAsia" w:eastAsia="宋体"/>
                <w:color w:val="000000" w:themeColor="text1"/>
                <w:sz w:val="24"/>
              </w:rPr>
              <w:t>7</w:t>
            </w:r>
            <w:r>
              <w:rPr>
                <w:rFonts w:eastAsia="宋体"/>
                <w:color w:val="000000" w:themeColor="text1"/>
                <w:sz w:val="24"/>
              </w:rPr>
              <w:t>。</w:t>
            </w:r>
          </w:p>
          <w:p>
            <w:pPr>
              <w:spacing w:line="520" w:lineRule="exact"/>
              <w:rPr>
                <w:rFonts w:eastAsia="宋体"/>
                <w:b/>
                <w:spacing w:val="-2"/>
                <w:kern w:val="16"/>
                <w:sz w:val="24"/>
              </w:rPr>
            </w:pPr>
            <w:r>
              <w:rPr>
                <w:rFonts w:eastAsia="宋体"/>
                <w:b/>
                <w:spacing w:val="-2"/>
                <w:kern w:val="16"/>
                <w:sz w:val="24"/>
              </w:rPr>
              <w:t>2.1.6</w:t>
            </w:r>
            <w:r>
              <w:rPr>
                <w:rFonts w:hAnsi="宋体" w:eastAsia="宋体"/>
                <w:b/>
                <w:spacing w:val="-2"/>
                <w:kern w:val="16"/>
                <w:sz w:val="24"/>
              </w:rPr>
              <w:t>生物资源</w:t>
            </w:r>
          </w:p>
          <w:p>
            <w:pPr>
              <w:spacing w:line="520" w:lineRule="exact"/>
              <w:ind w:firstLine="480" w:firstLineChars="200"/>
              <w:rPr>
                <w:rFonts w:eastAsia="宋体"/>
                <w:snapToGrid w:val="0"/>
                <w:sz w:val="24"/>
              </w:rPr>
            </w:pPr>
            <w:r>
              <w:rPr>
                <w:rFonts w:hAnsi="宋体" w:eastAsia="宋体"/>
                <w:snapToGrid w:val="0"/>
                <w:sz w:val="24"/>
              </w:rPr>
              <w:t>经实地调查和资料分析，评价区所在地植物种类较为丰富，植被主要由农田生态系统和林地植被系统构成。农田生态系统主要包括小麦、玉米等农作物；植被主要有毛草、蒿草、荆条混合分布形成的多层次植被体系。动物有猪、牛、羊、驴、马、鸡、鸭、鹅、鸽等养殖动物</w:t>
            </w:r>
            <w:r>
              <w:rPr>
                <w:rFonts w:eastAsia="宋体"/>
                <w:snapToGrid w:val="0"/>
                <w:sz w:val="24"/>
              </w:rPr>
              <w:t xml:space="preserve">40 </w:t>
            </w:r>
            <w:r>
              <w:rPr>
                <w:rFonts w:hAnsi="宋体" w:eastAsia="宋体"/>
                <w:snapToGrid w:val="0"/>
                <w:sz w:val="24"/>
              </w:rPr>
              <w:t>余种；野兔、刺猬等野生动物</w:t>
            </w:r>
            <w:r>
              <w:rPr>
                <w:rFonts w:eastAsia="宋体"/>
                <w:snapToGrid w:val="0"/>
                <w:sz w:val="24"/>
              </w:rPr>
              <w:t xml:space="preserve">20 </w:t>
            </w:r>
            <w:r>
              <w:rPr>
                <w:rFonts w:hAnsi="宋体" w:eastAsia="宋体"/>
                <w:snapToGrid w:val="0"/>
                <w:sz w:val="24"/>
              </w:rPr>
              <w:t>余种；麻雀、燕子、猫头鹰、乌鸦、山斑鸠等鸟类</w:t>
            </w:r>
            <w:r>
              <w:rPr>
                <w:rFonts w:eastAsia="宋体"/>
                <w:snapToGrid w:val="0"/>
                <w:sz w:val="24"/>
              </w:rPr>
              <w:t xml:space="preserve">50 </w:t>
            </w:r>
            <w:r>
              <w:rPr>
                <w:rFonts w:hAnsi="宋体" w:eastAsia="宋体"/>
                <w:snapToGrid w:val="0"/>
                <w:sz w:val="24"/>
              </w:rPr>
              <w:t>多种。</w:t>
            </w:r>
          </w:p>
          <w:p>
            <w:pPr>
              <w:spacing w:line="520" w:lineRule="exact"/>
              <w:ind w:firstLine="480" w:firstLineChars="200"/>
              <w:rPr>
                <w:rFonts w:eastAsia="宋体"/>
                <w:snapToGrid w:val="0"/>
                <w:sz w:val="24"/>
              </w:rPr>
            </w:pPr>
            <w:r>
              <w:rPr>
                <w:rFonts w:hAnsi="宋体" w:eastAsia="宋体"/>
                <w:snapToGrid w:val="0"/>
                <w:sz w:val="24"/>
              </w:rPr>
              <w:t>经调查，项目评价区域未发现国家和地方重点保护的野生动植物。</w:t>
            </w:r>
          </w:p>
          <w:p>
            <w:pPr>
              <w:spacing w:line="520" w:lineRule="exact"/>
              <w:rPr>
                <w:rFonts w:eastAsia="宋体"/>
                <w:b/>
                <w:snapToGrid w:val="0"/>
                <w:kern w:val="24"/>
                <w:sz w:val="24"/>
                <w:szCs w:val="21"/>
              </w:rPr>
            </w:pPr>
            <w:r>
              <w:rPr>
                <w:rFonts w:eastAsia="宋体"/>
                <w:b/>
                <w:spacing w:val="-2"/>
                <w:kern w:val="16"/>
                <w:sz w:val="24"/>
              </w:rPr>
              <w:t>2.1.6</w:t>
            </w:r>
            <w:r>
              <w:rPr>
                <w:rFonts w:hAnsi="宋体" w:eastAsia="宋体"/>
                <w:b/>
                <w:snapToGrid w:val="0"/>
                <w:kern w:val="24"/>
                <w:sz w:val="24"/>
                <w:szCs w:val="21"/>
              </w:rPr>
              <w:t>矿产资源</w:t>
            </w:r>
          </w:p>
          <w:p>
            <w:pPr>
              <w:spacing w:line="520" w:lineRule="exact"/>
              <w:ind w:firstLine="480" w:firstLineChars="200"/>
              <w:rPr>
                <w:rFonts w:eastAsia="宋体"/>
                <w:snapToGrid w:val="0"/>
                <w:sz w:val="24"/>
              </w:rPr>
            </w:pPr>
            <w:r>
              <w:rPr>
                <w:rFonts w:hAnsi="宋体" w:eastAsia="宋体"/>
                <w:snapToGrid w:val="0"/>
                <w:sz w:val="24"/>
              </w:rPr>
              <w:t>禹州之境物华天宝，沃土生金，地上地下资源丰富，矿产资源丰富，已初步探明的矿产资源主要有煤、铝矾土、铁矿、陶瓷土、青石等，矿藏尤以煤的藏量最大，初步探查为</w:t>
            </w:r>
            <w:r>
              <w:rPr>
                <w:rFonts w:eastAsia="宋体"/>
                <w:snapToGrid w:val="0"/>
                <w:sz w:val="24"/>
              </w:rPr>
              <w:t xml:space="preserve">96 </w:t>
            </w:r>
            <w:r>
              <w:rPr>
                <w:rFonts w:hAnsi="宋体" w:eastAsia="宋体"/>
                <w:snapToGrid w:val="0"/>
                <w:sz w:val="24"/>
              </w:rPr>
              <w:t>亿吨，是全国</w:t>
            </w:r>
            <w:r>
              <w:rPr>
                <w:rFonts w:eastAsia="宋体"/>
                <w:snapToGrid w:val="0"/>
                <w:sz w:val="24"/>
              </w:rPr>
              <w:t xml:space="preserve">15 </w:t>
            </w:r>
            <w:r>
              <w:rPr>
                <w:rFonts w:hAnsi="宋体" w:eastAsia="宋体"/>
                <w:snapToGrid w:val="0"/>
                <w:sz w:val="24"/>
              </w:rPr>
              <w:t>个重点商业煤基地之一，</w:t>
            </w:r>
            <w:r>
              <w:rPr>
                <w:rFonts w:eastAsia="宋体"/>
                <w:snapToGrid w:val="0"/>
                <w:sz w:val="24"/>
              </w:rPr>
              <w:t xml:space="preserve">2008 </w:t>
            </w:r>
            <w:r>
              <w:rPr>
                <w:rFonts w:hAnsi="宋体" w:eastAsia="宋体"/>
                <w:snapToGrid w:val="0"/>
                <w:sz w:val="24"/>
              </w:rPr>
              <w:t>年、</w:t>
            </w:r>
            <w:r>
              <w:rPr>
                <w:rFonts w:eastAsia="宋体"/>
                <w:snapToGrid w:val="0"/>
                <w:sz w:val="24"/>
              </w:rPr>
              <w:t xml:space="preserve">2010 </w:t>
            </w:r>
            <w:r>
              <w:rPr>
                <w:rFonts w:hAnsi="宋体" w:eastAsia="宋体"/>
                <w:snapToGrid w:val="0"/>
                <w:sz w:val="24"/>
              </w:rPr>
              <w:t>年又分别在禹州各发现一储量达</w:t>
            </w:r>
            <w:r>
              <w:rPr>
                <w:rFonts w:eastAsia="宋体"/>
                <w:snapToGrid w:val="0"/>
                <w:sz w:val="24"/>
              </w:rPr>
              <w:t xml:space="preserve">10 </w:t>
            </w:r>
            <w:r>
              <w:rPr>
                <w:rFonts w:hAnsi="宋体" w:eastAsia="宋体"/>
                <w:snapToGrid w:val="0"/>
                <w:sz w:val="24"/>
              </w:rPr>
              <w:t>亿吨的大型煤田。石灰石储量</w:t>
            </w:r>
            <w:r>
              <w:rPr>
                <w:rFonts w:eastAsia="宋体"/>
                <w:snapToGrid w:val="0"/>
                <w:sz w:val="24"/>
              </w:rPr>
              <w:t xml:space="preserve">50 </w:t>
            </w:r>
            <w:r>
              <w:rPr>
                <w:rFonts w:hAnsi="宋体" w:eastAsia="宋体"/>
                <w:snapToGrid w:val="0"/>
                <w:sz w:val="24"/>
              </w:rPr>
              <w:t>亿吨。发电总装机容量即将突破</w:t>
            </w:r>
            <w:r>
              <w:rPr>
                <w:rFonts w:eastAsia="宋体"/>
                <w:snapToGrid w:val="0"/>
                <w:sz w:val="24"/>
              </w:rPr>
              <w:t xml:space="preserve">240 </w:t>
            </w:r>
            <w:r>
              <w:rPr>
                <w:rFonts w:hAnsi="宋体" w:eastAsia="宋体"/>
                <w:snapToGrid w:val="0"/>
                <w:sz w:val="24"/>
              </w:rPr>
              <w:t>万千瓦。</w:t>
            </w:r>
          </w:p>
          <w:p>
            <w:pPr>
              <w:tabs>
                <w:tab w:val="center" w:pos="4153"/>
              </w:tabs>
              <w:rPr>
                <w:rFonts w:eastAsia="宋体"/>
                <w:sz w:val="24"/>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2" w:type="dxa"/>
          </w:tcPr>
          <w:p>
            <w:pPr>
              <w:spacing w:line="520" w:lineRule="exact"/>
              <w:rPr>
                <w:rFonts w:eastAsia="黑体"/>
                <w:snapToGrid w:val="0"/>
                <w:kern w:val="52"/>
                <w:szCs w:val="21"/>
              </w:rPr>
            </w:pPr>
            <w:r>
              <w:rPr>
                <w:rFonts w:eastAsia="黑体"/>
                <w:snapToGrid w:val="0"/>
                <w:kern w:val="52"/>
                <w:szCs w:val="21"/>
              </w:rPr>
              <w:t>2.2</w:t>
            </w:r>
            <w:r>
              <w:rPr>
                <w:rFonts w:hAnsi="黑体" w:eastAsia="黑体"/>
                <w:snapToGrid w:val="0"/>
                <w:kern w:val="52"/>
                <w:szCs w:val="21"/>
              </w:rPr>
              <w:t>社会环境简况（社会经济结构、教育、文化、文物保护等）</w:t>
            </w:r>
          </w:p>
          <w:p>
            <w:pPr>
              <w:spacing w:line="520" w:lineRule="exact"/>
              <w:rPr>
                <w:rFonts w:eastAsia="宋体"/>
                <w:b/>
                <w:snapToGrid w:val="0"/>
                <w:kern w:val="52"/>
                <w:sz w:val="24"/>
                <w:szCs w:val="21"/>
              </w:rPr>
            </w:pPr>
            <w:r>
              <w:rPr>
                <w:rFonts w:eastAsia="宋体"/>
                <w:b/>
                <w:snapToGrid w:val="0"/>
                <w:kern w:val="52"/>
                <w:sz w:val="24"/>
                <w:szCs w:val="21"/>
              </w:rPr>
              <w:t>2.2.1</w:t>
            </w:r>
            <w:r>
              <w:rPr>
                <w:rFonts w:hAnsi="宋体" w:eastAsia="宋体"/>
                <w:b/>
                <w:snapToGrid w:val="0"/>
                <w:kern w:val="52"/>
                <w:sz w:val="24"/>
                <w:szCs w:val="21"/>
              </w:rPr>
              <w:t>、社会交通</w:t>
            </w:r>
          </w:p>
          <w:p>
            <w:pPr>
              <w:spacing w:line="520" w:lineRule="exact"/>
              <w:ind w:firstLine="480" w:firstLineChars="200"/>
              <w:rPr>
                <w:rFonts w:eastAsia="宋体"/>
                <w:snapToGrid w:val="0"/>
                <w:sz w:val="24"/>
              </w:rPr>
            </w:pPr>
            <w:r>
              <w:rPr>
                <w:rFonts w:hAnsi="宋体" w:eastAsia="宋体"/>
                <w:snapToGrid w:val="0"/>
                <w:sz w:val="24"/>
              </w:rPr>
              <w:t>禹州市北距郑州国际机场</w:t>
            </w:r>
            <w:r>
              <w:rPr>
                <w:rFonts w:eastAsia="宋体"/>
                <w:snapToGrid w:val="0"/>
                <w:sz w:val="24"/>
              </w:rPr>
              <w:t>40km</w:t>
            </w:r>
            <w:r>
              <w:rPr>
                <w:rFonts w:hAnsi="宋体" w:eastAsia="宋体"/>
                <w:snapToGrid w:val="0"/>
                <w:sz w:val="24"/>
              </w:rPr>
              <w:t>，东邻京广铁路和京珠高速公路，西焦枝和陇海铁路，平（平顶山）</w:t>
            </w:r>
            <w:r>
              <w:rPr>
                <w:rFonts w:eastAsia="宋体"/>
                <w:snapToGrid w:val="0"/>
                <w:sz w:val="24"/>
              </w:rPr>
              <w:t>——</w:t>
            </w:r>
            <w:r>
              <w:rPr>
                <w:rFonts w:hAnsi="宋体" w:eastAsia="宋体"/>
                <w:snapToGrid w:val="0"/>
                <w:sz w:val="24"/>
              </w:rPr>
              <w:t>禹（禹州）准轨铁路，豫</w:t>
            </w:r>
            <w:r>
              <w:rPr>
                <w:rFonts w:eastAsia="宋体"/>
                <w:snapToGrid w:val="0"/>
                <w:sz w:val="24"/>
              </w:rPr>
              <w:t>S237</w:t>
            </w:r>
            <w:r>
              <w:rPr>
                <w:rFonts w:hAnsi="宋体" w:eastAsia="宋体"/>
                <w:snapToGrid w:val="0"/>
                <w:sz w:val="24"/>
              </w:rPr>
              <w:t>、豫</w:t>
            </w:r>
            <w:r>
              <w:rPr>
                <w:rFonts w:eastAsia="宋体"/>
                <w:snapToGrid w:val="0"/>
                <w:sz w:val="24"/>
              </w:rPr>
              <w:t xml:space="preserve">S103 </w:t>
            </w:r>
            <w:r>
              <w:rPr>
                <w:rFonts w:hAnsi="宋体" w:eastAsia="宋体"/>
                <w:snapToGrid w:val="0"/>
                <w:sz w:val="24"/>
              </w:rPr>
              <w:t>公路在市内交汇，贯穿全境，形成了四通八达的交通运输网络。</w:t>
            </w:r>
          </w:p>
          <w:p>
            <w:pPr>
              <w:spacing w:line="520" w:lineRule="exact"/>
              <w:ind w:firstLine="480" w:firstLineChars="200"/>
              <w:rPr>
                <w:rFonts w:eastAsia="宋体"/>
                <w:snapToGrid w:val="0"/>
                <w:sz w:val="24"/>
              </w:rPr>
            </w:pPr>
            <w:r>
              <w:rPr>
                <w:rFonts w:hAnsi="宋体" w:eastAsia="宋体"/>
                <w:snapToGrid w:val="0"/>
                <w:sz w:val="24"/>
              </w:rPr>
              <w:t>本项目位于禹州市北部，工程区域有</w:t>
            </w:r>
            <w:r>
              <w:rPr>
                <w:rFonts w:eastAsia="宋体"/>
                <w:snapToGrid w:val="0"/>
                <w:sz w:val="24"/>
              </w:rPr>
              <w:t>018</w:t>
            </w:r>
            <w:r>
              <w:rPr>
                <w:rFonts w:hAnsi="宋体" w:eastAsia="宋体"/>
                <w:snapToGrid w:val="0"/>
                <w:sz w:val="24"/>
              </w:rPr>
              <w:t>县道省道从南向北通过，对外交通运输条件便利。项目场内交通尽量利用原有道路，局部进行扩宽取直加固，设计为四级泥结碎石道路。</w:t>
            </w:r>
          </w:p>
          <w:p>
            <w:pPr>
              <w:spacing w:line="520" w:lineRule="exact"/>
              <w:rPr>
                <w:rFonts w:eastAsia="宋体"/>
                <w:b/>
                <w:kern w:val="52"/>
                <w:sz w:val="24"/>
              </w:rPr>
            </w:pPr>
            <w:r>
              <w:rPr>
                <w:rFonts w:eastAsia="宋体"/>
                <w:b/>
                <w:kern w:val="52"/>
                <w:sz w:val="24"/>
              </w:rPr>
              <w:t>2.2.2</w:t>
            </w:r>
            <w:r>
              <w:rPr>
                <w:rFonts w:hAnsi="宋体" w:eastAsia="宋体"/>
                <w:b/>
                <w:kern w:val="52"/>
                <w:sz w:val="24"/>
              </w:rPr>
              <w:t>、文物保护</w:t>
            </w:r>
          </w:p>
          <w:p>
            <w:pPr>
              <w:spacing w:line="520" w:lineRule="exact"/>
              <w:ind w:firstLine="480" w:firstLineChars="200"/>
              <w:rPr>
                <w:rFonts w:eastAsia="宋体"/>
                <w:sz w:val="24"/>
              </w:rPr>
            </w:pPr>
            <w:r>
              <w:rPr>
                <w:rFonts w:hAnsi="宋体" w:eastAsia="宋体"/>
                <w:sz w:val="24"/>
              </w:rPr>
              <w:t>禹州市历史悠久，为省级历史文化名城，有</w:t>
            </w:r>
            <w:r>
              <w:rPr>
                <w:rFonts w:eastAsia="宋体"/>
                <w:sz w:val="24"/>
              </w:rPr>
              <w:t>“</w:t>
            </w:r>
            <w:r>
              <w:rPr>
                <w:rFonts w:hAnsi="宋体" w:eastAsia="宋体"/>
                <w:sz w:val="24"/>
              </w:rPr>
              <w:t>华夏</w:t>
            </w:r>
            <w:r>
              <w:rPr>
                <w:rFonts w:eastAsia="宋体"/>
                <w:sz w:val="24"/>
              </w:rPr>
              <w:t>”</w:t>
            </w:r>
            <w:r>
              <w:rPr>
                <w:rFonts w:hAnsi="宋体" w:eastAsia="宋体"/>
                <w:sz w:val="24"/>
              </w:rPr>
              <w:t>第一都之称，自夏代起，封建帝王数次建都于此。市境内有国家级文物保护单位</w:t>
            </w:r>
            <w:r>
              <w:rPr>
                <w:rFonts w:eastAsia="宋体"/>
                <w:sz w:val="24"/>
              </w:rPr>
              <w:t xml:space="preserve">7 </w:t>
            </w:r>
            <w:r>
              <w:rPr>
                <w:rFonts w:hAnsi="宋体" w:eastAsia="宋体"/>
                <w:sz w:val="24"/>
              </w:rPr>
              <w:t>处（宋代钧瓷官窑遗址、火龙瓦店遗址等）、省级文物保护单位多处（义勇武宅王庙大殿、宋扒村瓷窑遗址、石经幢、刘知远墓、逍遥观）、市级文物古迹多处。</w:t>
            </w:r>
          </w:p>
          <w:p>
            <w:pPr>
              <w:spacing w:line="520" w:lineRule="exact"/>
              <w:ind w:firstLine="480" w:firstLineChars="200"/>
              <w:rPr>
                <w:rFonts w:eastAsia="宋体"/>
                <w:bCs/>
                <w:snapToGrid w:val="0"/>
                <w:color w:val="000000"/>
                <w:sz w:val="24"/>
              </w:rPr>
            </w:pPr>
            <w:r>
              <w:rPr>
                <w:rFonts w:hAnsi="宋体" w:eastAsia="宋体"/>
                <w:bCs/>
                <w:snapToGrid w:val="0"/>
                <w:color w:val="000000"/>
                <w:sz w:val="24"/>
              </w:rPr>
              <w:t>根据调查，项目周边</w:t>
            </w:r>
            <w:r>
              <w:rPr>
                <w:rFonts w:eastAsia="宋体"/>
                <w:bCs/>
                <w:snapToGrid w:val="0"/>
                <w:color w:val="000000"/>
                <w:sz w:val="24"/>
              </w:rPr>
              <w:t>500m</w:t>
            </w:r>
            <w:r>
              <w:rPr>
                <w:rFonts w:hAnsi="宋体" w:eastAsia="宋体"/>
                <w:bCs/>
                <w:snapToGrid w:val="0"/>
                <w:color w:val="000000"/>
                <w:sz w:val="24"/>
              </w:rPr>
              <w:t>范围内无需要特殊保护的文物古迹。</w:t>
            </w:r>
          </w:p>
          <w:p>
            <w:pPr>
              <w:spacing w:line="520" w:lineRule="exact"/>
              <w:rPr>
                <w:rFonts w:eastAsia="宋体"/>
                <w:b/>
                <w:snapToGrid w:val="0"/>
                <w:sz w:val="24"/>
              </w:rPr>
            </w:pPr>
            <w:r>
              <w:rPr>
                <w:rFonts w:eastAsia="宋体"/>
                <w:snapToGrid w:val="0"/>
                <w:sz w:val="24"/>
              </w:rPr>
              <w:t>2.2.3</w:t>
            </w:r>
            <w:r>
              <w:rPr>
                <w:rFonts w:hAnsi="宋体" w:eastAsia="宋体"/>
                <w:b/>
                <w:snapToGrid w:val="0"/>
                <w:sz w:val="24"/>
              </w:rPr>
              <w:t>饮用水源地</w:t>
            </w:r>
          </w:p>
          <w:p>
            <w:pPr>
              <w:spacing w:line="520" w:lineRule="exact"/>
              <w:ind w:firstLine="480" w:firstLineChars="200"/>
              <w:rPr>
                <w:rFonts w:eastAsia="宋体"/>
                <w:snapToGrid w:val="0"/>
                <w:sz w:val="24"/>
              </w:rPr>
            </w:pPr>
            <w:r>
              <w:rPr>
                <w:rFonts w:hAnsi="宋体" w:eastAsia="宋体"/>
                <w:snapToGrid w:val="0"/>
                <w:sz w:val="24"/>
              </w:rPr>
              <w:t>（</w:t>
            </w:r>
            <w:r>
              <w:rPr>
                <w:rFonts w:eastAsia="宋体"/>
                <w:snapToGrid w:val="0"/>
                <w:sz w:val="24"/>
              </w:rPr>
              <w:t>1</w:t>
            </w:r>
            <w:r>
              <w:rPr>
                <w:rFonts w:hAnsi="宋体" w:eastAsia="宋体"/>
                <w:snapToGrid w:val="0"/>
                <w:sz w:val="24"/>
              </w:rPr>
              <w:t>）禹州市颍河地表水饮用水源保护区</w:t>
            </w:r>
          </w:p>
          <w:p>
            <w:pPr>
              <w:spacing w:line="520" w:lineRule="exact"/>
              <w:ind w:firstLine="480" w:firstLineChars="200"/>
              <w:rPr>
                <w:rFonts w:eastAsia="宋体"/>
                <w:snapToGrid w:val="0"/>
                <w:sz w:val="24"/>
              </w:rPr>
            </w:pPr>
            <w:r>
              <w:rPr>
                <w:rFonts w:hAnsi="宋体" w:eastAsia="宋体"/>
                <w:snapToGrid w:val="0"/>
                <w:sz w:val="24"/>
              </w:rPr>
              <w:t>根据《河南省人民政府办公厅关于印发河南省城市集中式饮用水源保护区划的通知》豫政办</w:t>
            </w:r>
            <w:r>
              <w:rPr>
                <w:rFonts w:eastAsia="宋体"/>
                <w:snapToGrid w:val="0"/>
                <w:sz w:val="24"/>
              </w:rPr>
              <w:t xml:space="preserve">[2007]125 </w:t>
            </w:r>
            <w:r>
              <w:rPr>
                <w:rFonts w:hAnsi="宋体" w:eastAsia="宋体"/>
                <w:snapToGrid w:val="0"/>
                <w:sz w:val="24"/>
              </w:rPr>
              <w:t>号文件，禹州市颍河地表水饮用水源保护区一级保护区：颍河禹州北关橡胶坝至白沙水库取水口的水域及两侧</w:t>
            </w:r>
            <w:r>
              <w:rPr>
                <w:rFonts w:eastAsia="宋体"/>
                <w:snapToGrid w:val="0"/>
                <w:sz w:val="24"/>
              </w:rPr>
              <w:t xml:space="preserve">50 </w:t>
            </w:r>
            <w:r>
              <w:rPr>
                <w:rFonts w:hAnsi="宋体" w:eastAsia="宋体"/>
                <w:snapToGrid w:val="0"/>
                <w:sz w:val="24"/>
              </w:rPr>
              <w:t>米的陆域；沙陀河入颍河口至朱阁乡詹庄的水域及两侧</w:t>
            </w:r>
            <w:r>
              <w:rPr>
                <w:rFonts w:eastAsia="宋体"/>
                <w:snapToGrid w:val="0"/>
                <w:sz w:val="24"/>
              </w:rPr>
              <w:t xml:space="preserve">50 </w:t>
            </w:r>
            <w:r>
              <w:rPr>
                <w:rFonts w:hAnsi="宋体" w:eastAsia="宋体"/>
                <w:snapToGrid w:val="0"/>
                <w:sz w:val="24"/>
              </w:rPr>
              <w:t>米的陆域；犊水河入颍河口至沙陀河朱阁乡大陈庄的水域及两侧</w:t>
            </w:r>
            <w:r>
              <w:rPr>
                <w:rFonts w:eastAsia="宋体"/>
                <w:snapToGrid w:val="0"/>
                <w:sz w:val="24"/>
              </w:rPr>
              <w:t xml:space="preserve">50 </w:t>
            </w:r>
            <w:r>
              <w:rPr>
                <w:rFonts w:hAnsi="宋体" w:eastAsia="宋体"/>
                <w:snapToGrid w:val="0"/>
                <w:sz w:val="24"/>
              </w:rPr>
              <w:t>米的陆域。二级保护区：一级保护区外，颍河禹州北关橡胶坝至白沙水库两侧</w:t>
            </w:r>
            <w:r>
              <w:rPr>
                <w:rFonts w:eastAsia="宋体"/>
                <w:snapToGrid w:val="0"/>
                <w:sz w:val="24"/>
              </w:rPr>
              <w:t xml:space="preserve">1000 </w:t>
            </w:r>
            <w:r>
              <w:rPr>
                <w:rFonts w:hAnsi="宋体" w:eastAsia="宋体"/>
                <w:snapToGrid w:val="0"/>
                <w:sz w:val="24"/>
              </w:rPr>
              <w:t>米的陆域，沙陀河全部水域及两侧</w:t>
            </w:r>
            <w:r>
              <w:rPr>
                <w:rFonts w:eastAsia="宋体"/>
                <w:snapToGrid w:val="0"/>
                <w:sz w:val="24"/>
              </w:rPr>
              <w:t xml:space="preserve">1000 </w:t>
            </w:r>
            <w:r>
              <w:rPr>
                <w:rFonts w:hAnsi="宋体" w:eastAsia="宋体"/>
                <w:snapToGrid w:val="0"/>
                <w:sz w:val="24"/>
              </w:rPr>
              <w:t>米内的陆域，犊水河全部水域及两侧</w:t>
            </w:r>
            <w:r>
              <w:rPr>
                <w:rFonts w:eastAsia="宋体"/>
                <w:snapToGrid w:val="0"/>
                <w:sz w:val="24"/>
              </w:rPr>
              <w:t xml:space="preserve">1000 </w:t>
            </w:r>
            <w:r>
              <w:rPr>
                <w:rFonts w:hAnsi="宋体" w:eastAsia="宋体"/>
                <w:snapToGrid w:val="0"/>
                <w:sz w:val="24"/>
              </w:rPr>
              <w:t>米内的陆域；涌泉河颍河入河口至纸坊水库大坝的水域及两侧</w:t>
            </w:r>
            <w:r>
              <w:rPr>
                <w:rFonts w:eastAsia="宋体"/>
                <w:snapToGrid w:val="0"/>
                <w:sz w:val="24"/>
              </w:rPr>
              <w:t xml:space="preserve">1000 </w:t>
            </w:r>
            <w:r>
              <w:rPr>
                <w:rFonts w:hAnsi="宋体" w:eastAsia="宋体"/>
                <w:snapToGrid w:val="0"/>
                <w:sz w:val="24"/>
              </w:rPr>
              <w:t>米的陆域；纸坊水库全部的水域及正常水位线以上</w:t>
            </w:r>
            <w:r>
              <w:rPr>
                <w:rFonts w:eastAsia="宋体"/>
                <w:snapToGrid w:val="0"/>
                <w:sz w:val="24"/>
              </w:rPr>
              <w:t xml:space="preserve">1000 </w:t>
            </w:r>
            <w:r>
              <w:rPr>
                <w:rFonts w:hAnsi="宋体" w:eastAsia="宋体"/>
                <w:snapToGrid w:val="0"/>
                <w:sz w:val="24"/>
              </w:rPr>
              <w:t>米内的陆域；下宋河颍河入口至浅井乡扒村桥的水域及两侧</w:t>
            </w:r>
            <w:r>
              <w:rPr>
                <w:rFonts w:eastAsia="宋体"/>
                <w:snapToGrid w:val="0"/>
                <w:sz w:val="24"/>
              </w:rPr>
              <w:t xml:space="preserve">1000 </w:t>
            </w:r>
            <w:r>
              <w:rPr>
                <w:rFonts w:hAnsi="宋体" w:eastAsia="宋体"/>
                <w:snapToGrid w:val="0"/>
                <w:sz w:val="24"/>
              </w:rPr>
              <w:t>米的陆域。</w:t>
            </w:r>
          </w:p>
          <w:p>
            <w:pPr>
              <w:spacing w:line="520" w:lineRule="exact"/>
              <w:ind w:firstLine="480" w:firstLineChars="200"/>
              <w:rPr>
                <w:rFonts w:eastAsia="宋体"/>
                <w:color w:val="000000" w:themeColor="text1"/>
                <w:sz w:val="24"/>
              </w:rPr>
            </w:pPr>
            <w:r>
              <w:rPr>
                <w:rFonts w:hAnsi="宋体" w:eastAsia="宋体"/>
                <w:color w:val="000000" w:themeColor="text1"/>
                <w:sz w:val="24"/>
              </w:rPr>
              <w:t>本项目工程区域附近河流有下宋河和天井河，其中下宋河颍河入口至浅井乡扒村桥的水域及两侧</w:t>
            </w:r>
            <w:r>
              <w:rPr>
                <w:rFonts w:eastAsia="宋体"/>
                <w:color w:val="000000" w:themeColor="text1"/>
                <w:sz w:val="24"/>
              </w:rPr>
              <w:t xml:space="preserve">1000 </w:t>
            </w:r>
            <w:r>
              <w:rPr>
                <w:rFonts w:hAnsi="宋体" w:eastAsia="宋体"/>
                <w:color w:val="000000" w:themeColor="text1"/>
                <w:sz w:val="24"/>
              </w:rPr>
              <w:t>米的陆域为禹州市颍河地表水饮用水源二级保护区，本项目升压站距该水源地二级保护区边界（浅井乡扒村桥）最近，为</w:t>
            </w:r>
            <w:r>
              <w:rPr>
                <w:rFonts w:hint="eastAsia" w:eastAsia="宋体"/>
                <w:color w:val="000000" w:themeColor="text1"/>
                <w:sz w:val="24"/>
              </w:rPr>
              <w:t>3.3</w:t>
            </w:r>
            <w:r>
              <w:rPr>
                <w:rFonts w:eastAsia="宋体"/>
                <w:color w:val="000000" w:themeColor="text1"/>
                <w:sz w:val="24"/>
              </w:rPr>
              <w:t>km</w:t>
            </w:r>
            <w:r>
              <w:rPr>
                <w:rFonts w:hAnsi="宋体" w:eastAsia="宋体"/>
                <w:color w:val="000000" w:themeColor="text1"/>
                <w:sz w:val="24"/>
              </w:rPr>
              <w:t>，</w:t>
            </w:r>
            <w:r>
              <w:rPr>
                <w:rFonts w:hAnsi="宋体" w:eastAsia="宋体"/>
                <w:sz w:val="24"/>
              </w:rPr>
              <w:t>不在禹州市颍河地表水饮用水源地二级保护区范围内。项目与禹州市颍河地表水饮用水源保护区位置关系图见附图</w:t>
            </w:r>
            <w:r>
              <w:rPr>
                <w:rFonts w:hint="eastAsia" w:eastAsia="宋体"/>
                <w:sz w:val="24"/>
              </w:rPr>
              <w:t>7</w:t>
            </w:r>
            <w:r>
              <w:rPr>
                <w:rFonts w:hAnsi="宋体" w:eastAsia="宋体"/>
                <w:sz w:val="24"/>
              </w:rPr>
              <w:t>。</w:t>
            </w:r>
          </w:p>
          <w:p>
            <w:pPr>
              <w:spacing w:line="520" w:lineRule="exact"/>
              <w:ind w:firstLine="480" w:firstLineChars="200"/>
              <w:rPr>
                <w:rFonts w:eastAsia="宋体"/>
                <w:sz w:val="24"/>
              </w:rPr>
            </w:pPr>
            <w:r>
              <w:rPr>
                <w:rFonts w:hAnsi="宋体" w:eastAsia="宋体"/>
                <w:sz w:val="24"/>
              </w:rPr>
              <w:t>（</w:t>
            </w:r>
            <w:r>
              <w:rPr>
                <w:rFonts w:eastAsia="宋体"/>
                <w:sz w:val="24"/>
              </w:rPr>
              <w:t>2</w:t>
            </w:r>
            <w:r>
              <w:rPr>
                <w:rFonts w:hAnsi="宋体" w:eastAsia="宋体"/>
                <w:sz w:val="24"/>
              </w:rPr>
              <w:t>）禹州市乡镇饮用水源地</w:t>
            </w:r>
          </w:p>
          <w:p>
            <w:pPr>
              <w:spacing w:line="520" w:lineRule="exact"/>
              <w:ind w:firstLine="480" w:firstLineChars="200"/>
              <w:rPr>
                <w:rFonts w:eastAsia="宋体"/>
                <w:kern w:val="0"/>
                <w:sz w:val="24"/>
              </w:rPr>
            </w:pPr>
            <w:r>
              <w:rPr>
                <w:rFonts w:hAnsi="宋体" w:eastAsia="宋体"/>
                <w:sz w:val="24"/>
              </w:rPr>
              <w:t>本项目位于禹州市苌庄乡、浅井镇附近，</w:t>
            </w:r>
            <w:r>
              <w:rPr>
                <w:rFonts w:hAnsi="宋体" w:eastAsia="宋体"/>
                <w:kern w:val="0"/>
                <w:sz w:val="24"/>
              </w:rPr>
              <w:t>根据《河南省人民政府办公厅关于印发河南省乡镇集中式饮用水水源保护区划的通知》（豫政办【</w:t>
            </w:r>
            <w:r>
              <w:rPr>
                <w:rFonts w:eastAsia="宋体"/>
                <w:kern w:val="0"/>
                <w:sz w:val="24"/>
              </w:rPr>
              <w:t>2016</w:t>
            </w:r>
            <w:r>
              <w:rPr>
                <w:rFonts w:hAnsi="宋体" w:eastAsia="宋体"/>
                <w:kern w:val="0"/>
                <w:sz w:val="24"/>
              </w:rPr>
              <w:t>】</w:t>
            </w:r>
            <w:r>
              <w:rPr>
                <w:rFonts w:eastAsia="宋体"/>
                <w:kern w:val="0"/>
                <w:sz w:val="24"/>
              </w:rPr>
              <w:t xml:space="preserve">23 </w:t>
            </w:r>
            <w:r>
              <w:rPr>
                <w:rFonts w:hAnsi="宋体" w:eastAsia="宋体"/>
                <w:kern w:val="0"/>
                <w:sz w:val="24"/>
              </w:rPr>
              <w:t>号），禹州市</w:t>
            </w:r>
            <w:r>
              <w:rPr>
                <w:rFonts w:hAnsi="宋体" w:eastAsia="宋体"/>
                <w:snapToGrid w:val="0"/>
                <w:sz w:val="24"/>
              </w:rPr>
              <w:t>集中饮用水源地保护区划如下</w:t>
            </w:r>
            <w:r>
              <w:rPr>
                <w:rFonts w:hAnsi="宋体" w:eastAsia="宋体"/>
                <w:kern w:val="0"/>
                <w:sz w:val="24"/>
              </w:rPr>
              <w:t>：</w:t>
            </w:r>
          </w:p>
          <w:p>
            <w:pPr>
              <w:spacing w:line="520" w:lineRule="exact"/>
              <w:ind w:firstLine="480" w:firstLineChars="200"/>
              <w:rPr>
                <w:rFonts w:eastAsia="宋体"/>
                <w:kern w:val="0"/>
                <w:sz w:val="24"/>
              </w:rPr>
            </w:pPr>
            <w:r>
              <w:rPr>
                <w:rFonts w:eastAsia="宋体"/>
                <w:sz w:val="24"/>
              </w:rPr>
              <w:t xml:space="preserve"> </w:t>
            </w:r>
            <w:r>
              <w:rPr>
                <w:rFonts w:hAnsi="宋体" w:eastAsia="宋体"/>
                <w:sz w:val="24"/>
              </w:rPr>
              <w:t>（</w:t>
            </w:r>
            <w:r>
              <w:rPr>
                <w:rFonts w:eastAsia="宋体"/>
                <w:sz w:val="24"/>
              </w:rPr>
              <w:t>1</w:t>
            </w:r>
            <w:r>
              <w:rPr>
                <w:rFonts w:hAnsi="宋体" w:eastAsia="宋体"/>
                <w:sz w:val="24"/>
              </w:rPr>
              <w:t>）</w:t>
            </w:r>
            <w:r>
              <w:rPr>
                <w:rFonts w:hAnsi="宋体" w:eastAsia="宋体"/>
                <w:kern w:val="0"/>
                <w:sz w:val="24"/>
              </w:rPr>
              <w:t>禹州市范坡镇地下水井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r>
              <w:rPr>
                <w:rFonts w:eastAsia="宋体"/>
                <w:kern w:val="0"/>
                <w:sz w:val="24"/>
              </w:rPr>
              <w:cr/>
            </w:r>
            <w:r>
              <w:rPr>
                <w:rFonts w:hAnsi="宋体" w:eastAsia="宋体"/>
                <w:kern w:val="0"/>
                <w:sz w:val="24"/>
              </w:rPr>
              <w:t>　　（</w:t>
            </w:r>
            <w:r>
              <w:rPr>
                <w:rFonts w:eastAsia="宋体"/>
                <w:kern w:val="0"/>
                <w:sz w:val="24"/>
              </w:rPr>
              <w:t>2</w:t>
            </w:r>
            <w:r>
              <w:rPr>
                <w:rFonts w:hAnsi="宋体" w:eastAsia="宋体"/>
                <w:kern w:val="0"/>
                <w:sz w:val="24"/>
              </w:rPr>
              <w:t>）禹州市鸠山镇地下水井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r>
              <w:rPr>
                <w:rFonts w:eastAsia="宋体"/>
                <w:kern w:val="0"/>
                <w:sz w:val="24"/>
              </w:rPr>
              <w:cr/>
            </w:r>
            <w:r>
              <w:rPr>
                <w:rFonts w:hAnsi="宋体" w:eastAsia="宋体"/>
                <w:kern w:val="0"/>
                <w:sz w:val="24"/>
              </w:rPr>
              <w:t>　　（</w:t>
            </w:r>
            <w:r>
              <w:rPr>
                <w:rFonts w:eastAsia="宋体"/>
                <w:kern w:val="0"/>
                <w:sz w:val="24"/>
              </w:rPr>
              <w:t>3</w:t>
            </w:r>
            <w:r>
              <w:rPr>
                <w:rFonts w:hAnsi="宋体" w:eastAsia="宋体"/>
                <w:kern w:val="0"/>
                <w:sz w:val="24"/>
              </w:rPr>
              <w:t>）禹州市方山镇地下水井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r>
              <w:rPr>
                <w:rFonts w:eastAsia="宋体"/>
                <w:kern w:val="0"/>
                <w:sz w:val="24"/>
              </w:rPr>
              <w:cr/>
            </w:r>
            <w:r>
              <w:rPr>
                <w:rFonts w:hAnsi="宋体" w:eastAsia="宋体"/>
                <w:kern w:val="0"/>
                <w:sz w:val="24"/>
              </w:rPr>
              <w:t>　　（</w:t>
            </w:r>
            <w:r>
              <w:rPr>
                <w:rFonts w:eastAsia="宋体"/>
                <w:kern w:val="0"/>
                <w:sz w:val="24"/>
              </w:rPr>
              <w:t>4</w:t>
            </w:r>
            <w:r>
              <w:rPr>
                <w:rFonts w:hAnsi="宋体" w:eastAsia="宋体"/>
                <w:kern w:val="0"/>
                <w:sz w:val="24"/>
              </w:rPr>
              <w:t>）禹州市文殊镇地下水井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p>
          <w:p>
            <w:pPr>
              <w:spacing w:line="520" w:lineRule="exact"/>
              <w:ind w:firstLine="480" w:firstLineChars="200"/>
              <w:rPr>
                <w:rFonts w:eastAsia="宋体"/>
                <w:kern w:val="0"/>
                <w:sz w:val="24"/>
              </w:rPr>
            </w:pPr>
            <w:r>
              <w:rPr>
                <w:rFonts w:hAnsi="宋体" w:eastAsia="宋体"/>
                <w:kern w:val="0"/>
                <w:sz w:val="24"/>
              </w:rPr>
              <w:t>（</w:t>
            </w:r>
            <w:r>
              <w:rPr>
                <w:rFonts w:eastAsia="宋体"/>
                <w:kern w:val="0"/>
                <w:sz w:val="24"/>
              </w:rPr>
              <w:t>5</w:t>
            </w:r>
            <w:r>
              <w:rPr>
                <w:rFonts w:hAnsi="宋体" w:eastAsia="宋体"/>
                <w:kern w:val="0"/>
                <w:sz w:val="24"/>
              </w:rPr>
              <w:t>）禹州市磨街乡地下水井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r>
              <w:rPr>
                <w:rFonts w:eastAsia="宋体"/>
                <w:kern w:val="0"/>
                <w:sz w:val="24"/>
              </w:rPr>
              <w:cr/>
            </w:r>
            <w:r>
              <w:rPr>
                <w:rFonts w:hAnsi="宋体" w:eastAsia="宋体"/>
                <w:kern w:val="0"/>
                <w:sz w:val="24"/>
              </w:rPr>
              <w:t>　　（</w:t>
            </w:r>
            <w:r>
              <w:rPr>
                <w:rFonts w:eastAsia="宋体"/>
                <w:kern w:val="0"/>
                <w:sz w:val="24"/>
              </w:rPr>
              <w:t>6</w:t>
            </w:r>
            <w:r>
              <w:rPr>
                <w:rFonts w:hAnsi="宋体" w:eastAsia="宋体"/>
                <w:kern w:val="0"/>
                <w:sz w:val="24"/>
              </w:rPr>
              <w:t>）禹州市褚河镇颍东社区地下水井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r>
              <w:rPr>
                <w:rFonts w:eastAsia="宋体"/>
                <w:kern w:val="0"/>
                <w:sz w:val="24"/>
              </w:rPr>
              <w:cr/>
            </w:r>
            <w:r>
              <w:rPr>
                <w:rFonts w:hAnsi="宋体" w:eastAsia="宋体"/>
                <w:kern w:val="0"/>
                <w:sz w:val="24"/>
              </w:rPr>
              <w:t>　　（</w:t>
            </w:r>
            <w:r>
              <w:rPr>
                <w:rFonts w:eastAsia="宋体"/>
                <w:kern w:val="0"/>
                <w:sz w:val="24"/>
              </w:rPr>
              <w:t>7</w:t>
            </w:r>
            <w:r>
              <w:rPr>
                <w:rFonts w:hAnsi="宋体" w:eastAsia="宋体"/>
                <w:kern w:val="0"/>
                <w:sz w:val="24"/>
              </w:rPr>
              <w:t>）禹州市苌庄乡苌弘社区地下水井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r>
              <w:rPr>
                <w:rFonts w:eastAsia="宋体"/>
                <w:kern w:val="0"/>
                <w:sz w:val="24"/>
              </w:rPr>
              <w:cr/>
            </w:r>
            <w:r>
              <w:rPr>
                <w:rFonts w:hAnsi="宋体" w:eastAsia="宋体"/>
                <w:kern w:val="0"/>
                <w:sz w:val="24"/>
              </w:rPr>
              <w:t>　　（</w:t>
            </w:r>
            <w:r>
              <w:rPr>
                <w:rFonts w:eastAsia="宋体"/>
                <w:kern w:val="0"/>
                <w:sz w:val="24"/>
              </w:rPr>
              <w:t>8</w:t>
            </w:r>
            <w:r>
              <w:rPr>
                <w:rFonts w:hAnsi="宋体" w:eastAsia="宋体"/>
                <w:kern w:val="0"/>
                <w:sz w:val="24"/>
              </w:rPr>
              <w:t>）禹州市朱阁镇石河社区地下水井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r>
              <w:rPr>
                <w:rFonts w:eastAsia="宋体"/>
                <w:kern w:val="0"/>
                <w:sz w:val="24"/>
              </w:rPr>
              <w:cr/>
            </w:r>
            <w:r>
              <w:rPr>
                <w:rFonts w:hAnsi="宋体" w:eastAsia="宋体"/>
                <w:kern w:val="0"/>
                <w:sz w:val="24"/>
              </w:rPr>
              <w:t>　　（</w:t>
            </w:r>
            <w:r>
              <w:rPr>
                <w:rFonts w:eastAsia="宋体"/>
                <w:kern w:val="0"/>
                <w:sz w:val="24"/>
              </w:rPr>
              <w:t>9</w:t>
            </w:r>
            <w:r>
              <w:rPr>
                <w:rFonts w:hAnsi="宋体" w:eastAsia="宋体"/>
                <w:kern w:val="0"/>
                <w:sz w:val="24"/>
              </w:rPr>
              <w:t>）禹州市梁北镇中心社区地下水井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r>
              <w:rPr>
                <w:rFonts w:eastAsia="宋体"/>
                <w:kern w:val="0"/>
                <w:sz w:val="24"/>
              </w:rPr>
              <w:cr/>
            </w:r>
            <w:r>
              <w:rPr>
                <w:rFonts w:hAnsi="宋体" w:eastAsia="宋体"/>
                <w:kern w:val="0"/>
                <w:sz w:val="24"/>
              </w:rPr>
              <w:t>　　一级保护区范围</w:t>
            </w:r>
            <w:r>
              <w:rPr>
                <w:rFonts w:eastAsia="宋体"/>
                <w:kern w:val="0"/>
                <w:sz w:val="24"/>
              </w:rPr>
              <w:t>:</w:t>
            </w:r>
            <w:r>
              <w:rPr>
                <w:rFonts w:hAnsi="宋体" w:eastAsia="宋体"/>
                <w:kern w:val="0"/>
                <w:sz w:val="24"/>
              </w:rPr>
              <w:t>取水井外围</w:t>
            </w:r>
            <w:r>
              <w:rPr>
                <w:rFonts w:eastAsia="宋体"/>
                <w:kern w:val="0"/>
                <w:sz w:val="24"/>
              </w:rPr>
              <w:t>30</w:t>
            </w:r>
            <w:r>
              <w:rPr>
                <w:rFonts w:hAnsi="宋体" w:eastAsia="宋体"/>
                <w:kern w:val="0"/>
                <w:sz w:val="24"/>
              </w:rPr>
              <w:t>米的区域。</w:t>
            </w:r>
          </w:p>
          <w:p>
            <w:pPr>
              <w:spacing w:line="520" w:lineRule="exact"/>
              <w:ind w:firstLine="480" w:firstLineChars="200"/>
              <w:rPr>
                <w:rFonts w:eastAsia="宋体"/>
                <w:kern w:val="0"/>
                <w:sz w:val="24"/>
              </w:rPr>
            </w:pPr>
            <w:r>
              <w:rPr>
                <w:rFonts w:hAnsi="宋体" w:eastAsia="宋体"/>
                <w:kern w:val="0"/>
                <w:sz w:val="24"/>
              </w:rPr>
              <w:t>禹州市苌庄乡苌弘社区地下水井</w:t>
            </w:r>
            <w:r>
              <w:rPr>
                <w:rFonts w:eastAsia="宋体"/>
                <w:kern w:val="0"/>
                <w:sz w:val="24"/>
              </w:rPr>
              <w:t>(</w:t>
            </w:r>
            <w:r>
              <w:rPr>
                <w:rFonts w:hAnsi="宋体" w:eastAsia="宋体"/>
                <w:kern w:val="0"/>
                <w:sz w:val="24"/>
              </w:rPr>
              <w:t>共</w:t>
            </w:r>
            <w:r>
              <w:rPr>
                <w:rFonts w:eastAsia="宋体"/>
                <w:kern w:val="0"/>
                <w:sz w:val="24"/>
              </w:rPr>
              <w:t>1</w:t>
            </w:r>
            <w:r>
              <w:rPr>
                <w:rFonts w:hAnsi="宋体" w:eastAsia="宋体"/>
                <w:kern w:val="0"/>
                <w:sz w:val="24"/>
              </w:rPr>
              <w:t>眼井</w:t>
            </w:r>
            <w:r>
              <w:rPr>
                <w:rFonts w:eastAsia="宋体"/>
                <w:kern w:val="0"/>
                <w:sz w:val="24"/>
              </w:rPr>
              <w:t>)</w:t>
            </w:r>
          </w:p>
          <w:p>
            <w:pPr>
              <w:spacing w:line="520" w:lineRule="exact"/>
              <w:ind w:firstLine="480" w:firstLineChars="200"/>
              <w:rPr>
                <w:rFonts w:eastAsia="宋体"/>
                <w:kern w:val="0"/>
                <w:sz w:val="24"/>
              </w:rPr>
            </w:pPr>
            <w:r>
              <w:rPr>
                <w:rFonts w:hAnsi="宋体" w:eastAsia="宋体"/>
                <w:kern w:val="0"/>
                <w:sz w:val="24"/>
              </w:rPr>
              <w:t>一级保护区范围：取水井外围</w:t>
            </w:r>
            <w:r>
              <w:rPr>
                <w:rFonts w:eastAsia="宋体"/>
                <w:kern w:val="0"/>
                <w:sz w:val="24"/>
              </w:rPr>
              <w:t>30</w:t>
            </w:r>
            <w:r>
              <w:rPr>
                <w:rFonts w:hAnsi="宋体" w:eastAsia="宋体"/>
                <w:kern w:val="0"/>
                <w:sz w:val="24"/>
              </w:rPr>
              <w:t>米的区域。</w:t>
            </w:r>
          </w:p>
          <w:p>
            <w:pPr>
              <w:spacing w:line="520" w:lineRule="exact"/>
              <w:ind w:firstLine="480" w:firstLineChars="200"/>
              <w:rPr>
                <w:rFonts w:eastAsia="宋体"/>
                <w:sz w:val="24"/>
              </w:rPr>
            </w:pPr>
            <w:r>
              <w:rPr>
                <w:rFonts w:hAnsi="宋体" w:eastAsia="宋体"/>
                <w:sz w:val="24"/>
              </w:rPr>
              <w:t>经调查，本项目距离苌庄乡</w:t>
            </w:r>
            <w:r>
              <w:rPr>
                <w:rFonts w:hAnsi="宋体" w:eastAsia="宋体"/>
                <w:kern w:val="0"/>
                <w:sz w:val="24"/>
              </w:rPr>
              <w:t>苌弘社区地下水井</w:t>
            </w:r>
            <w:r>
              <w:rPr>
                <w:rFonts w:hAnsi="宋体" w:eastAsia="宋体"/>
                <w:sz w:val="24"/>
              </w:rPr>
              <w:t>约</w:t>
            </w:r>
            <w:r>
              <w:rPr>
                <w:rFonts w:eastAsia="宋体"/>
                <w:sz w:val="24"/>
              </w:rPr>
              <w:t>6.8km</w:t>
            </w:r>
            <w:r>
              <w:rPr>
                <w:rFonts w:hAnsi="宋体" w:eastAsia="宋体"/>
                <w:sz w:val="24"/>
              </w:rPr>
              <w:t>，距离较远，项目不在上述禹州市乡镇饮用水源地保护区范围内。</w:t>
            </w:r>
          </w:p>
          <w:p>
            <w:pPr>
              <w:spacing w:line="520" w:lineRule="exact"/>
              <w:rPr>
                <w:rFonts w:eastAsia="宋体"/>
                <w:b/>
                <w:snapToGrid w:val="0"/>
                <w:sz w:val="24"/>
              </w:rPr>
            </w:pPr>
            <w:r>
              <w:rPr>
                <w:rFonts w:eastAsia="宋体"/>
                <w:snapToGrid w:val="0"/>
                <w:sz w:val="24"/>
              </w:rPr>
              <w:t>2.2.4</w:t>
            </w:r>
            <w:r>
              <w:rPr>
                <w:rFonts w:hAnsi="宋体" w:eastAsia="宋体"/>
                <w:b/>
                <w:sz w:val="24"/>
              </w:rPr>
              <w:t>相关能源规划分析</w:t>
            </w:r>
          </w:p>
          <w:p>
            <w:pPr>
              <w:spacing w:line="520" w:lineRule="exact"/>
              <w:ind w:firstLine="480" w:firstLineChars="200"/>
              <w:rPr>
                <w:rFonts w:eastAsia="宋体"/>
                <w:snapToGrid w:val="0"/>
                <w:sz w:val="24"/>
              </w:rPr>
            </w:pPr>
            <w:r>
              <w:rPr>
                <w:rFonts w:hAnsi="宋体" w:eastAsia="宋体"/>
                <w:snapToGrid w:val="0"/>
                <w:sz w:val="24"/>
              </w:rPr>
              <w:t>（</w:t>
            </w:r>
            <w:r>
              <w:rPr>
                <w:rFonts w:eastAsia="宋体"/>
                <w:snapToGrid w:val="0"/>
                <w:sz w:val="24"/>
              </w:rPr>
              <w:t>1</w:t>
            </w:r>
            <w:r>
              <w:rPr>
                <w:rFonts w:hAnsi="宋体" w:eastAsia="宋体"/>
                <w:snapToGrid w:val="0"/>
                <w:sz w:val="24"/>
              </w:rPr>
              <w:t>）《风电发展</w:t>
            </w:r>
            <w:r>
              <w:rPr>
                <w:rFonts w:eastAsia="宋体"/>
                <w:snapToGrid w:val="0"/>
                <w:sz w:val="24"/>
              </w:rPr>
              <w:t>“</w:t>
            </w:r>
            <w:r>
              <w:rPr>
                <w:rFonts w:hAnsi="宋体" w:eastAsia="宋体"/>
                <w:snapToGrid w:val="0"/>
                <w:sz w:val="24"/>
              </w:rPr>
              <w:t>十三五</w:t>
            </w:r>
            <w:r>
              <w:rPr>
                <w:rFonts w:eastAsia="宋体"/>
                <w:snapToGrid w:val="0"/>
                <w:sz w:val="24"/>
              </w:rPr>
              <w:t>”</w:t>
            </w:r>
            <w:r>
              <w:rPr>
                <w:rFonts w:hAnsi="宋体" w:eastAsia="宋体"/>
                <w:snapToGrid w:val="0"/>
                <w:sz w:val="24"/>
              </w:rPr>
              <w:t>规划》</w:t>
            </w:r>
          </w:p>
          <w:p>
            <w:pPr>
              <w:spacing w:line="520" w:lineRule="exact"/>
              <w:ind w:firstLine="480" w:firstLineChars="200"/>
              <w:rPr>
                <w:rFonts w:eastAsia="宋体"/>
                <w:snapToGrid w:val="0"/>
                <w:sz w:val="24"/>
              </w:rPr>
            </w:pPr>
            <w:r>
              <w:rPr>
                <w:rFonts w:eastAsia="宋体"/>
                <w:snapToGrid w:val="0"/>
                <w:sz w:val="24"/>
              </w:rPr>
              <w:t>“</w:t>
            </w:r>
            <w:r>
              <w:rPr>
                <w:rFonts w:hAnsi="宋体" w:eastAsia="宋体"/>
                <w:snapToGrid w:val="0"/>
                <w:sz w:val="24"/>
              </w:rPr>
              <w:t>十三五</w:t>
            </w:r>
            <w:r>
              <w:rPr>
                <w:rFonts w:eastAsia="宋体"/>
                <w:snapToGrid w:val="0"/>
                <w:sz w:val="24"/>
              </w:rPr>
              <w:t>”</w:t>
            </w:r>
            <w:r>
              <w:rPr>
                <w:rFonts w:hAnsi="宋体" w:eastAsia="宋体"/>
                <w:snapToGrid w:val="0"/>
                <w:sz w:val="24"/>
              </w:rPr>
              <w:t>时期风电发展的目标是：到</w:t>
            </w:r>
            <w:r>
              <w:rPr>
                <w:rFonts w:eastAsia="宋体"/>
                <w:snapToGrid w:val="0"/>
                <w:sz w:val="24"/>
              </w:rPr>
              <w:t>2020</w:t>
            </w:r>
            <w:r>
              <w:rPr>
                <w:rFonts w:hAnsi="宋体" w:eastAsia="宋体"/>
                <w:snapToGrid w:val="0"/>
                <w:sz w:val="24"/>
              </w:rPr>
              <w:t>年底，风电累计并网装机容量确保达到</w:t>
            </w:r>
            <w:r>
              <w:rPr>
                <w:rFonts w:eastAsia="宋体"/>
                <w:snapToGrid w:val="0"/>
                <w:sz w:val="24"/>
              </w:rPr>
              <w:t>2.1</w:t>
            </w:r>
            <w:r>
              <w:rPr>
                <w:rFonts w:hAnsi="宋体" w:eastAsia="宋体"/>
                <w:snapToGrid w:val="0"/>
                <w:sz w:val="24"/>
              </w:rPr>
              <w:t>亿千瓦以上，其中海上风电并网装机容量达到</w:t>
            </w:r>
            <w:r>
              <w:rPr>
                <w:rFonts w:eastAsia="宋体"/>
                <w:snapToGrid w:val="0"/>
                <w:sz w:val="24"/>
              </w:rPr>
              <w:t>500</w:t>
            </w:r>
            <w:r>
              <w:rPr>
                <w:rFonts w:hAnsi="宋体" w:eastAsia="宋体"/>
                <w:snapToGrid w:val="0"/>
                <w:sz w:val="24"/>
              </w:rPr>
              <w:t>万千瓦以上；风电年发电量确保达到</w:t>
            </w:r>
            <w:r>
              <w:rPr>
                <w:rFonts w:eastAsia="宋体"/>
                <w:snapToGrid w:val="0"/>
                <w:sz w:val="24"/>
              </w:rPr>
              <w:t>4200</w:t>
            </w:r>
            <w:r>
              <w:rPr>
                <w:rFonts w:hAnsi="宋体" w:eastAsia="宋体"/>
                <w:snapToGrid w:val="0"/>
                <w:sz w:val="24"/>
              </w:rPr>
              <w:t>亿千瓦时，约占全国总发电量的</w:t>
            </w:r>
            <w:r>
              <w:rPr>
                <w:rFonts w:eastAsia="宋体"/>
                <w:snapToGrid w:val="0"/>
                <w:sz w:val="24"/>
              </w:rPr>
              <w:t>6%</w:t>
            </w:r>
            <w:r>
              <w:rPr>
                <w:rFonts w:hAnsi="宋体" w:eastAsia="宋体"/>
                <w:snapToGrid w:val="0"/>
                <w:sz w:val="24"/>
              </w:rPr>
              <w:t>。</w:t>
            </w:r>
          </w:p>
          <w:p>
            <w:pPr>
              <w:spacing w:line="520" w:lineRule="exact"/>
              <w:ind w:firstLine="480" w:firstLineChars="200"/>
              <w:rPr>
                <w:rFonts w:eastAsia="宋体"/>
                <w:snapToGrid w:val="0"/>
                <w:sz w:val="24"/>
              </w:rPr>
            </w:pPr>
            <w:r>
              <w:rPr>
                <w:rFonts w:hAnsi="宋体" w:eastAsia="宋体"/>
                <w:snapToGrid w:val="0"/>
                <w:sz w:val="24"/>
              </w:rPr>
              <w:t>在建设布局上，要</w:t>
            </w:r>
            <w:r>
              <w:rPr>
                <w:rFonts w:eastAsia="宋体"/>
                <w:snapToGrid w:val="0"/>
                <w:sz w:val="24"/>
              </w:rPr>
              <w:t>“</w:t>
            </w:r>
            <w:r>
              <w:rPr>
                <w:rFonts w:hAnsi="宋体" w:eastAsia="宋体"/>
                <w:snapToGrid w:val="0"/>
                <w:sz w:val="24"/>
              </w:rPr>
              <w:t>加快开发中东部和南方地区陆上风能资源</w:t>
            </w:r>
            <w:r>
              <w:rPr>
                <w:rFonts w:eastAsia="宋体"/>
                <w:snapToGrid w:val="0"/>
                <w:sz w:val="24"/>
              </w:rPr>
              <w:t>”</w:t>
            </w:r>
            <w:r>
              <w:rPr>
                <w:rFonts w:hAnsi="宋体" w:eastAsia="宋体"/>
                <w:snapToGrid w:val="0"/>
                <w:sz w:val="24"/>
              </w:rPr>
              <w:t>：按照</w:t>
            </w:r>
            <w:r>
              <w:rPr>
                <w:rFonts w:eastAsia="宋体"/>
                <w:snapToGrid w:val="0"/>
                <w:sz w:val="24"/>
              </w:rPr>
              <w:t>“</w:t>
            </w:r>
            <w:r>
              <w:rPr>
                <w:rFonts w:hAnsi="宋体" w:eastAsia="宋体"/>
                <w:snapToGrid w:val="0"/>
                <w:sz w:val="24"/>
              </w:rPr>
              <w:t>就近接入、本地消纳</w:t>
            </w:r>
            <w:r>
              <w:rPr>
                <w:rFonts w:eastAsia="宋体"/>
                <w:snapToGrid w:val="0"/>
                <w:sz w:val="24"/>
              </w:rPr>
              <w:t>”</w:t>
            </w:r>
            <w:r>
              <w:rPr>
                <w:rFonts w:hAnsi="宋体" w:eastAsia="宋体"/>
                <w:snapToGrid w:val="0"/>
                <w:sz w:val="24"/>
              </w:rPr>
              <w:t>的原则，发挥风能资源分布广泛和应用灵活的特点，在做好环</w:t>
            </w:r>
            <w:r>
              <w:rPr>
                <w:rFonts w:eastAsia="宋体"/>
                <w:snapToGrid w:val="0"/>
                <w:sz w:val="24"/>
              </w:rPr>
              <w:t>境保护、水土保持和植被恢复工作的基础上，加快中东部和南方地区陆上风能资源规模化开发。结合电网布局和农村电网改造升级，考虑资源、土地、交通运输以及施工安装等建设条件，因地制宜推动接入低压配电网的分散式风电开发建设，推动风电与其它分布式能源融合发展。到2020年，中东部和南方地区陆上风电新增并网装机容量4200万千瓦以上，累计并网装机容量达到7000万千瓦以上。为确保完成非化石能源比重目标，相关省（区、市）制定本地区风电发展规划不应低于规划确定的发展目标（其中河南省2020年风电累计并网容量要达到600万千万时）。在确保消纳的基础上，鼓励各省（区、市）进一步扩大风电发展规模，鼓励风电占比较低、运行情况良好的地区积极接受外来风电。</w:t>
            </w:r>
          </w:p>
          <w:p>
            <w:pPr>
              <w:spacing w:line="520" w:lineRule="exact"/>
              <w:ind w:firstLine="480" w:firstLineChars="200"/>
              <w:rPr>
                <w:rFonts w:eastAsia="宋体"/>
                <w:snapToGrid w:val="0"/>
                <w:sz w:val="24"/>
              </w:rPr>
            </w:pPr>
            <w:r>
              <w:rPr>
                <w:rFonts w:eastAsia="宋体"/>
                <w:snapToGrid w:val="0"/>
                <w:sz w:val="24"/>
              </w:rPr>
              <w:t>(2)《河南省风电中长期发展规划(2013-2020)》</w:t>
            </w:r>
          </w:p>
          <w:p>
            <w:pPr>
              <w:spacing w:line="520" w:lineRule="exact"/>
              <w:ind w:firstLine="480" w:firstLineChars="200"/>
              <w:rPr>
                <w:rFonts w:eastAsia="宋体"/>
                <w:snapToGrid w:val="0"/>
                <w:sz w:val="24"/>
              </w:rPr>
            </w:pPr>
            <w:r>
              <w:rPr>
                <w:rFonts w:eastAsia="宋体"/>
                <w:snapToGrid w:val="0"/>
                <w:sz w:val="24"/>
              </w:rPr>
              <w:t>坚持积极发展和有序开发相协调、集中开发与分散发展相结合、风电开发与电网建设相衔接、市场开发与产业培育相促进的原则推进风电发展，到2020年实现风电规范化规模化开发利用，提高风电在电力结构中的比重，使风电在调整能源结构、改善环境质量上作出贡献。</w:t>
            </w:r>
          </w:p>
          <w:p>
            <w:pPr>
              <w:spacing w:line="520" w:lineRule="exact"/>
              <w:ind w:firstLine="480" w:firstLineChars="200"/>
              <w:rPr>
                <w:rFonts w:eastAsia="宋体"/>
                <w:snapToGrid w:val="0"/>
                <w:sz w:val="24"/>
              </w:rPr>
            </w:pPr>
            <w:r>
              <w:rPr>
                <w:rFonts w:eastAsia="宋体"/>
                <w:snapToGrid w:val="0"/>
                <w:sz w:val="24"/>
              </w:rPr>
              <w:t>规划到2015年、2020年，河南省风电装机容量分别达到500万千瓦、1100万千瓦，风电年发电量将分别达到70亿千瓦时、190亿千瓦时，占全省可再生能源发电量的25%、35%。</w:t>
            </w:r>
          </w:p>
          <w:p>
            <w:pPr>
              <w:spacing w:line="520" w:lineRule="exact"/>
              <w:ind w:firstLine="480" w:firstLineChars="200"/>
              <w:rPr>
                <w:rFonts w:eastAsia="宋体"/>
                <w:snapToGrid w:val="0"/>
                <w:sz w:val="24"/>
              </w:rPr>
            </w:pPr>
            <w:r>
              <w:rPr>
                <w:rFonts w:eastAsia="宋体"/>
                <w:snapToGrid w:val="0"/>
                <w:sz w:val="24"/>
              </w:rPr>
              <w:t>在风能资源相对丰富的伏牛山和大别山区域，河南将重点推进集中并网风电场开发建设；在风能资源较为一般的太行山和黄河河滩区域，采取集中并网、分散式接入与其他发电相结合等多种方式，稳步推进风电场建设:在风能资源分散的区域，开展以智能电网和物联网技术为支撑的微电网示范工程，推动分散接入低压配电网的风电开发</w:t>
            </w:r>
            <w:r>
              <w:rPr>
                <w:rFonts w:hint="eastAsia" w:eastAsia="宋体"/>
                <w:snapToGrid w:val="0"/>
                <w:sz w:val="24"/>
              </w:rPr>
              <w:t>。</w:t>
            </w:r>
          </w:p>
          <w:p>
            <w:pPr>
              <w:pStyle w:val="22"/>
              <w:spacing w:line="520" w:lineRule="exact"/>
              <w:ind w:firstLine="480" w:firstLineChars="200"/>
              <w:jc w:val="both"/>
              <w:rPr>
                <w:snapToGrid w:val="0"/>
                <w:color w:val="auto"/>
                <w:kern w:val="2"/>
              </w:rPr>
            </w:pPr>
            <w:r>
              <w:rPr>
                <w:snapToGrid w:val="0"/>
                <w:color w:val="auto"/>
                <w:kern w:val="2"/>
              </w:rPr>
              <w:t>（3）本工程与规划相符性</w:t>
            </w:r>
          </w:p>
          <w:p>
            <w:pPr>
              <w:spacing w:line="520" w:lineRule="exact"/>
              <w:ind w:firstLine="482"/>
              <w:rPr>
                <w:rFonts w:eastAsia="宋体"/>
                <w:sz w:val="24"/>
              </w:rPr>
            </w:pPr>
            <w:r>
              <w:rPr>
                <w:rFonts w:eastAsia="宋体"/>
                <w:sz w:val="24"/>
              </w:rPr>
              <w:t>本项目已取得</w:t>
            </w:r>
            <w:r>
              <w:rPr>
                <w:rFonts w:hint="eastAsia" w:eastAsia="宋体"/>
                <w:sz w:val="24"/>
              </w:rPr>
              <w:t>禹州市</w:t>
            </w:r>
            <w:r>
              <w:rPr>
                <w:rFonts w:eastAsia="宋体"/>
                <w:sz w:val="24"/>
              </w:rPr>
              <w:t>发展和改革委员会的批复</w:t>
            </w:r>
            <w:r>
              <w:rPr>
                <w:rFonts w:hint="eastAsia" w:eastAsia="宋体"/>
                <w:sz w:val="24"/>
              </w:rPr>
              <w:t>，禹州国土资源局、城乡规划局和林业发展中心</w:t>
            </w:r>
            <w:r>
              <w:rPr>
                <w:rFonts w:eastAsia="宋体"/>
                <w:sz w:val="24"/>
              </w:rPr>
              <w:t>等有关部门的意见（见附件）。因此，本工程与当地规划相符。</w:t>
            </w:r>
          </w:p>
          <w:p>
            <w:pPr>
              <w:spacing w:line="500" w:lineRule="exact"/>
              <w:rPr>
                <w:rFonts w:eastAsia="宋体"/>
                <w:b/>
                <w:snapToGrid w:val="0"/>
                <w:color w:val="FF0000"/>
                <w:sz w:val="24"/>
              </w:rPr>
            </w:pPr>
          </w:p>
        </w:tc>
      </w:tr>
    </w:tbl>
    <w:p>
      <w:pPr>
        <w:tabs>
          <w:tab w:val="center" w:pos="4153"/>
        </w:tabs>
        <w:rPr>
          <w:rFonts w:eastAsia="宋体"/>
          <w:sz w:val="24"/>
          <w:szCs w:val="28"/>
        </w:rPr>
      </w:pPr>
      <w:r>
        <w:rPr>
          <w:rFonts w:eastAsia="宋体"/>
          <w:sz w:val="24"/>
          <w:szCs w:val="28"/>
        </w:rPr>
        <w:tab/>
      </w:r>
    </w:p>
    <w:p>
      <w:pPr>
        <w:outlineLvl w:val="0"/>
        <w:rPr>
          <w:rFonts w:eastAsia="宋体"/>
          <w:b/>
          <w:bCs/>
          <w:sz w:val="30"/>
          <w:szCs w:val="30"/>
        </w:rPr>
      </w:pPr>
      <w:bookmarkStart w:id="20" w:name="_Toc37923282"/>
      <w:r>
        <w:rPr>
          <w:rFonts w:hint="eastAsia" w:eastAsia="宋体"/>
          <w:b/>
          <w:bCs/>
          <w:sz w:val="30"/>
          <w:szCs w:val="30"/>
        </w:rPr>
        <w:t>三、</w:t>
      </w:r>
      <w:r>
        <w:rPr>
          <w:rFonts w:eastAsia="宋体"/>
          <w:b/>
          <w:bCs/>
          <w:sz w:val="30"/>
          <w:szCs w:val="30"/>
        </w:rPr>
        <w:t>评价适用标准</w:t>
      </w:r>
      <w:bookmarkEnd w:id="20"/>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4"/>
        <w:gridCol w:w="7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tcPr>
          <w:p>
            <w:pPr>
              <w:outlineLvl w:val="0"/>
              <w:rPr>
                <w:rFonts w:eastAsia="宋体"/>
                <w:sz w:val="21"/>
                <w:szCs w:val="21"/>
              </w:rPr>
            </w:pPr>
          </w:p>
          <w:p>
            <w:pPr>
              <w:outlineLvl w:val="0"/>
              <w:rPr>
                <w:rFonts w:eastAsia="宋体"/>
                <w:sz w:val="21"/>
                <w:szCs w:val="21"/>
              </w:rPr>
            </w:pPr>
          </w:p>
          <w:p>
            <w:pPr>
              <w:spacing w:line="520" w:lineRule="exact"/>
              <w:outlineLvl w:val="0"/>
              <w:rPr>
                <w:rFonts w:hAnsi="宋体" w:eastAsia="宋体"/>
                <w:sz w:val="24"/>
              </w:rPr>
            </w:pPr>
          </w:p>
          <w:p>
            <w:pPr>
              <w:spacing w:line="520" w:lineRule="exact"/>
              <w:rPr>
                <w:rFonts w:eastAsia="宋体"/>
                <w:b/>
                <w:bCs/>
                <w:sz w:val="24"/>
              </w:rPr>
            </w:pPr>
            <w:r>
              <w:rPr>
                <w:rFonts w:hint="eastAsia" w:hAnsi="宋体" w:eastAsia="宋体"/>
                <w:sz w:val="24"/>
              </w:rPr>
              <w:t>环境质量标准</w:t>
            </w:r>
          </w:p>
        </w:tc>
        <w:tc>
          <w:tcPr>
            <w:tcW w:w="7988" w:type="dxa"/>
          </w:tcPr>
          <w:p>
            <w:pPr>
              <w:widowControl/>
              <w:adjustRightInd w:val="0"/>
              <w:snapToGrid w:val="0"/>
              <w:spacing w:line="520" w:lineRule="exact"/>
              <w:ind w:firstLine="480" w:firstLineChars="200"/>
              <w:rPr>
                <w:rFonts w:eastAsia="宋体" w:cstheme="minorBidi"/>
                <w:kern w:val="0"/>
                <w:sz w:val="24"/>
                <w:szCs w:val="22"/>
              </w:rPr>
            </w:pPr>
            <w:r>
              <w:rPr>
                <w:rFonts w:hAnsi="Tahoma" w:eastAsia="宋体" w:cstheme="minorBidi"/>
                <w:kern w:val="0"/>
                <w:sz w:val="24"/>
                <w:szCs w:val="22"/>
              </w:rPr>
              <w:t>根据现场踏勘情况可知，本工程周边环境质量执行标准如下：</w:t>
            </w:r>
          </w:p>
          <w:p>
            <w:pPr>
              <w:widowControl/>
              <w:adjustRightInd w:val="0"/>
              <w:snapToGrid w:val="0"/>
              <w:spacing w:line="520" w:lineRule="exact"/>
              <w:ind w:firstLine="480" w:firstLineChars="200"/>
              <w:rPr>
                <w:rFonts w:eastAsia="宋体" w:cstheme="minorBidi"/>
                <w:kern w:val="0"/>
                <w:sz w:val="24"/>
                <w:szCs w:val="22"/>
              </w:rPr>
            </w:pPr>
            <w:r>
              <w:rPr>
                <w:rFonts w:eastAsia="宋体" w:cstheme="minorBidi"/>
                <w:kern w:val="0"/>
                <w:sz w:val="24"/>
                <w:szCs w:val="22"/>
              </w:rPr>
              <w:t>1</w:t>
            </w:r>
            <w:r>
              <w:rPr>
                <w:rFonts w:hAnsi="Tahoma" w:eastAsia="宋体" w:cstheme="minorBidi"/>
                <w:kern w:val="0"/>
                <w:sz w:val="24"/>
                <w:szCs w:val="22"/>
              </w:rPr>
              <w:t>、电磁辐射环境标准</w:t>
            </w:r>
          </w:p>
          <w:p>
            <w:pPr>
              <w:widowControl/>
              <w:adjustRightInd w:val="0"/>
              <w:snapToGrid w:val="0"/>
              <w:spacing w:line="520" w:lineRule="exact"/>
              <w:ind w:firstLine="480" w:firstLineChars="200"/>
              <w:rPr>
                <w:rFonts w:eastAsia="宋体" w:cstheme="minorBidi"/>
                <w:kern w:val="0"/>
                <w:sz w:val="24"/>
                <w:szCs w:val="22"/>
              </w:rPr>
            </w:pPr>
            <w:r>
              <w:rPr>
                <w:rFonts w:hAnsi="Tahoma" w:eastAsia="宋体" w:cstheme="minorBidi"/>
                <w:kern w:val="0"/>
                <w:sz w:val="24"/>
                <w:szCs w:val="22"/>
              </w:rPr>
              <w:t>（</w:t>
            </w:r>
            <w:r>
              <w:rPr>
                <w:rFonts w:eastAsia="宋体" w:cstheme="minorBidi"/>
                <w:kern w:val="0"/>
                <w:sz w:val="24"/>
                <w:szCs w:val="22"/>
              </w:rPr>
              <w:t>1</w:t>
            </w:r>
            <w:r>
              <w:rPr>
                <w:rFonts w:hAnsi="Tahoma" w:eastAsia="宋体" w:cstheme="minorBidi"/>
                <w:kern w:val="0"/>
                <w:sz w:val="24"/>
                <w:szCs w:val="22"/>
              </w:rPr>
              <w:t>）</w:t>
            </w:r>
            <w:r>
              <w:rPr>
                <w:rFonts w:hint="eastAsia" w:hAnsi="Tahoma" w:eastAsia="宋体" w:cstheme="minorBidi"/>
                <w:kern w:val="0"/>
                <w:sz w:val="24"/>
                <w:szCs w:val="22"/>
              </w:rPr>
              <w:t>电磁环境</w:t>
            </w:r>
            <w:r>
              <w:rPr>
                <w:rFonts w:hAnsi="Tahoma" w:eastAsia="宋体" w:cstheme="minorBidi"/>
                <w:kern w:val="0"/>
                <w:sz w:val="24"/>
                <w:szCs w:val="22"/>
              </w:rPr>
              <w:t>标准</w:t>
            </w:r>
          </w:p>
          <w:p>
            <w:pPr>
              <w:widowControl/>
              <w:adjustRightInd w:val="0"/>
              <w:snapToGrid w:val="0"/>
              <w:spacing w:line="520" w:lineRule="exact"/>
              <w:ind w:firstLine="480" w:firstLineChars="200"/>
              <w:rPr>
                <w:rFonts w:hAnsi="Tahoma" w:eastAsia="宋体" w:cstheme="minorBidi"/>
                <w:kern w:val="0"/>
                <w:sz w:val="24"/>
              </w:rPr>
            </w:pPr>
            <w:r>
              <w:rPr>
                <w:rFonts w:hint="eastAsia" w:hAnsi="Tahoma" w:eastAsia="宋体" w:cstheme="minorBidi"/>
                <w:kern w:val="0"/>
                <w:sz w:val="24"/>
              </w:rPr>
              <w:t>本工程</w:t>
            </w:r>
            <w:r>
              <w:rPr>
                <w:rFonts w:hAnsi="Tahoma" w:eastAsia="宋体" w:cstheme="minorBidi"/>
                <w:kern w:val="0"/>
                <w:sz w:val="24"/>
              </w:rPr>
              <w:t>工频电场</w:t>
            </w:r>
            <w:r>
              <w:rPr>
                <w:rFonts w:hint="eastAsia" w:hAnsi="Tahoma" w:eastAsia="宋体" w:cstheme="minorBidi"/>
                <w:kern w:val="0"/>
                <w:sz w:val="24"/>
              </w:rPr>
              <w:t>强度和工频磁感应强度执行</w:t>
            </w:r>
            <w:r>
              <w:rPr>
                <w:rFonts w:hAnsi="Tahoma" w:eastAsia="宋体" w:cstheme="minorBidi"/>
                <w:kern w:val="0"/>
                <w:sz w:val="24"/>
              </w:rPr>
              <w:t>《电磁环境控制限值》（</w:t>
            </w:r>
            <w:r>
              <w:rPr>
                <w:rFonts w:eastAsia="宋体" w:cstheme="minorBidi"/>
                <w:kern w:val="0"/>
                <w:sz w:val="24"/>
              </w:rPr>
              <w:t>GB8702-2014</w:t>
            </w:r>
            <w:r>
              <w:rPr>
                <w:rFonts w:hAnsi="Tahoma" w:eastAsia="宋体" w:cstheme="minorBidi"/>
                <w:kern w:val="0"/>
                <w:sz w:val="24"/>
              </w:rPr>
              <w:t>）</w:t>
            </w:r>
            <w:r>
              <w:rPr>
                <w:rFonts w:eastAsia="宋体"/>
                <w:sz w:val="24"/>
              </w:rPr>
              <w:t>4kV/m</w:t>
            </w:r>
            <w:r>
              <w:rPr>
                <w:rFonts w:hint="eastAsia" w:eastAsia="宋体"/>
                <w:sz w:val="24"/>
              </w:rPr>
              <w:t>和</w:t>
            </w:r>
            <w:r>
              <w:rPr>
                <w:rFonts w:eastAsia="宋体"/>
                <w:sz w:val="24"/>
              </w:rPr>
              <w:t>0.1mT</w:t>
            </w:r>
            <w:r>
              <w:rPr>
                <w:rFonts w:hint="eastAsia" w:eastAsia="宋体"/>
                <w:sz w:val="24"/>
              </w:rPr>
              <w:t>公众</w:t>
            </w:r>
            <w:r>
              <w:rPr>
                <w:rFonts w:hAnsi="Tahoma" w:eastAsia="宋体" w:cstheme="minorBidi"/>
                <w:kern w:val="0"/>
                <w:sz w:val="24"/>
              </w:rPr>
              <w:t>暴露控制限值。</w:t>
            </w:r>
            <w:r>
              <w:rPr>
                <w:rFonts w:hint="eastAsia" w:hAnsi="Tahoma" w:eastAsia="宋体" w:cstheme="minorBidi"/>
                <w:kern w:val="0"/>
                <w:sz w:val="24"/>
              </w:rPr>
              <w:t>电磁环境评价标准限值见表3-1。</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3044"/>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01" w:type="pct"/>
                  <w:tcBorders>
                    <w:top w:val="single" w:color="auto" w:sz="12" w:space="0"/>
                    <w:left w:val="nil"/>
                  </w:tcBorders>
                  <w:vAlign w:val="center"/>
                </w:tcPr>
                <w:p>
                  <w:pPr>
                    <w:spacing w:line="360" w:lineRule="exact"/>
                    <w:jc w:val="center"/>
                    <w:rPr>
                      <w:rFonts w:eastAsia="宋体"/>
                      <w:sz w:val="21"/>
                      <w:szCs w:val="21"/>
                    </w:rPr>
                  </w:pPr>
                  <w:r>
                    <w:rPr>
                      <w:rFonts w:hAnsi="宋体" w:eastAsia="宋体"/>
                      <w:sz w:val="21"/>
                      <w:szCs w:val="21"/>
                    </w:rPr>
                    <w:t>污染物名称</w:t>
                  </w:r>
                </w:p>
              </w:tc>
              <w:tc>
                <w:tcPr>
                  <w:tcW w:w="1961" w:type="pct"/>
                  <w:tcBorders>
                    <w:top w:val="single" w:color="auto" w:sz="12" w:space="0"/>
                    <w:right w:val="single" w:color="auto" w:sz="4" w:space="0"/>
                  </w:tcBorders>
                  <w:vAlign w:val="center"/>
                </w:tcPr>
                <w:p>
                  <w:pPr>
                    <w:spacing w:line="360" w:lineRule="exact"/>
                    <w:jc w:val="center"/>
                    <w:rPr>
                      <w:rFonts w:eastAsia="宋体"/>
                      <w:sz w:val="21"/>
                      <w:szCs w:val="21"/>
                    </w:rPr>
                  </w:pPr>
                  <w:r>
                    <w:rPr>
                      <w:rFonts w:hAnsi="宋体" w:eastAsia="宋体"/>
                      <w:sz w:val="21"/>
                      <w:szCs w:val="21"/>
                    </w:rPr>
                    <w:t>评价标准</w:t>
                  </w:r>
                </w:p>
              </w:tc>
              <w:tc>
                <w:tcPr>
                  <w:tcW w:w="1738" w:type="pct"/>
                  <w:tcBorders>
                    <w:top w:val="single" w:color="auto" w:sz="12" w:space="0"/>
                    <w:left w:val="single" w:color="auto" w:sz="4" w:space="0"/>
                    <w:right w:val="nil"/>
                  </w:tcBorders>
                  <w:vAlign w:val="center"/>
                </w:tcPr>
                <w:p>
                  <w:pPr>
                    <w:spacing w:line="360" w:lineRule="exact"/>
                    <w:jc w:val="center"/>
                    <w:rPr>
                      <w:rFonts w:eastAsia="宋体"/>
                      <w:sz w:val="21"/>
                      <w:szCs w:val="21"/>
                    </w:rPr>
                  </w:pPr>
                  <w:r>
                    <w:rPr>
                      <w:rFonts w:hAnsi="宋体" w:eastAsia="宋体"/>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1" w:type="pct"/>
                  <w:tcBorders>
                    <w:left w:val="nil"/>
                  </w:tcBorders>
                  <w:vAlign w:val="center"/>
                </w:tcPr>
                <w:p>
                  <w:pPr>
                    <w:spacing w:line="360" w:lineRule="exact"/>
                    <w:jc w:val="center"/>
                    <w:rPr>
                      <w:rFonts w:eastAsia="宋体"/>
                      <w:sz w:val="21"/>
                      <w:szCs w:val="21"/>
                    </w:rPr>
                  </w:pPr>
                  <w:r>
                    <w:rPr>
                      <w:rFonts w:hAnsi="宋体" w:eastAsia="宋体"/>
                      <w:sz w:val="21"/>
                      <w:szCs w:val="21"/>
                    </w:rPr>
                    <w:t>工频电场</w:t>
                  </w:r>
                </w:p>
              </w:tc>
              <w:tc>
                <w:tcPr>
                  <w:tcW w:w="1961" w:type="pct"/>
                  <w:tcBorders>
                    <w:right w:val="single" w:color="auto" w:sz="4" w:space="0"/>
                  </w:tcBorders>
                  <w:vAlign w:val="center"/>
                </w:tcPr>
                <w:p>
                  <w:pPr>
                    <w:spacing w:line="360" w:lineRule="exact"/>
                    <w:jc w:val="center"/>
                    <w:rPr>
                      <w:rFonts w:eastAsia="宋体"/>
                      <w:sz w:val="21"/>
                      <w:szCs w:val="21"/>
                    </w:rPr>
                  </w:pPr>
                  <w:r>
                    <w:rPr>
                      <w:rFonts w:hint="eastAsia" w:eastAsia="宋体"/>
                      <w:sz w:val="21"/>
                      <w:szCs w:val="21"/>
                    </w:rPr>
                    <w:t>公众</w:t>
                  </w:r>
                  <w:r>
                    <w:rPr>
                      <w:rFonts w:hAnsi="Tahoma" w:eastAsia="宋体" w:cstheme="minorBidi"/>
                      <w:kern w:val="0"/>
                      <w:sz w:val="21"/>
                      <w:szCs w:val="21"/>
                    </w:rPr>
                    <w:t>暴露控制限值</w:t>
                  </w:r>
                  <w:r>
                    <w:rPr>
                      <w:rFonts w:eastAsia="宋体"/>
                      <w:sz w:val="21"/>
                      <w:szCs w:val="21"/>
                    </w:rPr>
                    <w:t>4kV/m</w:t>
                  </w:r>
                </w:p>
              </w:tc>
              <w:tc>
                <w:tcPr>
                  <w:tcW w:w="1738" w:type="pct"/>
                  <w:vMerge w:val="restart"/>
                  <w:tcBorders>
                    <w:left w:val="single" w:color="auto" w:sz="4" w:space="0"/>
                    <w:right w:val="nil"/>
                  </w:tcBorders>
                  <w:vAlign w:val="center"/>
                </w:tcPr>
                <w:p>
                  <w:pPr>
                    <w:spacing w:line="360" w:lineRule="exact"/>
                    <w:jc w:val="center"/>
                    <w:rPr>
                      <w:rFonts w:eastAsia="宋体"/>
                      <w:sz w:val="21"/>
                      <w:szCs w:val="21"/>
                    </w:rPr>
                  </w:pPr>
                  <w:r>
                    <w:rPr>
                      <w:rFonts w:hAnsi="宋体" w:eastAsia="宋体"/>
                      <w:sz w:val="21"/>
                      <w:szCs w:val="21"/>
                    </w:rPr>
                    <w:t>《电磁环境控制限值》（</w:t>
                  </w:r>
                  <w:r>
                    <w:rPr>
                      <w:rFonts w:eastAsia="宋体"/>
                      <w:sz w:val="21"/>
                      <w:szCs w:val="21"/>
                    </w:rPr>
                    <w:t>GB8702 - 2014</w:t>
                  </w:r>
                  <w:r>
                    <w:rPr>
                      <w:rFonts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01" w:type="pct"/>
                  <w:tcBorders>
                    <w:left w:val="nil"/>
                    <w:bottom w:val="single" w:color="auto" w:sz="12" w:space="0"/>
                  </w:tcBorders>
                  <w:vAlign w:val="center"/>
                </w:tcPr>
                <w:p>
                  <w:pPr>
                    <w:spacing w:line="360" w:lineRule="exact"/>
                    <w:jc w:val="center"/>
                    <w:rPr>
                      <w:rFonts w:eastAsia="宋体"/>
                      <w:sz w:val="21"/>
                      <w:szCs w:val="21"/>
                    </w:rPr>
                  </w:pPr>
                  <w:r>
                    <w:rPr>
                      <w:rFonts w:hAnsi="宋体" w:eastAsia="宋体"/>
                      <w:sz w:val="21"/>
                      <w:szCs w:val="21"/>
                    </w:rPr>
                    <w:t>工频磁感应强度</w:t>
                  </w:r>
                </w:p>
              </w:tc>
              <w:tc>
                <w:tcPr>
                  <w:tcW w:w="1961" w:type="pct"/>
                  <w:tcBorders>
                    <w:bottom w:val="single" w:color="auto" w:sz="12" w:space="0"/>
                    <w:right w:val="single" w:color="auto" w:sz="4" w:space="0"/>
                  </w:tcBorders>
                  <w:vAlign w:val="center"/>
                </w:tcPr>
                <w:p>
                  <w:pPr>
                    <w:spacing w:line="360" w:lineRule="exact"/>
                    <w:jc w:val="center"/>
                    <w:rPr>
                      <w:rFonts w:eastAsia="宋体"/>
                      <w:sz w:val="21"/>
                      <w:szCs w:val="21"/>
                    </w:rPr>
                  </w:pPr>
                  <w:r>
                    <w:rPr>
                      <w:rFonts w:hint="eastAsia" w:eastAsia="宋体"/>
                      <w:sz w:val="21"/>
                      <w:szCs w:val="21"/>
                    </w:rPr>
                    <w:t>公众</w:t>
                  </w:r>
                  <w:r>
                    <w:rPr>
                      <w:rFonts w:hAnsi="Tahoma" w:eastAsia="宋体" w:cstheme="minorBidi"/>
                      <w:kern w:val="0"/>
                      <w:sz w:val="21"/>
                      <w:szCs w:val="21"/>
                    </w:rPr>
                    <w:t>暴露控制限值</w:t>
                  </w:r>
                  <w:r>
                    <w:rPr>
                      <w:rFonts w:eastAsia="宋体"/>
                      <w:sz w:val="21"/>
                      <w:szCs w:val="21"/>
                    </w:rPr>
                    <w:t>0.1mT</w:t>
                  </w:r>
                </w:p>
              </w:tc>
              <w:tc>
                <w:tcPr>
                  <w:tcW w:w="1738" w:type="pct"/>
                  <w:vMerge w:val="continue"/>
                  <w:tcBorders>
                    <w:left w:val="single" w:color="auto" w:sz="4" w:space="0"/>
                    <w:bottom w:val="single" w:color="auto" w:sz="12" w:space="0"/>
                    <w:right w:val="nil"/>
                  </w:tcBorders>
                  <w:vAlign w:val="center"/>
                </w:tcPr>
                <w:p>
                  <w:pPr>
                    <w:spacing w:line="360" w:lineRule="exact"/>
                    <w:jc w:val="center"/>
                    <w:rPr>
                      <w:rFonts w:eastAsia="宋体"/>
                      <w:sz w:val="21"/>
                      <w:szCs w:val="21"/>
                    </w:rPr>
                  </w:pPr>
                </w:p>
              </w:tc>
            </w:tr>
          </w:tbl>
          <w:p>
            <w:pPr>
              <w:widowControl/>
              <w:adjustRightInd w:val="0"/>
              <w:snapToGrid w:val="0"/>
              <w:spacing w:line="520" w:lineRule="exact"/>
              <w:ind w:firstLine="480" w:firstLineChars="200"/>
              <w:rPr>
                <w:rFonts w:eastAsia="宋体" w:cstheme="minorBidi"/>
                <w:kern w:val="0"/>
                <w:sz w:val="24"/>
              </w:rPr>
            </w:pPr>
            <w:r>
              <w:rPr>
                <w:rFonts w:hint="eastAsia" w:hAnsi="宋体" w:eastAsia="宋体" w:cstheme="minorBidi"/>
                <w:kern w:val="0"/>
                <w:sz w:val="24"/>
              </w:rPr>
              <w:t>2、</w:t>
            </w:r>
            <w:r>
              <w:rPr>
                <w:rFonts w:hAnsi="宋体" w:eastAsia="宋体" w:cstheme="minorBidi"/>
                <w:kern w:val="0"/>
                <w:sz w:val="24"/>
              </w:rPr>
              <w:t>声环境</w:t>
            </w:r>
            <w:r>
              <w:rPr>
                <w:rFonts w:hint="eastAsia" w:hAnsi="宋体" w:eastAsia="宋体" w:cstheme="minorBidi"/>
                <w:kern w:val="0"/>
                <w:sz w:val="24"/>
              </w:rPr>
              <w:t>标准</w:t>
            </w:r>
          </w:p>
          <w:p>
            <w:pPr>
              <w:widowControl/>
              <w:adjustRightInd w:val="0"/>
              <w:snapToGrid w:val="0"/>
              <w:spacing w:line="520" w:lineRule="exact"/>
              <w:ind w:firstLine="480" w:firstLineChars="200"/>
              <w:rPr>
                <w:rFonts w:hAnsi="宋体" w:eastAsia="宋体" w:cstheme="minorBidi"/>
                <w:kern w:val="0"/>
                <w:sz w:val="24"/>
              </w:rPr>
            </w:pPr>
            <w:r>
              <w:rPr>
                <w:rFonts w:hAnsi="宋体" w:eastAsia="宋体" w:cstheme="minorBidi"/>
                <w:kern w:val="0"/>
                <w:sz w:val="24"/>
              </w:rPr>
              <w:t>本工程升压站</w:t>
            </w:r>
            <w:r>
              <w:rPr>
                <w:rFonts w:hint="eastAsia" w:hAnsi="宋体" w:eastAsia="宋体" w:cstheme="minorBidi"/>
                <w:kern w:val="0"/>
                <w:sz w:val="24"/>
              </w:rPr>
              <w:t>评价范围内声环境敏感目标所在区域执行</w:t>
            </w:r>
            <w:r>
              <w:rPr>
                <w:rFonts w:hAnsi="宋体" w:eastAsia="宋体" w:cstheme="minorBidi"/>
                <w:kern w:val="0"/>
                <w:sz w:val="24"/>
              </w:rPr>
              <w:t>《声环境质量标准》（</w:t>
            </w:r>
            <w:r>
              <w:rPr>
                <w:rFonts w:eastAsia="宋体" w:cstheme="minorBidi"/>
                <w:kern w:val="0"/>
                <w:sz w:val="24"/>
              </w:rPr>
              <w:t>GB3096-2008</w:t>
            </w:r>
            <w:r>
              <w:rPr>
                <w:rFonts w:hAnsi="宋体" w:eastAsia="宋体" w:cstheme="minorBidi"/>
                <w:kern w:val="0"/>
                <w:sz w:val="24"/>
              </w:rPr>
              <w:t>）中规定的</w:t>
            </w:r>
            <w:r>
              <w:rPr>
                <w:rFonts w:eastAsia="宋体" w:cstheme="minorBidi"/>
                <w:kern w:val="0"/>
                <w:sz w:val="24"/>
              </w:rPr>
              <w:t>1</w:t>
            </w:r>
            <w:r>
              <w:rPr>
                <w:rFonts w:hAnsi="宋体" w:eastAsia="宋体" w:cstheme="minorBidi"/>
                <w:kern w:val="0"/>
                <w:sz w:val="24"/>
              </w:rPr>
              <w:t>类声环境功能区</w:t>
            </w:r>
            <w:r>
              <w:rPr>
                <w:rFonts w:hint="eastAsia" w:hAnsi="宋体" w:eastAsia="宋体" w:cstheme="minorBidi"/>
                <w:kern w:val="0"/>
                <w:sz w:val="24"/>
              </w:rPr>
              <w:t>，具体评价标准限值见表 3-2。</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4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4" w:type="pct"/>
                  <w:vAlign w:val="center"/>
                </w:tcPr>
                <w:p>
                  <w:pPr>
                    <w:spacing w:line="360" w:lineRule="exact"/>
                    <w:jc w:val="center"/>
                    <w:rPr>
                      <w:rFonts w:eastAsia="宋体"/>
                      <w:sz w:val="21"/>
                      <w:szCs w:val="21"/>
                    </w:rPr>
                  </w:pPr>
                  <w:r>
                    <w:rPr>
                      <w:rFonts w:hint="eastAsia" w:hAnsi="宋体" w:eastAsia="宋体"/>
                      <w:sz w:val="21"/>
                      <w:szCs w:val="21"/>
                    </w:rPr>
                    <w:t>评价标准</w:t>
                  </w:r>
                </w:p>
              </w:tc>
              <w:tc>
                <w:tcPr>
                  <w:tcW w:w="3006" w:type="pct"/>
                  <w:vAlign w:val="center"/>
                </w:tcPr>
                <w:p>
                  <w:pPr>
                    <w:spacing w:line="360" w:lineRule="exact"/>
                    <w:jc w:val="center"/>
                    <w:rPr>
                      <w:rFonts w:eastAsia="宋体"/>
                      <w:sz w:val="21"/>
                      <w:szCs w:val="21"/>
                    </w:rPr>
                  </w:pPr>
                  <w:r>
                    <w:rPr>
                      <w:rFonts w:hAnsi="宋体" w:eastAsia="宋体"/>
                      <w:sz w:val="21"/>
                      <w:szCs w:val="21"/>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4" w:type="pct"/>
                  <w:vAlign w:val="center"/>
                </w:tcPr>
                <w:p>
                  <w:pPr>
                    <w:spacing w:line="360" w:lineRule="exact"/>
                    <w:jc w:val="center"/>
                    <w:rPr>
                      <w:rFonts w:eastAsia="宋体"/>
                      <w:sz w:val="21"/>
                      <w:szCs w:val="21"/>
                    </w:rPr>
                  </w:pPr>
                  <w:r>
                    <w:rPr>
                      <w:rFonts w:hint="eastAsia" w:eastAsia="宋体"/>
                      <w:sz w:val="21"/>
                      <w:szCs w:val="21"/>
                    </w:rPr>
                    <w:t>昼间</w:t>
                  </w:r>
                  <w:r>
                    <w:rPr>
                      <w:rFonts w:eastAsia="宋体" w:cstheme="minorBidi"/>
                      <w:kern w:val="0"/>
                      <w:sz w:val="21"/>
                      <w:szCs w:val="21"/>
                    </w:rPr>
                    <w:t>55dB（A）</w:t>
                  </w:r>
                </w:p>
              </w:tc>
              <w:tc>
                <w:tcPr>
                  <w:tcW w:w="3006" w:type="pct"/>
                  <w:vMerge w:val="restart"/>
                  <w:vAlign w:val="center"/>
                </w:tcPr>
                <w:p>
                  <w:pPr>
                    <w:spacing w:line="360" w:lineRule="exact"/>
                    <w:jc w:val="center"/>
                    <w:rPr>
                      <w:rFonts w:eastAsia="宋体"/>
                      <w:sz w:val="21"/>
                      <w:szCs w:val="21"/>
                    </w:rPr>
                  </w:pPr>
                  <w:r>
                    <w:rPr>
                      <w:rFonts w:hAnsi="宋体" w:eastAsia="宋体" w:cstheme="minorBidi"/>
                      <w:kern w:val="0"/>
                      <w:sz w:val="21"/>
                      <w:szCs w:val="21"/>
                    </w:rPr>
                    <w:t>《声环境质量标准》（</w:t>
                  </w:r>
                  <w:r>
                    <w:rPr>
                      <w:rFonts w:eastAsia="宋体" w:cstheme="minorBidi"/>
                      <w:kern w:val="0"/>
                      <w:sz w:val="21"/>
                      <w:szCs w:val="21"/>
                    </w:rPr>
                    <w:t>GB3096-2008</w:t>
                  </w:r>
                  <w:r>
                    <w:rPr>
                      <w:rFonts w:hAnsi="宋体" w:eastAsia="宋体" w:cstheme="minorBidi"/>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4" w:type="pct"/>
                  <w:vAlign w:val="center"/>
                </w:tcPr>
                <w:p>
                  <w:pPr>
                    <w:spacing w:line="360" w:lineRule="exact"/>
                    <w:jc w:val="center"/>
                    <w:rPr>
                      <w:rFonts w:eastAsia="宋体"/>
                      <w:sz w:val="21"/>
                      <w:szCs w:val="21"/>
                    </w:rPr>
                  </w:pPr>
                  <w:r>
                    <w:rPr>
                      <w:rFonts w:hAnsi="宋体" w:eastAsia="宋体" w:cstheme="minorBidi"/>
                      <w:kern w:val="0"/>
                      <w:sz w:val="21"/>
                      <w:szCs w:val="21"/>
                    </w:rPr>
                    <w:t>夜间</w:t>
                  </w:r>
                  <w:r>
                    <w:rPr>
                      <w:rFonts w:eastAsia="宋体" w:cstheme="minorBidi"/>
                      <w:kern w:val="0"/>
                      <w:sz w:val="21"/>
                      <w:szCs w:val="21"/>
                    </w:rPr>
                    <w:t>45dB（A）</w:t>
                  </w:r>
                </w:p>
              </w:tc>
              <w:tc>
                <w:tcPr>
                  <w:tcW w:w="3006" w:type="pct"/>
                  <w:vMerge w:val="continue"/>
                  <w:vAlign w:val="center"/>
                </w:tcPr>
                <w:p>
                  <w:pPr>
                    <w:spacing w:line="360" w:lineRule="exact"/>
                    <w:jc w:val="center"/>
                    <w:rPr>
                      <w:rFonts w:eastAsia="宋体"/>
                      <w:sz w:val="21"/>
                      <w:szCs w:val="21"/>
                    </w:rPr>
                  </w:pPr>
                </w:p>
              </w:tc>
            </w:tr>
          </w:tbl>
          <w:p>
            <w:pPr>
              <w:widowControl/>
              <w:adjustRightInd w:val="0"/>
              <w:snapToGrid w:val="0"/>
              <w:spacing w:line="520" w:lineRule="exact"/>
              <w:ind w:firstLine="480" w:firstLineChars="200"/>
              <w:rPr>
                <w:rFonts w:hAnsi="宋体" w:eastAsia="宋体" w:cstheme="minorBidi"/>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9" w:hRule="atLeast"/>
        </w:trPr>
        <w:tc>
          <w:tcPr>
            <w:tcW w:w="534" w:type="dxa"/>
          </w:tcPr>
          <w:p>
            <w:pPr>
              <w:rPr>
                <w:rFonts w:eastAsia="宋体"/>
                <w:sz w:val="21"/>
                <w:szCs w:val="21"/>
              </w:rPr>
            </w:pPr>
          </w:p>
          <w:p>
            <w:pPr>
              <w:spacing w:line="520" w:lineRule="exact"/>
              <w:rPr>
                <w:rFonts w:hAnsi="宋体" w:eastAsia="宋体"/>
                <w:sz w:val="24"/>
              </w:rPr>
            </w:pPr>
            <w:r>
              <w:rPr>
                <w:rFonts w:hAnsi="宋体" w:eastAsia="宋体"/>
                <w:sz w:val="24"/>
              </w:rPr>
              <w:t>污染物排放或控制标准</w:t>
            </w:r>
          </w:p>
          <w:p>
            <w:pPr>
              <w:outlineLvl w:val="0"/>
              <w:rPr>
                <w:rFonts w:eastAsia="宋体"/>
                <w:b/>
                <w:bCs/>
                <w:sz w:val="24"/>
                <w:szCs w:val="30"/>
              </w:rPr>
            </w:pPr>
          </w:p>
        </w:tc>
        <w:tc>
          <w:tcPr>
            <w:tcW w:w="7988" w:type="dxa"/>
          </w:tcPr>
          <w:p>
            <w:pPr>
              <w:spacing w:line="520" w:lineRule="exact"/>
              <w:ind w:firstLine="480" w:firstLineChars="200"/>
              <w:rPr>
                <w:rFonts w:hAnsi="宋体" w:eastAsia="宋体"/>
                <w:sz w:val="24"/>
              </w:rPr>
            </w:pPr>
            <w:r>
              <w:rPr>
                <w:rFonts w:hAnsi="宋体" w:eastAsia="宋体"/>
                <w:sz w:val="24"/>
              </w:rPr>
              <w:t>1、施工期施工粉尘排放执行《大气污染物综合排放标准》（GB16297-1996）无组织颗粒物排放标准。</w:t>
            </w:r>
          </w:p>
          <w:p>
            <w:pPr>
              <w:spacing w:line="520" w:lineRule="exact"/>
              <w:ind w:firstLine="480" w:firstLineChars="200"/>
              <w:rPr>
                <w:rFonts w:hAnsi="宋体" w:eastAsia="宋体"/>
                <w:sz w:val="24"/>
              </w:rPr>
            </w:pPr>
            <w:r>
              <w:rPr>
                <w:rFonts w:hAnsi="宋体" w:eastAsia="宋体"/>
                <w:sz w:val="24"/>
              </w:rPr>
              <w:t>2、噪声</w:t>
            </w:r>
          </w:p>
          <w:p>
            <w:pPr>
              <w:spacing w:line="520" w:lineRule="exact"/>
              <w:ind w:firstLine="480" w:firstLineChars="200"/>
              <w:rPr>
                <w:rFonts w:hAnsi="宋体" w:eastAsia="宋体"/>
                <w:sz w:val="24"/>
              </w:rPr>
            </w:pPr>
            <w:r>
              <w:rPr>
                <w:rFonts w:hAnsi="宋体" w:eastAsia="宋体"/>
                <w:sz w:val="24"/>
              </w:rPr>
              <w:t>（1）厂界环境噪声排放标准：</w:t>
            </w:r>
          </w:p>
          <w:p>
            <w:pPr>
              <w:spacing w:line="520" w:lineRule="exact"/>
              <w:ind w:firstLine="480" w:firstLineChars="200"/>
              <w:rPr>
                <w:rFonts w:hAnsi="宋体" w:eastAsia="宋体"/>
                <w:sz w:val="24"/>
              </w:rPr>
            </w:pPr>
            <w:r>
              <w:rPr>
                <w:rFonts w:hAnsi="宋体" w:eastAsia="宋体"/>
                <w:sz w:val="24"/>
              </w:rPr>
              <w:t>执行《工业企业厂界环境噪声排放标准》（GB12348-2008）1类标准：昼间为55dB（A），夜间为45dB（A）。</w:t>
            </w:r>
          </w:p>
          <w:p>
            <w:pPr>
              <w:spacing w:line="520" w:lineRule="exact"/>
              <w:ind w:firstLine="480" w:firstLineChars="200"/>
              <w:rPr>
                <w:rFonts w:hAnsi="宋体" w:eastAsia="宋体"/>
                <w:sz w:val="24"/>
              </w:rPr>
            </w:pPr>
            <w:r>
              <w:rPr>
                <w:rFonts w:hAnsi="宋体" w:eastAsia="宋体"/>
                <w:sz w:val="24"/>
              </w:rPr>
              <w:t>（2）施工场界环境噪声排放标准：</w:t>
            </w:r>
          </w:p>
          <w:p>
            <w:pPr>
              <w:spacing w:line="520" w:lineRule="exact"/>
              <w:ind w:firstLine="480" w:firstLineChars="200"/>
              <w:rPr>
                <w:rFonts w:hAnsi="宋体" w:eastAsia="宋体"/>
                <w:sz w:val="24"/>
              </w:rPr>
            </w:pPr>
            <w:r>
              <w:rPr>
                <w:rFonts w:hAnsi="宋体" w:eastAsia="宋体"/>
                <w:sz w:val="24"/>
              </w:rPr>
              <w:t>执行《建筑施工场界环境噪声排放标准》（GB12523-2011）。</w:t>
            </w:r>
          </w:p>
          <w:p>
            <w:pPr>
              <w:spacing w:line="520" w:lineRule="exact"/>
              <w:ind w:firstLine="480" w:firstLineChars="200"/>
              <w:rPr>
                <w:rFonts w:hAnsi="宋体" w:eastAsia="宋体"/>
                <w:sz w:val="24"/>
              </w:rPr>
            </w:pPr>
            <w:r>
              <w:rPr>
                <w:rFonts w:hAnsi="宋体" w:eastAsia="宋体"/>
                <w:sz w:val="24"/>
              </w:rPr>
              <w:t>3、固体废物</w:t>
            </w:r>
          </w:p>
          <w:p>
            <w:pPr>
              <w:spacing w:line="520" w:lineRule="exact"/>
              <w:ind w:firstLine="480" w:firstLineChars="200"/>
              <w:rPr>
                <w:rFonts w:hAnsi="宋体" w:eastAsia="宋体"/>
                <w:sz w:val="24"/>
              </w:rPr>
            </w:pPr>
            <w:r>
              <w:rPr>
                <w:rFonts w:hAnsi="宋体" w:eastAsia="宋体"/>
                <w:sz w:val="24"/>
              </w:rPr>
              <w:t>本项目营运期一般固体废物应执行《一般工业固体废物贮存、处置场污染控制标准》（GB18599-2001）及其修改单。《危险废物贮存污染控制标准》（GB18597-2001）及其修改单。</w:t>
            </w:r>
          </w:p>
          <w:p>
            <w:pPr>
              <w:spacing w:line="520" w:lineRule="exact"/>
              <w:ind w:firstLine="480" w:firstLineChars="200"/>
              <w:rPr>
                <w:rFonts w:hAnsi="宋体" w:eastAsia="宋体"/>
                <w:sz w:val="24"/>
              </w:rPr>
            </w:pPr>
            <w:r>
              <w:rPr>
                <w:rFonts w:hAnsi="宋体" w:eastAsia="宋体"/>
                <w:sz w:val="24"/>
              </w:rPr>
              <w:t>4、工频电场、工频磁场</w:t>
            </w:r>
          </w:p>
          <w:p>
            <w:pPr>
              <w:spacing w:line="520" w:lineRule="exact"/>
              <w:ind w:firstLine="480" w:firstLineChars="200"/>
              <w:rPr>
                <w:rFonts w:hAnsi="宋体" w:eastAsia="宋体"/>
                <w:sz w:val="24"/>
              </w:rPr>
            </w:pPr>
            <w:r>
              <w:rPr>
                <w:rFonts w:hAnsi="宋体" w:eastAsia="宋体"/>
                <w:sz w:val="24"/>
              </w:rPr>
              <w:t>《电磁环境控制限值》（GB8702 -2014）中相应标准值参见表3-1。</w:t>
            </w:r>
          </w:p>
          <w:p>
            <w:pPr>
              <w:pStyle w:val="4"/>
              <w:keepNext/>
              <w:pBdr>
                <w:bottom w:val="single" w:color="auto" w:sz="6" w:space="1"/>
              </w:pBdr>
              <w:tabs>
                <w:tab w:val="center" w:pos="4153"/>
                <w:tab w:val="right" w:pos="8306"/>
              </w:tabs>
              <w:snapToGrid w:val="0"/>
              <w:spacing w:line="520" w:lineRule="exact"/>
              <w:ind w:firstLine="480" w:firstLineChars="200"/>
              <w:rPr>
                <w:rFonts w:ascii="Times New Roman" w:hAnsi="Times New Roman"/>
                <w:sz w:val="24"/>
                <w:szCs w:val="21"/>
              </w:rPr>
            </w:pPr>
            <w:r>
              <w:rPr>
                <w:rFonts w:ascii="Times New Roman" w:hAnsi="黑体"/>
                <w:sz w:val="24"/>
                <w:szCs w:val="21"/>
              </w:rPr>
              <w:t>表</w:t>
            </w:r>
            <w:r>
              <w:rPr>
                <w:rFonts w:hint="eastAsia" w:ascii="Times New Roman" w:hAnsi="Times New Roman"/>
                <w:sz w:val="24"/>
                <w:szCs w:val="21"/>
              </w:rPr>
              <w:t>3-1</w:t>
            </w:r>
            <w:r>
              <w:rPr>
                <w:rFonts w:ascii="Times New Roman" w:hAnsi="Times New Roman"/>
                <w:sz w:val="24"/>
                <w:szCs w:val="21"/>
              </w:rPr>
              <w:t xml:space="preserve">         </w:t>
            </w:r>
            <w:r>
              <w:rPr>
                <w:rFonts w:ascii="Times New Roman" w:hAnsi="黑体"/>
                <w:sz w:val="24"/>
                <w:szCs w:val="21"/>
              </w:rPr>
              <w:t>工频电场、工频磁感应强度评价标准值</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3044"/>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01" w:type="pct"/>
                  <w:tcBorders>
                    <w:top w:val="single" w:color="auto" w:sz="12" w:space="0"/>
                    <w:left w:val="nil"/>
                  </w:tcBorders>
                  <w:vAlign w:val="center"/>
                </w:tcPr>
                <w:p>
                  <w:pPr>
                    <w:spacing w:line="360" w:lineRule="exact"/>
                    <w:jc w:val="center"/>
                    <w:rPr>
                      <w:rFonts w:eastAsia="宋体"/>
                      <w:sz w:val="21"/>
                      <w:szCs w:val="21"/>
                    </w:rPr>
                  </w:pPr>
                  <w:r>
                    <w:rPr>
                      <w:rFonts w:hAnsi="宋体" w:eastAsia="宋体"/>
                      <w:sz w:val="21"/>
                      <w:szCs w:val="21"/>
                    </w:rPr>
                    <w:t>污染物名称</w:t>
                  </w:r>
                </w:p>
              </w:tc>
              <w:tc>
                <w:tcPr>
                  <w:tcW w:w="1961" w:type="pct"/>
                  <w:tcBorders>
                    <w:top w:val="single" w:color="auto" w:sz="12" w:space="0"/>
                    <w:right w:val="single" w:color="auto" w:sz="4" w:space="0"/>
                  </w:tcBorders>
                  <w:vAlign w:val="center"/>
                </w:tcPr>
                <w:p>
                  <w:pPr>
                    <w:spacing w:line="360" w:lineRule="exact"/>
                    <w:jc w:val="center"/>
                    <w:rPr>
                      <w:rFonts w:eastAsia="宋体"/>
                      <w:sz w:val="21"/>
                      <w:szCs w:val="21"/>
                    </w:rPr>
                  </w:pPr>
                  <w:r>
                    <w:rPr>
                      <w:rFonts w:hAnsi="宋体" w:eastAsia="宋体"/>
                      <w:sz w:val="21"/>
                      <w:szCs w:val="21"/>
                    </w:rPr>
                    <w:t>评价标准</w:t>
                  </w:r>
                </w:p>
              </w:tc>
              <w:tc>
                <w:tcPr>
                  <w:tcW w:w="1738" w:type="pct"/>
                  <w:tcBorders>
                    <w:top w:val="single" w:color="auto" w:sz="12" w:space="0"/>
                    <w:left w:val="single" w:color="auto" w:sz="4" w:space="0"/>
                    <w:right w:val="nil"/>
                  </w:tcBorders>
                  <w:vAlign w:val="center"/>
                </w:tcPr>
                <w:p>
                  <w:pPr>
                    <w:spacing w:line="360" w:lineRule="exact"/>
                    <w:jc w:val="center"/>
                    <w:rPr>
                      <w:rFonts w:eastAsia="宋体"/>
                      <w:sz w:val="21"/>
                      <w:szCs w:val="21"/>
                    </w:rPr>
                  </w:pPr>
                  <w:r>
                    <w:rPr>
                      <w:rFonts w:hAnsi="宋体" w:eastAsia="宋体"/>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1" w:type="pct"/>
                  <w:tcBorders>
                    <w:left w:val="nil"/>
                  </w:tcBorders>
                  <w:vAlign w:val="center"/>
                </w:tcPr>
                <w:p>
                  <w:pPr>
                    <w:spacing w:line="360" w:lineRule="exact"/>
                    <w:jc w:val="center"/>
                    <w:rPr>
                      <w:rFonts w:eastAsia="宋体"/>
                      <w:sz w:val="21"/>
                      <w:szCs w:val="21"/>
                    </w:rPr>
                  </w:pPr>
                  <w:r>
                    <w:rPr>
                      <w:rFonts w:hAnsi="宋体" w:eastAsia="宋体"/>
                      <w:sz w:val="21"/>
                      <w:szCs w:val="21"/>
                    </w:rPr>
                    <w:t>工频电场</w:t>
                  </w:r>
                </w:p>
              </w:tc>
              <w:tc>
                <w:tcPr>
                  <w:tcW w:w="1961" w:type="pct"/>
                  <w:tcBorders>
                    <w:right w:val="single" w:color="auto" w:sz="4" w:space="0"/>
                  </w:tcBorders>
                  <w:vAlign w:val="center"/>
                </w:tcPr>
                <w:p>
                  <w:pPr>
                    <w:spacing w:line="360" w:lineRule="exact"/>
                    <w:jc w:val="center"/>
                    <w:rPr>
                      <w:rFonts w:eastAsia="宋体"/>
                      <w:sz w:val="21"/>
                      <w:szCs w:val="21"/>
                    </w:rPr>
                  </w:pPr>
                  <w:r>
                    <w:rPr>
                      <w:rFonts w:hAnsi="宋体" w:eastAsia="宋体"/>
                      <w:sz w:val="21"/>
                      <w:szCs w:val="21"/>
                    </w:rPr>
                    <w:t>居民区：</w:t>
                  </w:r>
                  <w:r>
                    <w:rPr>
                      <w:rFonts w:eastAsia="宋体"/>
                      <w:sz w:val="21"/>
                      <w:szCs w:val="21"/>
                    </w:rPr>
                    <w:t>4kV/m</w:t>
                  </w:r>
                </w:p>
              </w:tc>
              <w:tc>
                <w:tcPr>
                  <w:tcW w:w="1738" w:type="pct"/>
                  <w:vMerge w:val="restart"/>
                  <w:tcBorders>
                    <w:left w:val="single" w:color="auto" w:sz="4" w:space="0"/>
                    <w:right w:val="nil"/>
                  </w:tcBorders>
                  <w:vAlign w:val="center"/>
                </w:tcPr>
                <w:p>
                  <w:pPr>
                    <w:spacing w:line="360" w:lineRule="exact"/>
                    <w:jc w:val="center"/>
                    <w:rPr>
                      <w:rFonts w:eastAsia="宋体"/>
                      <w:sz w:val="21"/>
                      <w:szCs w:val="21"/>
                    </w:rPr>
                  </w:pPr>
                  <w:r>
                    <w:rPr>
                      <w:rFonts w:hAnsi="宋体" w:eastAsia="宋体"/>
                      <w:sz w:val="21"/>
                      <w:szCs w:val="21"/>
                    </w:rPr>
                    <w:t>《电磁环境控制限值》（</w:t>
                  </w:r>
                  <w:r>
                    <w:rPr>
                      <w:rFonts w:eastAsia="宋体"/>
                      <w:sz w:val="21"/>
                      <w:szCs w:val="21"/>
                    </w:rPr>
                    <w:t>GB8702 - 2014</w:t>
                  </w:r>
                  <w:r>
                    <w:rPr>
                      <w:rFonts w:hAnsi="宋体"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301" w:type="pct"/>
                  <w:tcBorders>
                    <w:left w:val="nil"/>
                    <w:bottom w:val="single" w:color="auto" w:sz="12" w:space="0"/>
                  </w:tcBorders>
                  <w:vAlign w:val="center"/>
                </w:tcPr>
                <w:p>
                  <w:pPr>
                    <w:spacing w:line="360" w:lineRule="exact"/>
                    <w:jc w:val="center"/>
                    <w:rPr>
                      <w:rFonts w:eastAsia="宋体"/>
                      <w:sz w:val="21"/>
                      <w:szCs w:val="21"/>
                    </w:rPr>
                  </w:pPr>
                  <w:r>
                    <w:rPr>
                      <w:rFonts w:hAnsi="宋体" w:eastAsia="宋体"/>
                      <w:sz w:val="21"/>
                      <w:szCs w:val="21"/>
                    </w:rPr>
                    <w:t>工频磁感应强度</w:t>
                  </w:r>
                </w:p>
              </w:tc>
              <w:tc>
                <w:tcPr>
                  <w:tcW w:w="1961" w:type="pct"/>
                  <w:tcBorders>
                    <w:bottom w:val="single" w:color="auto" w:sz="12" w:space="0"/>
                    <w:right w:val="single" w:color="auto" w:sz="4" w:space="0"/>
                  </w:tcBorders>
                  <w:vAlign w:val="center"/>
                </w:tcPr>
                <w:p>
                  <w:pPr>
                    <w:spacing w:line="360" w:lineRule="exact"/>
                    <w:jc w:val="center"/>
                    <w:rPr>
                      <w:rFonts w:eastAsia="宋体"/>
                      <w:sz w:val="21"/>
                      <w:szCs w:val="21"/>
                    </w:rPr>
                  </w:pPr>
                  <w:r>
                    <w:rPr>
                      <w:rFonts w:hAnsi="宋体" w:eastAsia="宋体"/>
                      <w:sz w:val="21"/>
                      <w:szCs w:val="21"/>
                    </w:rPr>
                    <w:t>居民区：</w:t>
                  </w:r>
                  <w:r>
                    <w:rPr>
                      <w:rFonts w:eastAsia="宋体"/>
                      <w:sz w:val="21"/>
                      <w:szCs w:val="21"/>
                    </w:rPr>
                    <w:t>0.1mT</w:t>
                  </w:r>
                </w:p>
              </w:tc>
              <w:tc>
                <w:tcPr>
                  <w:tcW w:w="1738" w:type="pct"/>
                  <w:vMerge w:val="continue"/>
                  <w:tcBorders>
                    <w:left w:val="single" w:color="auto" w:sz="4" w:space="0"/>
                    <w:bottom w:val="single" w:color="auto" w:sz="12" w:space="0"/>
                    <w:right w:val="nil"/>
                  </w:tcBorders>
                  <w:vAlign w:val="center"/>
                </w:tcPr>
                <w:p>
                  <w:pPr>
                    <w:spacing w:line="360" w:lineRule="exact"/>
                    <w:jc w:val="center"/>
                    <w:rPr>
                      <w:rFonts w:eastAsia="宋体"/>
                      <w:sz w:val="21"/>
                      <w:szCs w:val="21"/>
                    </w:rPr>
                  </w:pPr>
                </w:p>
              </w:tc>
            </w:tr>
          </w:tbl>
          <w:p>
            <w:pPr>
              <w:outlineLvl w:val="0"/>
              <w:rPr>
                <w:rFonts w:eastAsia="宋体"/>
                <w:b/>
                <w:bCs/>
                <w:sz w:val="24"/>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tcPr>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rPr>
                <w:rFonts w:hAnsi="宋体" w:eastAsia="宋体"/>
                <w:sz w:val="24"/>
              </w:rPr>
            </w:pPr>
            <w:r>
              <w:rPr>
                <w:rFonts w:hAnsi="宋体" w:eastAsia="宋体"/>
                <w:sz w:val="24"/>
              </w:rPr>
              <w:t>总量控制指标</w:t>
            </w: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rPr>
                <w:rFonts w:hAnsi="宋体" w:eastAsia="宋体"/>
                <w:sz w:val="24"/>
              </w:rPr>
            </w:pPr>
          </w:p>
        </w:tc>
        <w:tc>
          <w:tcPr>
            <w:tcW w:w="7988" w:type="dxa"/>
          </w:tcPr>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rPr>
                <w:rFonts w:hAnsi="宋体" w:eastAsia="宋体"/>
                <w:sz w:val="24"/>
              </w:rPr>
            </w:pPr>
          </w:p>
          <w:p>
            <w:pPr>
              <w:spacing w:line="520" w:lineRule="exact"/>
              <w:ind w:firstLine="480" w:firstLineChars="200"/>
              <w:jc w:val="center"/>
              <w:rPr>
                <w:rFonts w:hAnsi="宋体" w:eastAsia="宋体"/>
                <w:sz w:val="24"/>
              </w:rPr>
            </w:pPr>
            <w:r>
              <w:rPr>
                <w:rFonts w:hint="eastAsia" w:hAnsi="宋体" w:eastAsia="宋体"/>
                <w:sz w:val="24"/>
              </w:rPr>
              <w:t>不涉及</w:t>
            </w:r>
          </w:p>
        </w:tc>
      </w:tr>
    </w:tbl>
    <w:p>
      <w:pPr>
        <w:outlineLvl w:val="0"/>
        <w:rPr>
          <w:rFonts w:eastAsia="宋体"/>
          <w:b/>
          <w:bCs/>
          <w:sz w:val="30"/>
          <w:szCs w:val="30"/>
        </w:rPr>
      </w:pPr>
      <w:bookmarkStart w:id="21" w:name="_Toc37923283"/>
      <w:r>
        <w:rPr>
          <w:rFonts w:hint="eastAsia" w:eastAsia="宋体"/>
          <w:b/>
          <w:bCs/>
          <w:sz w:val="30"/>
          <w:szCs w:val="30"/>
        </w:rPr>
        <w:t>四、</w:t>
      </w:r>
      <w:r>
        <w:rPr>
          <w:rFonts w:eastAsia="宋体"/>
          <w:b/>
          <w:bCs/>
          <w:sz w:val="30"/>
          <w:szCs w:val="30"/>
        </w:rPr>
        <w:t>环境质量状况</w:t>
      </w:r>
      <w:bookmarkEnd w:id="21"/>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2" w:type="dxa"/>
          </w:tcPr>
          <w:p>
            <w:pPr>
              <w:spacing w:line="520" w:lineRule="exact"/>
              <w:rPr>
                <w:rFonts w:ascii="黑体" w:hAnsi="黑体" w:eastAsia="黑体"/>
                <w:szCs w:val="28"/>
              </w:rPr>
            </w:pPr>
            <w:r>
              <w:rPr>
                <w:rFonts w:ascii="黑体" w:hAnsi="黑体" w:eastAsia="黑体"/>
                <w:szCs w:val="28"/>
              </w:rPr>
              <w:t>建设项目所在地区域环境现状及主要环境问题</w:t>
            </w:r>
            <w:r>
              <w:rPr>
                <w:rFonts w:hint="eastAsia" w:ascii="黑体" w:hAnsi="黑体" w:eastAsia="黑体"/>
                <w:szCs w:val="28"/>
              </w:rPr>
              <w:t>（声环境和电磁环境）</w:t>
            </w:r>
          </w:p>
          <w:p>
            <w:pPr>
              <w:adjustRightInd w:val="0"/>
              <w:snapToGrid w:val="0"/>
              <w:spacing w:line="520" w:lineRule="exact"/>
              <w:jc w:val="left"/>
              <w:rPr>
                <w:rFonts w:eastAsia="宋体"/>
                <w:b/>
                <w:sz w:val="24"/>
                <w:szCs w:val="28"/>
              </w:rPr>
            </w:pPr>
            <w:r>
              <w:rPr>
                <w:rFonts w:hint="eastAsia" w:eastAsia="宋体"/>
                <w:b/>
                <w:sz w:val="24"/>
                <w:szCs w:val="28"/>
              </w:rPr>
              <w:t>4.1评价等级、</w:t>
            </w:r>
            <w:r>
              <w:rPr>
                <w:rFonts w:eastAsia="宋体"/>
                <w:b/>
                <w:sz w:val="24"/>
                <w:szCs w:val="28"/>
              </w:rPr>
              <w:t>评价范围及</w:t>
            </w:r>
            <w:r>
              <w:rPr>
                <w:rFonts w:hint="eastAsia" w:eastAsia="宋体"/>
                <w:b/>
                <w:sz w:val="24"/>
                <w:szCs w:val="28"/>
              </w:rPr>
              <w:t>评价范围内</w:t>
            </w:r>
            <w:r>
              <w:rPr>
                <w:rFonts w:eastAsia="宋体"/>
                <w:b/>
                <w:sz w:val="24"/>
                <w:szCs w:val="28"/>
              </w:rPr>
              <w:t>环境保护目标</w:t>
            </w:r>
          </w:p>
          <w:p>
            <w:pPr>
              <w:adjustRightInd w:val="0"/>
              <w:snapToGrid w:val="0"/>
              <w:spacing w:line="520" w:lineRule="exact"/>
              <w:jc w:val="left"/>
              <w:rPr>
                <w:rFonts w:eastAsia="宋体"/>
                <w:b/>
                <w:spacing w:val="-2"/>
                <w:kern w:val="16"/>
                <w:sz w:val="24"/>
              </w:rPr>
            </w:pPr>
            <w:r>
              <w:rPr>
                <w:rFonts w:eastAsia="宋体"/>
                <w:b/>
                <w:sz w:val="24"/>
                <w:szCs w:val="28"/>
              </w:rPr>
              <w:t>4.1.1</w:t>
            </w:r>
            <w:r>
              <w:rPr>
                <w:rFonts w:eastAsia="宋体"/>
                <w:b/>
                <w:spacing w:val="-2"/>
                <w:kern w:val="16"/>
                <w:sz w:val="24"/>
              </w:rPr>
              <w:t>环境影响评价</w:t>
            </w:r>
            <w:r>
              <w:rPr>
                <w:rFonts w:hint="eastAsia" w:eastAsia="宋体"/>
                <w:b/>
                <w:spacing w:val="-2"/>
                <w:kern w:val="16"/>
                <w:sz w:val="24"/>
              </w:rPr>
              <w:t>等级</w:t>
            </w:r>
          </w:p>
          <w:p>
            <w:pPr>
              <w:spacing w:line="520" w:lineRule="exact"/>
              <w:ind w:firstLine="480" w:firstLineChars="200"/>
              <w:textAlignment w:val="center"/>
              <w:rPr>
                <w:rFonts w:eastAsia="宋体"/>
                <w:sz w:val="24"/>
              </w:rPr>
            </w:pPr>
            <w:r>
              <w:rPr>
                <w:rFonts w:hAnsi="宋体" w:eastAsia="宋体"/>
                <w:sz w:val="24"/>
              </w:rPr>
              <w:t>（</w:t>
            </w:r>
            <w:r>
              <w:rPr>
                <w:rFonts w:eastAsia="宋体"/>
                <w:sz w:val="24"/>
              </w:rPr>
              <w:t>1</w:t>
            </w:r>
            <w:r>
              <w:rPr>
                <w:rFonts w:hAnsi="宋体" w:eastAsia="宋体"/>
                <w:sz w:val="24"/>
              </w:rPr>
              <w:t>）电磁环境</w:t>
            </w:r>
          </w:p>
          <w:p>
            <w:pPr>
              <w:spacing w:line="520" w:lineRule="exact"/>
              <w:ind w:firstLine="480" w:firstLineChars="200"/>
              <w:textAlignment w:val="center"/>
              <w:rPr>
                <w:rFonts w:eastAsia="宋体"/>
                <w:sz w:val="24"/>
              </w:rPr>
            </w:pPr>
            <w:r>
              <w:rPr>
                <w:rFonts w:hAnsi="宋体" w:eastAsia="宋体"/>
                <w:sz w:val="24"/>
              </w:rPr>
              <w:t>根据《环境影响评价技术导则</w:t>
            </w:r>
            <w:r>
              <w:rPr>
                <w:rFonts w:eastAsia="宋体"/>
                <w:sz w:val="24"/>
              </w:rPr>
              <w:t>-</w:t>
            </w:r>
            <w:r>
              <w:rPr>
                <w:rFonts w:hAnsi="宋体" w:eastAsia="宋体"/>
                <w:sz w:val="24"/>
              </w:rPr>
              <w:t>输变电工程》（</w:t>
            </w:r>
            <w:r>
              <w:rPr>
                <w:rFonts w:eastAsia="宋体"/>
                <w:sz w:val="24"/>
              </w:rPr>
              <w:t>HJ24-2014</w:t>
            </w:r>
            <w:r>
              <w:rPr>
                <w:rFonts w:hAnsi="宋体" w:eastAsia="宋体"/>
                <w:sz w:val="24"/>
              </w:rPr>
              <w:t>），本工程升压站主变户外布置，升压站电磁环境按二级进行评价；输电线路边导线地面投影外两侧各</w:t>
            </w:r>
            <w:r>
              <w:rPr>
                <w:rFonts w:eastAsia="宋体"/>
                <w:sz w:val="24"/>
              </w:rPr>
              <w:t>10m</w:t>
            </w:r>
            <w:r>
              <w:rPr>
                <w:rFonts w:hAnsi="宋体" w:eastAsia="宋体"/>
                <w:sz w:val="24"/>
              </w:rPr>
              <w:t>范围内</w:t>
            </w:r>
            <w:r>
              <w:rPr>
                <w:rFonts w:hint="eastAsia" w:hAnsi="宋体" w:eastAsia="宋体"/>
                <w:sz w:val="24"/>
              </w:rPr>
              <w:t>无</w:t>
            </w:r>
            <w:r>
              <w:rPr>
                <w:rFonts w:hAnsi="宋体" w:eastAsia="宋体"/>
                <w:sz w:val="24"/>
              </w:rPr>
              <w:t>敏感点，电磁环境按</w:t>
            </w:r>
            <w:r>
              <w:rPr>
                <w:rFonts w:hint="eastAsia" w:hAnsi="宋体" w:eastAsia="宋体"/>
                <w:sz w:val="24"/>
              </w:rPr>
              <w:t>三</w:t>
            </w:r>
            <w:r>
              <w:rPr>
                <w:rFonts w:hAnsi="宋体" w:eastAsia="宋体"/>
                <w:sz w:val="24"/>
              </w:rPr>
              <w:t>级进行评价</w:t>
            </w:r>
            <w:r>
              <w:rPr>
                <w:rFonts w:hint="eastAsia" w:hAnsi="宋体" w:eastAsia="宋体"/>
                <w:sz w:val="24"/>
              </w:rPr>
              <w:t>，当</w:t>
            </w:r>
            <w:r>
              <w:rPr>
                <w:rFonts w:hint="eastAsia" w:eastAsia="宋体"/>
                <w:color w:val="000000"/>
                <w:kern w:val="0"/>
                <w:sz w:val="24"/>
              </w:rPr>
              <w:t>进行电磁环境影响评价工作等级划分时，如工程涉及多个电压等级或涉及到交、直流的组合时，应以相应的最高工作等级进行评价，因此本项目升压站及</w:t>
            </w:r>
            <w:r>
              <w:rPr>
                <w:rFonts w:hAnsi="宋体" w:eastAsia="宋体"/>
                <w:sz w:val="24"/>
              </w:rPr>
              <w:t>线路电磁环境按二级进行评价。</w:t>
            </w:r>
          </w:p>
          <w:p>
            <w:pPr>
              <w:spacing w:line="520" w:lineRule="exact"/>
              <w:ind w:firstLine="480" w:firstLineChars="200"/>
              <w:textAlignment w:val="center"/>
              <w:rPr>
                <w:rFonts w:eastAsia="宋体"/>
                <w:sz w:val="24"/>
              </w:rPr>
            </w:pPr>
            <w:r>
              <w:rPr>
                <w:rFonts w:hAnsi="宋体" w:eastAsia="宋体"/>
                <w:sz w:val="24"/>
              </w:rPr>
              <w:t>（</w:t>
            </w:r>
            <w:r>
              <w:rPr>
                <w:rFonts w:eastAsia="宋体"/>
                <w:sz w:val="24"/>
              </w:rPr>
              <w:t>2</w:t>
            </w:r>
            <w:r>
              <w:rPr>
                <w:rFonts w:hAnsi="宋体" w:eastAsia="宋体"/>
                <w:sz w:val="24"/>
              </w:rPr>
              <w:t>）声环境</w:t>
            </w:r>
          </w:p>
          <w:p>
            <w:pPr>
              <w:spacing w:line="520" w:lineRule="exact"/>
              <w:ind w:firstLine="480" w:firstLineChars="200"/>
              <w:rPr>
                <w:rFonts w:eastAsia="宋体"/>
                <w:sz w:val="24"/>
              </w:rPr>
            </w:pPr>
            <w:r>
              <w:rPr>
                <w:rFonts w:hAnsi="宋体" w:eastAsia="宋体"/>
                <w:sz w:val="24"/>
              </w:rPr>
              <w:t>根据《环境影响评价技术导则</w:t>
            </w:r>
            <w:r>
              <w:rPr>
                <w:rFonts w:eastAsia="宋体"/>
                <w:sz w:val="24"/>
              </w:rPr>
              <w:t>-</w:t>
            </w:r>
            <w:r>
              <w:rPr>
                <w:rFonts w:hAnsi="宋体" w:eastAsia="宋体"/>
                <w:sz w:val="24"/>
              </w:rPr>
              <w:t>声环境》（</w:t>
            </w:r>
            <w:r>
              <w:rPr>
                <w:rFonts w:eastAsia="宋体"/>
                <w:sz w:val="24"/>
              </w:rPr>
              <w:t>HJ2.4-2009</w:t>
            </w:r>
            <w:r>
              <w:rPr>
                <w:rFonts w:hAnsi="宋体" w:eastAsia="宋体"/>
                <w:sz w:val="24"/>
              </w:rPr>
              <w:t>）中规定的声环境影响评价工作等级，本工程所处的声环境功能区为</w:t>
            </w:r>
            <w:r>
              <w:rPr>
                <w:rFonts w:eastAsia="宋体"/>
                <w:sz w:val="24"/>
              </w:rPr>
              <w:t>1</w:t>
            </w:r>
            <w:r>
              <w:rPr>
                <w:rFonts w:hAnsi="宋体" w:eastAsia="宋体"/>
                <w:sz w:val="24"/>
              </w:rPr>
              <w:t>类区，因此，本工程声环境评价等级按二级进行评价。</w:t>
            </w:r>
          </w:p>
          <w:p>
            <w:pPr>
              <w:spacing w:line="520" w:lineRule="exact"/>
              <w:ind w:firstLine="480" w:firstLineChars="200"/>
              <w:rPr>
                <w:rFonts w:eastAsia="宋体"/>
                <w:sz w:val="24"/>
              </w:rPr>
            </w:pPr>
            <w:r>
              <w:rPr>
                <w:rFonts w:eastAsia="宋体"/>
                <w:sz w:val="24"/>
              </w:rPr>
              <w:t>3</w:t>
            </w:r>
            <w:r>
              <w:rPr>
                <w:rFonts w:hAnsi="宋体" w:eastAsia="宋体"/>
                <w:sz w:val="24"/>
              </w:rPr>
              <w:t>、生态环境</w:t>
            </w:r>
          </w:p>
          <w:p>
            <w:pPr>
              <w:spacing w:line="520" w:lineRule="exact"/>
              <w:ind w:firstLine="480" w:firstLineChars="200"/>
              <w:textAlignment w:val="center"/>
              <w:rPr>
                <w:rFonts w:eastAsia="宋体"/>
                <w:sz w:val="24"/>
              </w:rPr>
            </w:pPr>
            <w:r>
              <w:rPr>
                <w:rFonts w:hAnsi="宋体" w:eastAsia="宋体"/>
                <w:sz w:val="24"/>
              </w:rPr>
              <w:t>根据《环境影响评价技术导则生态影响》（</w:t>
            </w:r>
            <w:r>
              <w:rPr>
                <w:rFonts w:eastAsia="宋体"/>
                <w:sz w:val="24"/>
              </w:rPr>
              <w:t>HJ19-2011</w:t>
            </w:r>
            <w:r>
              <w:rPr>
                <w:rFonts w:hAnsi="宋体" w:eastAsia="宋体"/>
                <w:sz w:val="24"/>
              </w:rPr>
              <w:t>），本工程生态敏感性为一般区域，面积≦</w:t>
            </w:r>
            <w:r>
              <w:rPr>
                <w:rFonts w:eastAsia="宋体"/>
                <w:sz w:val="24"/>
              </w:rPr>
              <w:t>2</w:t>
            </w:r>
            <w:r>
              <w:rPr>
                <w:rFonts w:hAnsi="宋体" w:eastAsia="宋体"/>
                <w:sz w:val="24"/>
              </w:rPr>
              <w:t>平方千米，评价工作等级为三级，生态环境评价仅进行简要分析。</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4.1.2、环境影响评价范围</w:t>
            </w:r>
          </w:p>
          <w:p>
            <w:pPr>
              <w:autoSpaceDE w:val="0"/>
              <w:autoSpaceDN w:val="0"/>
              <w:adjustRightInd w:val="0"/>
              <w:spacing w:line="520" w:lineRule="exact"/>
              <w:ind w:firstLine="472" w:firstLineChars="200"/>
              <w:rPr>
                <w:rFonts w:eastAsia="宋体"/>
                <w:spacing w:val="-2"/>
                <w:kern w:val="16"/>
                <w:sz w:val="24"/>
              </w:rPr>
            </w:pPr>
            <w:r>
              <w:rPr>
                <w:rFonts w:eastAsia="宋体"/>
                <w:spacing w:val="-2"/>
                <w:kern w:val="16"/>
                <w:sz w:val="24"/>
              </w:rPr>
              <w:t>（1）工频电场、工频磁场</w:t>
            </w:r>
          </w:p>
          <w:p>
            <w:pPr>
              <w:spacing w:line="520" w:lineRule="exact"/>
              <w:ind w:firstLine="480" w:firstLineChars="200"/>
              <w:textAlignment w:val="center"/>
              <w:rPr>
                <w:rFonts w:eastAsia="宋体"/>
              </w:rPr>
            </w:pPr>
            <w:r>
              <w:rPr>
                <w:rFonts w:eastAsia="宋体"/>
                <w:sz w:val="24"/>
              </w:rPr>
              <w:t>升压站：110kV升压站站界外30m。</w:t>
            </w:r>
          </w:p>
          <w:p>
            <w:pPr>
              <w:spacing w:line="520" w:lineRule="exact"/>
              <w:ind w:firstLine="480" w:firstLineChars="200"/>
              <w:textAlignment w:val="center"/>
              <w:rPr>
                <w:rFonts w:eastAsia="宋体"/>
                <w:sz w:val="24"/>
              </w:rPr>
            </w:pPr>
            <w:r>
              <w:rPr>
                <w:rFonts w:eastAsia="宋体"/>
                <w:sz w:val="24"/>
              </w:rPr>
              <w:t>架空输电线路：输电线路边导线地面投影外两侧各30m。</w:t>
            </w:r>
          </w:p>
          <w:p>
            <w:pPr>
              <w:autoSpaceDE w:val="0"/>
              <w:autoSpaceDN w:val="0"/>
              <w:adjustRightInd w:val="0"/>
              <w:spacing w:line="520" w:lineRule="exact"/>
              <w:ind w:firstLine="472" w:firstLineChars="200"/>
              <w:rPr>
                <w:rFonts w:eastAsia="宋体"/>
                <w:spacing w:val="-2"/>
                <w:kern w:val="16"/>
                <w:sz w:val="24"/>
              </w:rPr>
            </w:pPr>
            <w:r>
              <w:rPr>
                <w:rFonts w:eastAsia="宋体"/>
                <w:spacing w:val="-2"/>
                <w:kern w:val="16"/>
                <w:sz w:val="24"/>
              </w:rPr>
              <w:t>（2）噪声</w:t>
            </w:r>
          </w:p>
          <w:p>
            <w:pPr>
              <w:spacing w:line="520" w:lineRule="exact"/>
              <w:ind w:firstLine="480" w:firstLineChars="200"/>
              <w:textAlignment w:val="center"/>
              <w:rPr>
                <w:rFonts w:eastAsia="宋体"/>
              </w:rPr>
            </w:pPr>
            <w:r>
              <w:rPr>
                <w:rFonts w:eastAsia="宋体"/>
                <w:sz w:val="24"/>
              </w:rPr>
              <w:t>升压站：升压站边界向外200m。</w:t>
            </w:r>
          </w:p>
          <w:p>
            <w:pPr>
              <w:autoSpaceDE w:val="0"/>
              <w:autoSpaceDN w:val="0"/>
              <w:adjustRightInd w:val="0"/>
              <w:spacing w:line="520" w:lineRule="exact"/>
              <w:ind w:firstLine="480" w:firstLineChars="200"/>
              <w:rPr>
                <w:rFonts w:eastAsia="宋体"/>
                <w:sz w:val="24"/>
              </w:rPr>
            </w:pPr>
            <w:r>
              <w:rPr>
                <w:rFonts w:eastAsia="宋体"/>
                <w:sz w:val="24"/>
              </w:rPr>
              <w:t>架空输电线路：输电线路边导线地面投影外两侧各30m。</w:t>
            </w:r>
          </w:p>
          <w:p>
            <w:pPr>
              <w:autoSpaceDE w:val="0"/>
              <w:autoSpaceDN w:val="0"/>
              <w:adjustRightInd w:val="0"/>
              <w:spacing w:line="520" w:lineRule="exact"/>
              <w:ind w:firstLine="472" w:firstLineChars="200"/>
              <w:rPr>
                <w:rFonts w:eastAsia="宋体"/>
                <w:spacing w:val="-2"/>
                <w:kern w:val="16"/>
                <w:sz w:val="24"/>
              </w:rPr>
            </w:pPr>
            <w:r>
              <w:rPr>
                <w:rFonts w:eastAsia="宋体"/>
                <w:spacing w:val="-2"/>
                <w:kern w:val="16"/>
                <w:sz w:val="24"/>
              </w:rPr>
              <w:t>（3）生态环境</w:t>
            </w:r>
          </w:p>
          <w:p>
            <w:pPr>
              <w:autoSpaceDE w:val="0"/>
              <w:autoSpaceDN w:val="0"/>
              <w:adjustRightInd w:val="0"/>
              <w:spacing w:line="520" w:lineRule="exact"/>
              <w:ind w:firstLine="472" w:firstLineChars="200"/>
              <w:rPr>
                <w:rFonts w:eastAsia="宋体"/>
                <w:spacing w:val="-2"/>
                <w:kern w:val="16"/>
                <w:sz w:val="24"/>
              </w:rPr>
            </w:pPr>
            <w:r>
              <w:rPr>
                <w:rFonts w:eastAsia="宋体"/>
                <w:spacing w:val="-2"/>
                <w:kern w:val="16"/>
                <w:sz w:val="24"/>
              </w:rPr>
              <w:t>升压站：升压站围墙外500m内。</w:t>
            </w:r>
          </w:p>
          <w:p>
            <w:pPr>
              <w:spacing w:line="520" w:lineRule="exact"/>
              <w:rPr>
                <w:rFonts w:eastAsia="宋体"/>
                <w:sz w:val="24"/>
                <w:szCs w:val="28"/>
              </w:rPr>
            </w:pPr>
            <w:r>
              <w:rPr>
                <w:rFonts w:eastAsia="宋体"/>
                <w:spacing w:val="-2"/>
                <w:kern w:val="16"/>
                <w:sz w:val="24"/>
              </w:rPr>
              <w:t>输电线路：输电线路边导线地面投影外两侧各300m带状区域。</w:t>
            </w:r>
          </w:p>
          <w:p>
            <w:pPr>
              <w:autoSpaceDE w:val="0"/>
              <w:autoSpaceDN w:val="0"/>
              <w:adjustRightInd w:val="0"/>
              <w:spacing w:line="480" w:lineRule="exact"/>
              <w:rPr>
                <w:rFonts w:eastAsia="宋体"/>
                <w:b/>
                <w:spacing w:val="-2"/>
                <w:kern w:val="16"/>
                <w:sz w:val="24"/>
              </w:rPr>
            </w:pPr>
            <w:r>
              <w:rPr>
                <w:rFonts w:eastAsia="宋体"/>
                <w:b/>
                <w:spacing w:val="-2"/>
                <w:kern w:val="16"/>
                <w:sz w:val="24"/>
              </w:rPr>
              <w:t>主要环境保护目标：</w:t>
            </w:r>
          </w:p>
          <w:p>
            <w:pPr>
              <w:autoSpaceDE w:val="0"/>
              <w:autoSpaceDN w:val="0"/>
              <w:adjustRightInd w:val="0"/>
              <w:spacing w:line="480" w:lineRule="exact"/>
              <w:ind w:firstLine="472" w:firstLineChars="200"/>
              <w:rPr>
                <w:rFonts w:eastAsia="宋体"/>
                <w:spacing w:val="-2"/>
                <w:kern w:val="16"/>
                <w:sz w:val="24"/>
              </w:rPr>
            </w:pPr>
            <w:r>
              <w:rPr>
                <w:rFonts w:eastAsia="宋体"/>
                <w:spacing w:val="-2"/>
                <w:kern w:val="16"/>
                <w:sz w:val="24"/>
              </w:rPr>
              <w:t>（1）电磁及声环境保护目标</w:t>
            </w:r>
          </w:p>
          <w:p>
            <w:pPr>
              <w:autoSpaceDE w:val="0"/>
              <w:autoSpaceDN w:val="0"/>
              <w:adjustRightInd w:val="0"/>
              <w:spacing w:line="480" w:lineRule="exact"/>
              <w:ind w:firstLine="590" w:firstLineChars="250"/>
              <w:rPr>
                <w:rFonts w:eastAsia="宋体"/>
                <w:spacing w:val="-2"/>
                <w:kern w:val="16"/>
                <w:sz w:val="24"/>
              </w:rPr>
            </w:pPr>
            <w:r>
              <w:rPr>
                <w:rFonts w:eastAsia="宋体"/>
                <w:spacing w:val="-2"/>
                <w:kern w:val="16"/>
                <w:sz w:val="24"/>
              </w:rPr>
              <w:t>通过实地勘踏，</w:t>
            </w:r>
            <w:r>
              <w:rPr>
                <w:rFonts w:hint="eastAsia" w:eastAsia="宋体"/>
                <w:spacing w:val="-2"/>
                <w:kern w:val="16"/>
                <w:sz w:val="24"/>
              </w:rPr>
              <w:t>本项目</w:t>
            </w:r>
            <w:r>
              <w:rPr>
                <w:rFonts w:eastAsia="宋体"/>
                <w:spacing w:val="-2"/>
                <w:kern w:val="16"/>
                <w:sz w:val="24"/>
              </w:rPr>
              <w:t>升压站</w:t>
            </w:r>
            <w:r>
              <w:rPr>
                <w:rFonts w:hint="eastAsia" w:eastAsia="宋体"/>
                <w:spacing w:val="-2"/>
                <w:kern w:val="16"/>
                <w:sz w:val="24"/>
              </w:rPr>
              <w:t>的</w:t>
            </w:r>
            <w:r>
              <w:rPr>
                <w:rFonts w:eastAsia="宋体"/>
                <w:spacing w:val="-2"/>
                <w:kern w:val="16"/>
                <w:sz w:val="24"/>
              </w:rPr>
              <w:t>环境保护目标</w:t>
            </w:r>
            <w:r>
              <w:rPr>
                <w:rFonts w:hint="eastAsia" w:eastAsia="宋体"/>
                <w:spacing w:val="-2"/>
                <w:kern w:val="16"/>
                <w:sz w:val="24"/>
              </w:rPr>
              <w:t>为西南侧133m处的白坡头</w:t>
            </w:r>
            <w:r>
              <w:rPr>
                <w:rFonts w:eastAsia="宋体"/>
                <w:spacing w:val="-2"/>
                <w:kern w:val="16"/>
                <w:sz w:val="24"/>
              </w:rPr>
              <w:t>，</w:t>
            </w:r>
            <w:r>
              <w:rPr>
                <w:rFonts w:hint="eastAsia" w:eastAsia="宋体"/>
                <w:spacing w:val="-2"/>
                <w:kern w:val="16"/>
                <w:sz w:val="24"/>
              </w:rPr>
              <w:t>线路</w:t>
            </w:r>
            <w:r>
              <w:rPr>
                <w:rFonts w:eastAsia="宋体"/>
                <w:spacing w:val="-2"/>
                <w:kern w:val="16"/>
                <w:sz w:val="24"/>
              </w:rPr>
              <w:t>评价范围内共</w:t>
            </w:r>
            <w:r>
              <w:rPr>
                <w:rFonts w:hint="eastAsia" w:eastAsia="宋体"/>
                <w:spacing w:val="-2"/>
                <w:kern w:val="16"/>
                <w:sz w:val="24"/>
              </w:rPr>
              <w:t>有5处</w:t>
            </w:r>
            <w:r>
              <w:rPr>
                <w:rFonts w:eastAsia="宋体"/>
                <w:spacing w:val="-2"/>
                <w:kern w:val="16"/>
                <w:sz w:val="24"/>
              </w:rPr>
              <w:t>环境保护目标。工程主要环境保护目标概况见表4-1</w:t>
            </w:r>
            <w:r>
              <w:rPr>
                <w:rFonts w:hint="eastAsia" w:eastAsia="宋体"/>
                <w:spacing w:val="-2"/>
                <w:kern w:val="16"/>
                <w:sz w:val="24"/>
              </w:rPr>
              <w:t>和附图2</w:t>
            </w:r>
            <w:r>
              <w:rPr>
                <w:rFonts w:eastAsia="宋体"/>
                <w:spacing w:val="-2"/>
                <w:kern w:val="16"/>
                <w:sz w:val="24"/>
              </w:rPr>
              <w:t>。</w:t>
            </w:r>
          </w:p>
          <w:p>
            <w:pPr>
              <w:autoSpaceDE w:val="0"/>
              <w:autoSpaceDN w:val="0"/>
              <w:adjustRightInd w:val="0"/>
              <w:spacing w:line="480" w:lineRule="exact"/>
              <w:ind w:firstLine="472" w:firstLineChars="200"/>
              <w:rPr>
                <w:rFonts w:eastAsia="宋体"/>
                <w:spacing w:val="-2"/>
                <w:kern w:val="16"/>
                <w:sz w:val="24"/>
              </w:rPr>
            </w:pPr>
            <w:r>
              <w:rPr>
                <w:rFonts w:eastAsia="宋体"/>
                <w:spacing w:val="-2"/>
                <w:kern w:val="16"/>
                <w:sz w:val="24"/>
              </w:rPr>
              <w:t>（2 ） 生态环境保护目标</w:t>
            </w:r>
          </w:p>
          <w:p>
            <w:pPr>
              <w:autoSpaceDE w:val="0"/>
              <w:autoSpaceDN w:val="0"/>
              <w:adjustRightInd w:val="0"/>
              <w:spacing w:line="480" w:lineRule="exact"/>
              <w:ind w:firstLine="472" w:firstLineChars="200"/>
              <w:rPr>
                <w:rFonts w:eastAsia="宋体"/>
                <w:spacing w:val="-2"/>
                <w:kern w:val="16"/>
                <w:sz w:val="24"/>
              </w:rPr>
            </w:pPr>
            <w:r>
              <w:rPr>
                <w:rFonts w:eastAsia="宋体"/>
                <w:spacing w:val="-2"/>
                <w:kern w:val="16"/>
                <w:sz w:val="24"/>
              </w:rPr>
              <w:t>本工程不涉及自然保护区、风景名胜区等生态类环境敏感目标。</w:t>
            </w:r>
          </w:p>
          <w:p>
            <w:pPr>
              <w:pStyle w:val="4"/>
              <w:spacing w:line="480" w:lineRule="exact"/>
              <w:ind w:firstLine="480" w:firstLineChars="200"/>
              <w:rPr>
                <w:rFonts w:ascii="Times New Roman" w:hAnsi="Times New Roman"/>
                <w:sz w:val="22"/>
              </w:rPr>
            </w:pPr>
            <w:r>
              <w:rPr>
                <w:rFonts w:ascii="Times New Roman" w:hAnsi="黑体"/>
                <w:sz w:val="24"/>
                <w:szCs w:val="21"/>
              </w:rPr>
              <w:t>表</w:t>
            </w:r>
            <w:r>
              <w:rPr>
                <w:rFonts w:ascii="Times New Roman" w:hAnsi="Times New Roman"/>
                <w:sz w:val="24"/>
                <w:szCs w:val="21"/>
              </w:rPr>
              <w:t xml:space="preserve">4-1           </w:t>
            </w:r>
            <w:r>
              <w:rPr>
                <w:rFonts w:ascii="Times New Roman" w:hAnsi="黑体"/>
                <w:sz w:val="24"/>
                <w:szCs w:val="21"/>
              </w:rPr>
              <w:t>环境保护目标与本工程相对位置关系</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64"/>
              <w:gridCol w:w="108"/>
              <w:gridCol w:w="1595"/>
              <w:gridCol w:w="1562"/>
              <w:gridCol w:w="2126"/>
              <w:gridCol w:w="849"/>
              <w:gridCol w:w="15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gridSpan w:val="2"/>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序号</w:t>
                  </w:r>
                </w:p>
              </w:tc>
              <w:tc>
                <w:tcPr>
                  <w:tcW w:w="960"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敏感点名称</w:t>
                  </w:r>
                </w:p>
              </w:tc>
              <w:tc>
                <w:tcPr>
                  <w:tcW w:w="940"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所属行政区域</w:t>
                  </w:r>
                </w:p>
              </w:tc>
              <w:tc>
                <w:tcPr>
                  <w:tcW w:w="1280"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现状方位及距离</w:t>
                  </w:r>
                </w:p>
              </w:tc>
              <w:tc>
                <w:tcPr>
                  <w:tcW w:w="511"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规模</w:t>
                  </w:r>
                </w:p>
              </w:tc>
              <w:tc>
                <w:tcPr>
                  <w:tcW w:w="904"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房屋结构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7"/>
                  <w:vAlign w:val="center"/>
                </w:tcPr>
                <w:p>
                  <w:pPr>
                    <w:pStyle w:val="4"/>
                    <w:spacing w:line="360" w:lineRule="exact"/>
                    <w:jc w:val="center"/>
                    <w:rPr>
                      <w:rFonts w:ascii="Times New Roman" w:hAnsi="Times New Roman" w:eastAsia="宋体"/>
                      <w:sz w:val="21"/>
                      <w:szCs w:val="21"/>
                    </w:rPr>
                  </w:pPr>
                  <w:r>
                    <w:rPr>
                      <w:rFonts w:hint="eastAsia" w:ascii="Times New Roman" w:hAnsi="Times New Roman" w:eastAsia="宋体"/>
                      <w:sz w:val="21"/>
                      <w:szCs w:val="21"/>
                    </w:rPr>
                    <w:t>升压站声环境</w:t>
                  </w:r>
                  <w:r>
                    <w:rPr>
                      <w:rFonts w:ascii="Times New Roman" w:hAnsi="Times New Roman" w:eastAsia="宋体"/>
                      <w:sz w:val="21"/>
                      <w:szCs w:val="21"/>
                    </w:rPr>
                    <w:t>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0" w:type="pct"/>
                  <w:vAlign w:val="center"/>
                </w:tcPr>
                <w:p>
                  <w:pPr>
                    <w:pStyle w:val="4"/>
                    <w:spacing w:line="360" w:lineRule="exact"/>
                    <w:jc w:val="center"/>
                    <w:rPr>
                      <w:rFonts w:ascii="Times New Roman" w:hAnsi="Times New Roman" w:eastAsia="宋体"/>
                      <w:sz w:val="21"/>
                      <w:szCs w:val="21"/>
                    </w:rPr>
                  </w:pPr>
                  <w:r>
                    <w:rPr>
                      <w:rFonts w:hint="eastAsia" w:ascii="Times New Roman" w:hAnsi="Times New Roman" w:eastAsia="宋体"/>
                      <w:sz w:val="21"/>
                      <w:szCs w:val="21"/>
                    </w:rPr>
                    <w:t>1</w:t>
                  </w:r>
                </w:p>
              </w:tc>
              <w:tc>
                <w:tcPr>
                  <w:tcW w:w="1025" w:type="pct"/>
                  <w:gridSpan w:val="2"/>
                  <w:vAlign w:val="center"/>
                </w:tcPr>
                <w:p>
                  <w:pPr>
                    <w:spacing w:line="360" w:lineRule="exact"/>
                    <w:jc w:val="center"/>
                    <w:rPr>
                      <w:rFonts w:hAnsi="宋体" w:eastAsia="宋体"/>
                      <w:color w:val="000000" w:themeColor="text1"/>
                      <w:sz w:val="21"/>
                    </w:rPr>
                  </w:pPr>
                  <w:r>
                    <w:rPr>
                      <w:rFonts w:hint="eastAsia" w:hAnsi="宋体" w:eastAsia="宋体"/>
                      <w:color w:val="000000" w:themeColor="text1"/>
                      <w:sz w:val="21"/>
                    </w:rPr>
                    <w:t>白坡头（3户）</w:t>
                  </w:r>
                </w:p>
              </w:tc>
              <w:tc>
                <w:tcPr>
                  <w:tcW w:w="940" w:type="pct"/>
                  <w:vAlign w:val="center"/>
                </w:tcPr>
                <w:p>
                  <w:pPr>
                    <w:pStyle w:val="4"/>
                    <w:spacing w:line="360" w:lineRule="exact"/>
                    <w:jc w:val="center"/>
                    <w:rPr>
                      <w:rFonts w:ascii="Times New Roman" w:hAnsi="宋体" w:eastAsia="宋体"/>
                      <w:color w:val="000000" w:themeColor="text1"/>
                      <w:sz w:val="21"/>
                      <w:szCs w:val="21"/>
                    </w:rPr>
                  </w:pPr>
                  <w:r>
                    <w:rPr>
                      <w:rFonts w:ascii="Times New Roman" w:hAnsi="宋体" w:eastAsia="宋体"/>
                      <w:color w:val="000000" w:themeColor="text1"/>
                      <w:sz w:val="21"/>
                      <w:szCs w:val="21"/>
                    </w:rPr>
                    <w:t>禹州市</w:t>
                  </w:r>
                </w:p>
              </w:tc>
              <w:tc>
                <w:tcPr>
                  <w:tcW w:w="1280" w:type="pct"/>
                  <w:vAlign w:val="center"/>
                </w:tcPr>
                <w:p>
                  <w:pPr>
                    <w:pStyle w:val="4"/>
                    <w:spacing w:line="360" w:lineRule="exact"/>
                    <w:jc w:val="center"/>
                    <w:rPr>
                      <w:rFonts w:ascii="Times New Roman" w:hAnsi="宋体" w:eastAsia="宋体"/>
                      <w:color w:val="000000" w:themeColor="text1"/>
                      <w:sz w:val="21"/>
                      <w:szCs w:val="21"/>
                    </w:rPr>
                  </w:pPr>
                  <w:r>
                    <w:rPr>
                      <w:rFonts w:ascii="Times New Roman" w:hAnsi="Times New Roman" w:eastAsia="宋体"/>
                      <w:color w:val="000000" w:themeColor="text1"/>
                      <w:sz w:val="21"/>
                      <w:szCs w:val="21"/>
                    </w:rPr>
                    <w:t>升压站</w:t>
                  </w:r>
                  <w:r>
                    <w:rPr>
                      <w:rFonts w:hint="eastAsia" w:ascii="Times New Roman" w:hAnsi="Times New Roman" w:eastAsia="宋体"/>
                      <w:color w:val="000000" w:themeColor="text1"/>
                      <w:sz w:val="21"/>
                      <w:szCs w:val="21"/>
                    </w:rPr>
                    <w:t>西南侧133m</w:t>
                  </w:r>
                </w:p>
              </w:tc>
              <w:tc>
                <w:tcPr>
                  <w:tcW w:w="511" w:type="pct"/>
                  <w:vAlign w:val="center"/>
                </w:tcPr>
                <w:p>
                  <w:pPr>
                    <w:pStyle w:val="4"/>
                    <w:spacing w:line="360" w:lineRule="exact"/>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6-12人</w:t>
                  </w:r>
                </w:p>
              </w:tc>
              <w:tc>
                <w:tcPr>
                  <w:tcW w:w="904" w:type="pct"/>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平顶（2户）尖顶（1户）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7"/>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一、线路</w:t>
                  </w:r>
                  <w:r>
                    <w:rPr>
                      <w:rFonts w:hint="eastAsia" w:ascii="Times New Roman" w:hAnsi="Times New Roman" w:eastAsia="宋体"/>
                      <w:sz w:val="21"/>
                      <w:szCs w:val="21"/>
                    </w:rPr>
                    <w:t>电磁</w:t>
                  </w:r>
                  <w:r>
                    <w:rPr>
                      <w:rFonts w:ascii="Times New Roman" w:hAnsi="Times New Roman" w:eastAsia="宋体"/>
                      <w:sz w:val="21"/>
                      <w:szCs w:val="21"/>
                    </w:rPr>
                    <w:t>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0"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2</w:t>
                  </w:r>
                </w:p>
              </w:tc>
              <w:tc>
                <w:tcPr>
                  <w:tcW w:w="1025" w:type="pct"/>
                  <w:gridSpan w:val="2"/>
                  <w:vAlign w:val="center"/>
                </w:tcPr>
                <w:p>
                  <w:pPr>
                    <w:widowControl/>
                    <w:spacing w:line="360" w:lineRule="exact"/>
                    <w:jc w:val="center"/>
                    <w:rPr>
                      <w:rFonts w:eastAsia="宋体"/>
                      <w:color w:val="000000"/>
                      <w:kern w:val="0"/>
                      <w:sz w:val="21"/>
                    </w:rPr>
                  </w:pPr>
                  <w:r>
                    <w:rPr>
                      <w:rFonts w:hAnsi="宋体" w:eastAsia="宋体"/>
                      <w:color w:val="000000"/>
                      <w:kern w:val="0"/>
                      <w:sz w:val="21"/>
                    </w:rPr>
                    <w:t>杨桥村常海超家</w:t>
                  </w:r>
                </w:p>
              </w:tc>
              <w:tc>
                <w:tcPr>
                  <w:tcW w:w="94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禹州市</w:t>
                  </w:r>
                </w:p>
              </w:tc>
              <w:tc>
                <w:tcPr>
                  <w:tcW w:w="128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线北侧</w:t>
                  </w:r>
                  <w:r>
                    <w:rPr>
                      <w:rFonts w:ascii="Times New Roman" w:hAnsi="Times New Roman" w:eastAsia="宋体"/>
                      <w:sz w:val="21"/>
                      <w:szCs w:val="21"/>
                    </w:rPr>
                    <w:t>2</w:t>
                  </w:r>
                  <w:r>
                    <w:rPr>
                      <w:rFonts w:hint="eastAsia" w:ascii="Times New Roman" w:hAnsi="Times New Roman" w:eastAsia="宋体"/>
                      <w:sz w:val="21"/>
                      <w:szCs w:val="21"/>
                    </w:rPr>
                    <w:t>3</w:t>
                  </w:r>
                  <w:r>
                    <w:rPr>
                      <w:rFonts w:ascii="Times New Roman" w:hAnsi="Times New Roman" w:eastAsia="宋体"/>
                      <w:sz w:val="21"/>
                      <w:szCs w:val="21"/>
                    </w:rPr>
                    <w:t>m</w:t>
                  </w:r>
                </w:p>
              </w:tc>
              <w:tc>
                <w:tcPr>
                  <w:tcW w:w="511"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5-6</w:t>
                  </w:r>
                  <w:r>
                    <w:rPr>
                      <w:rFonts w:ascii="Times New Roman" w:hAnsi="宋体" w:eastAsia="宋体"/>
                      <w:sz w:val="21"/>
                      <w:szCs w:val="21"/>
                    </w:rPr>
                    <w:t>人</w:t>
                  </w:r>
                </w:p>
              </w:tc>
              <w:tc>
                <w:tcPr>
                  <w:tcW w:w="904" w:type="pct"/>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0"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3</w:t>
                  </w:r>
                </w:p>
              </w:tc>
              <w:tc>
                <w:tcPr>
                  <w:tcW w:w="1025" w:type="pct"/>
                  <w:gridSpan w:val="2"/>
                  <w:vAlign w:val="center"/>
                </w:tcPr>
                <w:p>
                  <w:pPr>
                    <w:spacing w:line="360" w:lineRule="exact"/>
                    <w:jc w:val="center"/>
                    <w:rPr>
                      <w:rFonts w:eastAsia="宋体"/>
                      <w:color w:val="000000"/>
                      <w:sz w:val="21"/>
                    </w:rPr>
                  </w:pPr>
                  <w:r>
                    <w:rPr>
                      <w:rFonts w:hAnsi="宋体" w:eastAsia="宋体"/>
                      <w:color w:val="000000"/>
                      <w:sz w:val="21"/>
                    </w:rPr>
                    <w:t>张垌村王娟家</w:t>
                  </w:r>
                </w:p>
              </w:tc>
              <w:tc>
                <w:tcPr>
                  <w:tcW w:w="94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禹州市</w:t>
                  </w:r>
                </w:p>
              </w:tc>
              <w:tc>
                <w:tcPr>
                  <w:tcW w:w="128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南</w:t>
                  </w:r>
                  <w:r>
                    <w:rPr>
                      <w:rFonts w:ascii="Times New Roman" w:hAnsi="宋体" w:eastAsia="宋体"/>
                      <w:sz w:val="21"/>
                      <w:szCs w:val="21"/>
                    </w:rPr>
                    <w:t>侧</w:t>
                  </w:r>
                  <w:r>
                    <w:rPr>
                      <w:rFonts w:hint="eastAsia" w:ascii="Times New Roman" w:hAnsi="Times New Roman" w:eastAsia="宋体"/>
                      <w:sz w:val="21"/>
                      <w:szCs w:val="21"/>
                    </w:rPr>
                    <w:t>12</w:t>
                  </w:r>
                  <w:r>
                    <w:rPr>
                      <w:rFonts w:ascii="Times New Roman" w:hAnsi="Times New Roman" w:eastAsia="宋体"/>
                      <w:sz w:val="21"/>
                      <w:szCs w:val="21"/>
                    </w:rPr>
                    <w:t>m</w:t>
                  </w:r>
                </w:p>
              </w:tc>
              <w:tc>
                <w:tcPr>
                  <w:tcW w:w="511" w:type="pct"/>
                  <w:vAlign w:val="center"/>
                </w:tcPr>
                <w:p>
                  <w:pPr>
                    <w:pStyle w:val="4"/>
                    <w:spacing w:line="360" w:lineRule="exact"/>
                    <w:jc w:val="center"/>
                    <w:rPr>
                      <w:rFonts w:ascii="Times New Roman" w:hAnsi="Times New Roman" w:eastAsia="宋体"/>
                      <w:sz w:val="21"/>
                    </w:rPr>
                  </w:pPr>
                  <w:r>
                    <w:rPr>
                      <w:rFonts w:ascii="Times New Roman" w:hAnsi="Times New Roman" w:eastAsia="宋体"/>
                      <w:sz w:val="21"/>
                      <w:szCs w:val="21"/>
                    </w:rPr>
                    <w:t>2-4</w:t>
                  </w:r>
                  <w:r>
                    <w:rPr>
                      <w:rFonts w:ascii="Times New Roman" w:hAnsi="宋体" w:eastAsia="宋体"/>
                      <w:sz w:val="21"/>
                      <w:szCs w:val="21"/>
                    </w:rPr>
                    <w:t>人</w:t>
                  </w:r>
                </w:p>
              </w:tc>
              <w:tc>
                <w:tcPr>
                  <w:tcW w:w="904" w:type="pct"/>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0"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4</w:t>
                  </w:r>
                </w:p>
              </w:tc>
              <w:tc>
                <w:tcPr>
                  <w:tcW w:w="1025" w:type="pct"/>
                  <w:gridSpan w:val="2"/>
                  <w:vAlign w:val="center"/>
                </w:tcPr>
                <w:p>
                  <w:pPr>
                    <w:spacing w:line="360" w:lineRule="exact"/>
                    <w:jc w:val="center"/>
                    <w:rPr>
                      <w:rFonts w:eastAsia="宋体"/>
                      <w:color w:val="000000"/>
                      <w:sz w:val="21"/>
                    </w:rPr>
                  </w:pPr>
                  <w:r>
                    <w:rPr>
                      <w:rFonts w:hAnsi="宋体" w:eastAsia="宋体"/>
                      <w:color w:val="000000"/>
                      <w:sz w:val="21"/>
                    </w:rPr>
                    <w:t>张垌村范国明家</w:t>
                  </w:r>
                </w:p>
              </w:tc>
              <w:tc>
                <w:tcPr>
                  <w:tcW w:w="94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禹州市</w:t>
                  </w:r>
                </w:p>
              </w:tc>
              <w:tc>
                <w:tcPr>
                  <w:tcW w:w="128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东北侧30m</w:t>
                  </w:r>
                </w:p>
              </w:tc>
              <w:tc>
                <w:tcPr>
                  <w:tcW w:w="511" w:type="pct"/>
                  <w:vAlign w:val="center"/>
                </w:tcPr>
                <w:p>
                  <w:pPr>
                    <w:pStyle w:val="4"/>
                    <w:spacing w:line="360" w:lineRule="exact"/>
                    <w:jc w:val="center"/>
                    <w:rPr>
                      <w:rFonts w:ascii="Times New Roman" w:hAnsi="Times New Roman" w:eastAsia="宋体"/>
                      <w:sz w:val="21"/>
                    </w:rPr>
                  </w:pPr>
                  <w:r>
                    <w:rPr>
                      <w:rFonts w:hint="eastAsia" w:ascii="Times New Roman" w:hAnsi="Times New Roman" w:eastAsia="宋体"/>
                      <w:sz w:val="21"/>
                      <w:szCs w:val="21"/>
                    </w:rPr>
                    <w:t>2-3</w:t>
                  </w:r>
                  <w:r>
                    <w:rPr>
                      <w:rFonts w:ascii="Times New Roman" w:hAnsi="宋体" w:eastAsia="宋体"/>
                      <w:sz w:val="21"/>
                      <w:szCs w:val="21"/>
                    </w:rPr>
                    <w:t>人</w:t>
                  </w:r>
                </w:p>
              </w:tc>
              <w:tc>
                <w:tcPr>
                  <w:tcW w:w="904" w:type="pct"/>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0" w:type="pct"/>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5</w:t>
                  </w:r>
                </w:p>
              </w:tc>
              <w:tc>
                <w:tcPr>
                  <w:tcW w:w="1025" w:type="pct"/>
                  <w:gridSpan w:val="2"/>
                  <w:vAlign w:val="center"/>
                </w:tcPr>
                <w:p>
                  <w:pPr>
                    <w:spacing w:line="360" w:lineRule="exact"/>
                    <w:jc w:val="center"/>
                    <w:rPr>
                      <w:rFonts w:eastAsia="宋体"/>
                      <w:color w:val="000000"/>
                      <w:sz w:val="21"/>
                    </w:rPr>
                  </w:pPr>
                  <w:r>
                    <w:rPr>
                      <w:rFonts w:hAnsi="宋体" w:eastAsia="宋体"/>
                      <w:color w:val="000000"/>
                      <w:sz w:val="21"/>
                    </w:rPr>
                    <w:t>黑龙沟于发海家</w:t>
                  </w:r>
                </w:p>
              </w:tc>
              <w:tc>
                <w:tcPr>
                  <w:tcW w:w="94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禹州市</w:t>
                  </w:r>
                </w:p>
              </w:tc>
              <w:tc>
                <w:tcPr>
                  <w:tcW w:w="128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511" w:type="pct"/>
                  <w:vAlign w:val="center"/>
                </w:tcPr>
                <w:p>
                  <w:pPr>
                    <w:pStyle w:val="4"/>
                    <w:spacing w:line="360" w:lineRule="exact"/>
                    <w:jc w:val="center"/>
                    <w:rPr>
                      <w:rFonts w:ascii="Times New Roman" w:hAnsi="Times New Roman" w:eastAsia="宋体"/>
                      <w:sz w:val="21"/>
                    </w:rPr>
                  </w:pPr>
                  <w:r>
                    <w:rPr>
                      <w:rFonts w:ascii="Times New Roman" w:hAnsi="Times New Roman" w:eastAsia="宋体"/>
                      <w:sz w:val="21"/>
                      <w:szCs w:val="21"/>
                    </w:rPr>
                    <w:t>2-4</w:t>
                  </w:r>
                  <w:r>
                    <w:rPr>
                      <w:rFonts w:ascii="Times New Roman" w:hAnsi="宋体" w:eastAsia="宋体"/>
                      <w:sz w:val="21"/>
                      <w:szCs w:val="21"/>
                    </w:rPr>
                    <w:t>人</w:t>
                  </w:r>
                </w:p>
              </w:tc>
              <w:tc>
                <w:tcPr>
                  <w:tcW w:w="904" w:type="pct"/>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0" w:type="pct"/>
                  <w:vAlign w:val="center"/>
                </w:tcPr>
                <w:p>
                  <w:pPr>
                    <w:pStyle w:val="4"/>
                    <w:spacing w:line="360" w:lineRule="exact"/>
                    <w:jc w:val="center"/>
                    <w:rPr>
                      <w:rFonts w:ascii="Times New Roman" w:hAnsi="Times New Roman" w:eastAsia="宋体"/>
                      <w:sz w:val="21"/>
                      <w:szCs w:val="21"/>
                    </w:rPr>
                  </w:pPr>
                  <w:r>
                    <w:rPr>
                      <w:rFonts w:hint="eastAsia" w:ascii="Times New Roman" w:hAnsi="Times New Roman" w:eastAsia="宋体"/>
                      <w:sz w:val="21"/>
                      <w:szCs w:val="21"/>
                    </w:rPr>
                    <w:t>6</w:t>
                  </w:r>
                </w:p>
              </w:tc>
              <w:tc>
                <w:tcPr>
                  <w:tcW w:w="1025" w:type="pct"/>
                  <w:gridSpan w:val="2"/>
                  <w:vAlign w:val="center"/>
                </w:tcPr>
                <w:p>
                  <w:pPr>
                    <w:spacing w:line="360" w:lineRule="exact"/>
                    <w:jc w:val="center"/>
                    <w:rPr>
                      <w:rFonts w:eastAsia="宋体"/>
                      <w:color w:val="000000"/>
                      <w:sz w:val="21"/>
                    </w:rPr>
                  </w:pPr>
                  <w:r>
                    <w:rPr>
                      <w:rFonts w:hAnsi="宋体" w:eastAsia="宋体"/>
                      <w:color w:val="000000"/>
                      <w:sz w:val="21"/>
                    </w:rPr>
                    <w:t>黑龙沟于保成家</w:t>
                  </w:r>
                </w:p>
              </w:tc>
              <w:tc>
                <w:tcPr>
                  <w:tcW w:w="94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禹州市</w:t>
                  </w:r>
                </w:p>
              </w:tc>
              <w:tc>
                <w:tcPr>
                  <w:tcW w:w="1280" w:type="pct"/>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511" w:type="pct"/>
                  <w:vAlign w:val="center"/>
                </w:tcPr>
                <w:p>
                  <w:pPr>
                    <w:pStyle w:val="4"/>
                    <w:spacing w:line="360" w:lineRule="exact"/>
                    <w:jc w:val="center"/>
                    <w:rPr>
                      <w:rFonts w:ascii="Times New Roman" w:hAnsi="Times New Roman" w:eastAsia="宋体"/>
                      <w:sz w:val="21"/>
                    </w:rPr>
                  </w:pPr>
                  <w:r>
                    <w:rPr>
                      <w:rFonts w:ascii="Times New Roman" w:hAnsi="Times New Roman" w:eastAsia="宋体"/>
                      <w:sz w:val="21"/>
                      <w:szCs w:val="21"/>
                    </w:rPr>
                    <w:t>2-4</w:t>
                  </w:r>
                  <w:r>
                    <w:rPr>
                      <w:rFonts w:ascii="Times New Roman" w:hAnsi="宋体" w:eastAsia="宋体"/>
                      <w:sz w:val="21"/>
                      <w:szCs w:val="21"/>
                    </w:rPr>
                    <w:t>人</w:t>
                  </w:r>
                </w:p>
              </w:tc>
              <w:tc>
                <w:tcPr>
                  <w:tcW w:w="904" w:type="pct"/>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r>
          </w:tbl>
          <w:p>
            <w:pPr>
              <w:adjustRightInd w:val="0"/>
              <w:snapToGrid w:val="0"/>
              <w:spacing w:line="500" w:lineRule="exact"/>
              <w:jc w:val="left"/>
              <w:rPr>
                <w:rFonts w:eastAsia="宋体"/>
                <w:b/>
                <w:bCs/>
                <w:sz w:val="24"/>
              </w:rPr>
            </w:pPr>
            <w:r>
              <w:rPr>
                <w:rFonts w:eastAsia="宋体"/>
                <w:b/>
                <w:bCs/>
                <w:sz w:val="24"/>
              </w:rPr>
              <w:t>4.2电磁环境质量现状</w:t>
            </w:r>
          </w:p>
          <w:p>
            <w:pPr>
              <w:tabs>
                <w:tab w:val="center" w:pos="4857"/>
              </w:tabs>
              <w:adjustRightInd w:val="0"/>
              <w:snapToGrid w:val="0"/>
              <w:spacing w:line="500" w:lineRule="exact"/>
              <w:rPr>
                <w:rFonts w:eastAsia="宋体"/>
                <w:b/>
                <w:bCs/>
                <w:sz w:val="24"/>
              </w:rPr>
            </w:pPr>
            <w:r>
              <w:rPr>
                <w:rFonts w:eastAsia="宋体"/>
                <w:b/>
                <w:bCs/>
                <w:sz w:val="24"/>
              </w:rPr>
              <w:t>4.2.1监测布点</w:t>
            </w:r>
          </w:p>
          <w:p>
            <w:pPr>
              <w:autoSpaceDE w:val="0"/>
              <w:autoSpaceDN w:val="0"/>
              <w:adjustRightInd w:val="0"/>
              <w:spacing w:line="500" w:lineRule="exact"/>
              <w:ind w:firstLine="590" w:firstLineChars="250"/>
              <w:jc w:val="left"/>
              <w:rPr>
                <w:rFonts w:eastAsia="宋体"/>
                <w:spacing w:val="-2"/>
                <w:kern w:val="16"/>
                <w:sz w:val="24"/>
              </w:rPr>
            </w:pPr>
            <w:r>
              <w:rPr>
                <w:rFonts w:eastAsia="宋体"/>
                <w:spacing w:val="-2"/>
                <w:kern w:val="16"/>
                <w:sz w:val="24"/>
              </w:rPr>
              <w:t>按照</w:t>
            </w:r>
            <w:r>
              <w:rPr>
                <w:rFonts w:hint="eastAsia" w:eastAsia="宋体"/>
                <w:spacing w:val="-2"/>
                <w:kern w:val="16"/>
                <w:sz w:val="24"/>
              </w:rPr>
              <w:t>电磁</w:t>
            </w:r>
            <w:r>
              <w:rPr>
                <w:rFonts w:eastAsia="宋体"/>
                <w:spacing w:val="-2"/>
                <w:kern w:val="16"/>
                <w:sz w:val="24"/>
              </w:rPr>
              <w:t>环境现状调查、影响预测及评价的需要，本次监测布点为110kV升压站站址</w:t>
            </w:r>
            <w:r>
              <w:rPr>
                <w:rFonts w:hint="eastAsia" w:eastAsia="宋体"/>
                <w:spacing w:val="-2"/>
                <w:kern w:val="16"/>
                <w:sz w:val="24"/>
              </w:rPr>
              <w:t>四周和</w:t>
            </w:r>
            <w:r>
              <w:rPr>
                <w:rFonts w:eastAsia="宋体"/>
                <w:spacing w:val="-2"/>
                <w:kern w:val="16"/>
                <w:sz w:val="24"/>
              </w:rPr>
              <w:t>敏感点</w:t>
            </w:r>
            <w:r>
              <w:rPr>
                <w:rFonts w:hint="eastAsia" w:eastAsia="宋体"/>
                <w:spacing w:val="-2"/>
                <w:kern w:val="16"/>
                <w:sz w:val="24"/>
              </w:rPr>
              <w:t>处</w:t>
            </w:r>
            <w:r>
              <w:rPr>
                <w:rFonts w:eastAsia="宋体"/>
                <w:spacing w:val="-2"/>
                <w:kern w:val="16"/>
                <w:sz w:val="24"/>
              </w:rPr>
              <w:t>。监测点见表4-2，监测点位示意图见图4-1</w:t>
            </w:r>
            <w:r>
              <w:rPr>
                <w:rFonts w:hint="eastAsia" w:eastAsia="宋体"/>
                <w:spacing w:val="-2"/>
                <w:kern w:val="16"/>
                <w:sz w:val="24"/>
              </w:rPr>
              <w:t>-图</w:t>
            </w:r>
            <w:r>
              <w:rPr>
                <w:rFonts w:eastAsia="宋体"/>
                <w:spacing w:val="-2"/>
                <w:kern w:val="16"/>
                <w:sz w:val="24"/>
              </w:rPr>
              <w:t>4</w:t>
            </w:r>
            <w:r>
              <w:rPr>
                <w:rFonts w:hint="eastAsia" w:eastAsia="宋体"/>
                <w:spacing w:val="-2"/>
                <w:kern w:val="16"/>
                <w:sz w:val="24"/>
              </w:rPr>
              <w:t>-</w:t>
            </w:r>
            <w:r>
              <w:rPr>
                <w:rFonts w:eastAsia="宋体"/>
                <w:spacing w:val="-2"/>
                <w:kern w:val="16"/>
                <w:sz w:val="24"/>
              </w:rPr>
              <w:t>5。</w:t>
            </w:r>
          </w:p>
          <w:p>
            <w:pPr>
              <w:adjustRightInd w:val="0"/>
              <w:snapToGrid w:val="0"/>
              <w:spacing w:line="500" w:lineRule="exact"/>
              <w:ind w:firstLine="480" w:firstLineChars="200"/>
              <w:rPr>
                <w:rFonts w:eastAsia="黑体"/>
                <w:sz w:val="24"/>
                <w:szCs w:val="21"/>
              </w:rPr>
            </w:pPr>
            <w:bookmarkStart w:id="22" w:name="_Ref171409877"/>
            <w:r>
              <w:rPr>
                <w:rFonts w:hAnsi="黑体" w:eastAsia="黑体"/>
                <w:sz w:val="24"/>
                <w:szCs w:val="21"/>
              </w:rPr>
              <w:t>表</w:t>
            </w:r>
            <w:bookmarkEnd w:id="22"/>
            <w:r>
              <w:rPr>
                <w:rFonts w:eastAsia="黑体"/>
                <w:sz w:val="24"/>
                <w:szCs w:val="21"/>
              </w:rPr>
              <w:t xml:space="preserve">4-2               </w:t>
            </w:r>
            <w:r>
              <w:rPr>
                <w:rFonts w:hAnsi="黑体" w:eastAsia="黑体"/>
                <w:sz w:val="24"/>
                <w:szCs w:val="21"/>
              </w:rPr>
              <w:t>声环境质量现状监测点位表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22"/>
              <w:gridCol w:w="2800"/>
              <w:gridCol w:w="43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序号</w:t>
                  </w:r>
                </w:p>
              </w:tc>
              <w:tc>
                <w:tcPr>
                  <w:tcW w:w="2800"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名称</w:t>
                  </w:r>
                </w:p>
              </w:tc>
              <w:tc>
                <w:tcPr>
                  <w:tcW w:w="4364"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监测点位置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86" w:type="dxa"/>
                  <w:gridSpan w:val="3"/>
                  <w:vAlign w:val="center"/>
                </w:tcPr>
                <w:p>
                  <w:pPr>
                    <w:pStyle w:val="4"/>
                    <w:jc w:val="center"/>
                    <w:rPr>
                      <w:rFonts w:ascii="Times New Roman" w:hAnsi="Times New Roman" w:eastAsia="宋体"/>
                      <w:sz w:val="21"/>
                      <w:szCs w:val="21"/>
                    </w:rPr>
                  </w:pPr>
                  <w:r>
                    <w:rPr>
                      <w:rFonts w:ascii="Times New Roman" w:hAnsi="Times New Roman" w:eastAsia="宋体"/>
                      <w:sz w:val="21"/>
                      <w:szCs w:val="21"/>
                    </w:rPr>
                    <w:t>一、110kV升压站站址四周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1</w:t>
                  </w:r>
                </w:p>
              </w:tc>
              <w:tc>
                <w:tcPr>
                  <w:tcW w:w="2800" w:type="dxa"/>
                  <w:vMerge w:val="restart"/>
                  <w:vAlign w:val="center"/>
                </w:tcPr>
                <w:p>
                  <w:pPr>
                    <w:pStyle w:val="4"/>
                    <w:jc w:val="center"/>
                    <w:rPr>
                      <w:rFonts w:ascii="Times New Roman" w:hAnsi="Times New Roman" w:eastAsia="宋体"/>
                      <w:sz w:val="21"/>
                      <w:szCs w:val="21"/>
                    </w:rPr>
                  </w:pPr>
                  <w:r>
                    <w:rPr>
                      <w:rFonts w:ascii="Times New Roman" w:hAnsi="Times New Roman" w:eastAsia="宋体"/>
                      <w:sz w:val="21"/>
                      <w:szCs w:val="21"/>
                    </w:rPr>
                    <w:t>110kV升压站</w:t>
                  </w:r>
                </w:p>
              </w:tc>
              <w:tc>
                <w:tcPr>
                  <w:tcW w:w="4364"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升压站东侧墙外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2</w:t>
                  </w:r>
                </w:p>
              </w:tc>
              <w:tc>
                <w:tcPr>
                  <w:tcW w:w="2800" w:type="dxa"/>
                  <w:vMerge w:val="continue"/>
                  <w:vAlign w:val="center"/>
                </w:tcPr>
                <w:p>
                  <w:pPr>
                    <w:pStyle w:val="4"/>
                    <w:rPr>
                      <w:rFonts w:ascii="Times New Roman" w:hAnsi="Times New Roman" w:eastAsia="宋体"/>
                      <w:sz w:val="21"/>
                      <w:szCs w:val="21"/>
                    </w:rPr>
                  </w:pPr>
                </w:p>
              </w:tc>
              <w:tc>
                <w:tcPr>
                  <w:tcW w:w="4364" w:type="dxa"/>
                  <w:vAlign w:val="center"/>
                </w:tcPr>
                <w:p>
                  <w:pPr>
                    <w:jc w:val="center"/>
                    <w:rPr>
                      <w:rFonts w:eastAsia="宋体"/>
                    </w:rPr>
                  </w:pPr>
                  <w:r>
                    <w:rPr>
                      <w:rFonts w:eastAsia="宋体"/>
                      <w:sz w:val="21"/>
                      <w:szCs w:val="21"/>
                    </w:rPr>
                    <w:t>升压站南侧墙外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3</w:t>
                  </w:r>
                </w:p>
              </w:tc>
              <w:tc>
                <w:tcPr>
                  <w:tcW w:w="2800" w:type="dxa"/>
                  <w:vMerge w:val="continue"/>
                  <w:vAlign w:val="center"/>
                </w:tcPr>
                <w:p>
                  <w:pPr>
                    <w:pStyle w:val="4"/>
                    <w:rPr>
                      <w:rFonts w:ascii="Times New Roman" w:hAnsi="Times New Roman" w:eastAsia="宋体"/>
                      <w:sz w:val="21"/>
                      <w:szCs w:val="21"/>
                    </w:rPr>
                  </w:pPr>
                </w:p>
              </w:tc>
              <w:tc>
                <w:tcPr>
                  <w:tcW w:w="4364" w:type="dxa"/>
                  <w:vAlign w:val="center"/>
                </w:tcPr>
                <w:p>
                  <w:pPr>
                    <w:jc w:val="center"/>
                    <w:rPr>
                      <w:rFonts w:eastAsia="宋体"/>
                    </w:rPr>
                  </w:pPr>
                  <w:r>
                    <w:rPr>
                      <w:rFonts w:eastAsia="宋体"/>
                      <w:sz w:val="21"/>
                      <w:szCs w:val="21"/>
                    </w:rPr>
                    <w:t>升压站西侧墙外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pStyle w:val="4"/>
                    <w:jc w:val="center"/>
                    <w:rPr>
                      <w:rFonts w:ascii="Times New Roman" w:hAnsi="Times New Roman" w:eastAsia="宋体"/>
                      <w:sz w:val="21"/>
                      <w:szCs w:val="21"/>
                    </w:rPr>
                  </w:pPr>
                  <w:r>
                    <w:rPr>
                      <w:rFonts w:ascii="Times New Roman" w:hAnsi="Times New Roman" w:eastAsia="宋体"/>
                      <w:sz w:val="21"/>
                      <w:szCs w:val="21"/>
                    </w:rPr>
                    <w:t>4</w:t>
                  </w:r>
                </w:p>
              </w:tc>
              <w:tc>
                <w:tcPr>
                  <w:tcW w:w="2800" w:type="dxa"/>
                  <w:vMerge w:val="continue"/>
                  <w:vAlign w:val="center"/>
                </w:tcPr>
                <w:p>
                  <w:pPr>
                    <w:pStyle w:val="4"/>
                    <w:rPr>
                      <w:rFonts w:ascii="Times New Roman" w:hAnsi="Times New Roman" w:eastAsia="宋体"/>
                      <w:sz w:val="21"/>
                      <w:szCs w:val="21"/>
                    </w:rPr>
                  </w:pPr>
                </w:p>
              </w:tc>
              <w:tc>
                <w:tcPr>
                  <w:tcW w:w="4364" w:type="dxa"/>
                  <w:vAlign w:val="center"/>
                </w:tcPr>
                <w:p>
                  <w:pPr>
                    <w:jc w:val="center"/>
                    <w:rPr>
                      <w:rFonts w:eastAsia="宋体"/>
                    </w:rPr>
                  </w:pPr>
                  <w:r>
                    <w:rPr>
                      <w:rFonts w:eastAsia="宋体"/>
                      <w:sz w:val="21"/>
                      <w:szCs w:val="21"/>
                    </w:rPr>
                    <w:t>升压站北侧墙外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86" w:type="dxa"/>
                  <w:gridSpan w:val="3"/>
                  <w:vAlign w:val="center"/>
                </w:tcPr>
                <w:p>
                  <w:pPr>
                    <w:jc w:val="center"/>
                    <w:rPr>
                      <w:rFonts w:eastAsia="宋体"/>
                      <w:sz w:val="21"/>
                      <w:szCs w:val="21"/>
                    </w:rPr>
                  </w:pPr>
                  <w:r>
                    <w:rPr>
                      <w:rFonts w:hint="eastAsia" w:eastAsia="宋体"/>
                      <w:sz w:val="21"/>
                      <w:szCs w:val="21"/>
                    </w:rPr>
                    <w:t>二</w:t>
                  </w:r>
                  <w:r>
                    <w:rPr>
                      <w:rFonts w:eastAsia="宋体"/>
                      <w:sz w:val="21"/>
                      <w:szCs w:val="21"/>
                    </w:rPr>
                    <w:t>、</w:t>
                  </w:r>
                  <w:r>
                    <w:rPr>
                      <w:rFonts w:hint="eastAsia" w:eastAsia="宋体"/>
                      <w:sz w:val="21"/>
                      <w:szCs w:val="21"/>
                    </w:rPr>
                    <w:t>1</w:t>
                  </w:r>
                  <w:r>
                    <w:rPr>
                      <w:rFonts w:eastAsia="宋体"/>
                      <w:sz w:val="21"/>
                      <w:szCs w:val="21"/>
                    </w:rPr>
                    <w:t>10kV线路环境敏感点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jc w:val="center"/>
                    <w:rPr>
                      <w:rFonts w:eastAsia="宋体"/>
                      <w:sz w:val="21"/>
                      <w:szCs w:val="21"/>
                    </w:rPr>
                  </w:pPr>
                  <w:r>
                    <w:rPr>
                      <w:rFonts w:eastAsia="宋体"/>
                      <w:sz w:val="21"/>
                      <w:szCs w:val="21"/>
                    </w:rPr>
                    <w:t>5</w:t>
                  </w:r>
                </w:p>
              </w:tc>
              <w:tc>
                <w:tcPr>
                  <w:tcW w:w="2800" w:type="dxa"/>
                  <w:vAlign w:val="center"/>
                </w:tcPr>
                <w:p>
                  <w:pPr>
                    <w:widowControl/>
                    <w:jc w:val="center"/>
                    <w:rPr>
                      <w:rFonts w:eastAsia="宋体"/>
                      <w:color w:val="000000"/>
                      <w:kern w:val="0"/>
                      <w:sz w:val="21"/>
                    </w:rPr>
                  </w:pPr>
                  <w:r>
                    <w:rPr>
                      <w:rFonts w:hAnsi="宋体" w:eastAsia="宋体"/>
                      <w:color w:val="000000"/>
                      <w:kern w:val="0"/>
                      <w:sz w:val="21"/>
                    </w:rPr>
                    <w:t>杨桥村常海超家</w:t>
                  </w:r>
                </w:p>
              </w:tc>
              <w:tc>
                <w:tcPr>
                  <w:tcW w:w="4364" w:type="dxa"/>
                  <w:vAlign w:val="center"/>
                </w:tcPr>
                <w:p>
                  <w:pPr>
                    <w:pStyle w:val="4"/>
                    <w:jc w:val="center"/>
                    <w:rPr>
                      <w:rFonts w:ascii="Times New Roman" w:hAnsi="Times New Roman" w:eastAsia="宋体"/>
                      <w:sz w:val="21"/>
                      <w:szCs w:val="21"/>
                    </w:rPr>
                  </w:pPr>
                  <w:r>
                    <w:rPr>
                      <w:rFonts w:hint="eastAsia" w:ascii="Times New Roman" w:hAnsi="Times New Roman" w:eastAsia="宋体"/>
                      <w:sz w:val="21"/>
                      <w:szCs w:val="21"/>
                    </w:rPr>
                    <w:t>敏感点门外1m处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jc w:val="center"/>
                    <w:rPr>
                      <w:rFonts w:eastAsia="宋体"/>
                      <w:sz w:val="21"/>
                      <w:szCs w:val="21"/>
                    </w:rPr>
                  </w:pPr>
                  <w:r>
                    <w:rPr>
                      <w:rFonts w:hint="eastAsia" w:eastAsia="宋体"/>
                      <w:sz w:val="21"/>
                      <w:szCs w:val="21"/>
                    </w:rPr>
                    <w:t>6</w:t>
                  </w:r>
                </w:p>
              </w:tc>
              <w:tc>
                <w:tcPr>
                  <w:tcW w:w="2800" w:type="dxa"/>
                  <w:vAlign w:val="center"/>
                </w:tcPr>
                <w:p>
                  <w:pPr>
                    <w:jc w:val="center"/>
                    <w:rPr>
                      <w:rFonts w:eastAsia="宋体"/>
                      <w:color w:val="000000"/>
                      <w:sz w:val="21"/>
                    </w:rPr>
                  </w:pPr>
                  <w:r>
                    <w:rPr>
                      <w:rFonts w:hAnsi="宋体" w:eastAsia="宋体"/>
                      <w:color w:val="000000"/>
                      <w:sz w:val="21"/>
                    </w:rPr>
                    <w:t>张垌村王娟家</w:t>
                  </w:r>
                </w:p>
              </w:tc>
              <w:tc>
                <w:tcPr>
                  <w:tcW w:w="4364" w:type="dxa"/>
                  <w:vAlign w:val="center"/>
                </w:tcPr>
                <w:p>
                  <w:pPr>
                    <w:pStyle w:val="4"/>
                    <w:jc w:val="center"/>
                    <w:rPr>
                      <w:rFonts w:ascii="Times New Roman" w:hAnsi="Times New Roman" w:eastAsia="宋体"/>
                      <w:sz w:val="21"/>
                      <w:szCs w:val="21"/>
                    </w:rPr>
                  </w:pPr>
                  <w:r>
                    <w:rPr>
                      <w:rFonts w:hint="eastAsia" w:ascii="Times New Roman" w:hAnsi="Times New Roman" w:eastAsia="宋体"/>
                      <w:sz w:val="21"/>
                      <w:szCs w:val="21"/>
                    </w:rPr>
                    <w:t>敏感点门外1m处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jc w:val="center"/>
                    <w:rPr>
                      <w:rFonts w:eastAsia="宋体"/>
                      <w:sz w:val="21"/>
                      <w:szCs w:val="21"/>
                    </w:rPr>
                  </w:pPr>
                  <w:r>
                    <w:rPr>
                      <w:rFonts w:hint="eastAsia" w:eastAsia="宋体"/>
                      <w:sz w:val="21"/>
                      <w:szCs w:val="21"/>
                    </w:rPr>
                    <w:t>7</w:t>
                  </w:r>
                </w:p>
              </w:tc>
              <w:tc>
                <w:tcPr>
                  <w:tcW w:w="2800" w:type="dxa"/>
                  <w:vAlign w:val="center"/>
                </w:tcPr>
                <w:p>
                  <w:pPr>
                    <w:jc w:val="center"/>
                    <w:rPr>
                      <w:rFonts w:eastAsia="宋体"/>
                      <w:color w:val="000000"/>
                      <w:sz w:val="21"/>
                    </w:rPr>
                  </w:pPr>
                  <w:r>
                    <w:rPr>
                      <w:rFonts w:hAnsi="宋体" w:eastAsia="宋体"/>
                      <w:color w:val="000000"/>
                      <w:sz w:val="21"/>
                    </w:rPr>
                    <w:t>张垌村范国明家</w:t>
                  </w:r>
                </w:p>
              </w:tc>
              <w:tc>
                <w:tcPr>
                  <w:tcW w:w="4364" w:type="dxa"/>
                  <w:vAlign w:val="center"/>
                </w:tcPr>
                <w:p>
                  <w:pPr>
                    <w:pStyle w:val="4"/>
                    <w:jc w:val="center"/>
                    <w:rPr>
                      <w:rFonts w:ascii="Times New Roman" w:hAnsi="Times New Roman" w:eastAsia="宋体"/>
                      <w:sz w:val="21"/>
                      <w:szCs w:val="21"/>
                    </w:rPr>
                  </w:pPr>
                  <w:r>
                    <w:rPr>
                      <w:rFonts w:hint="eastAsia" w:ascii="Times New Roman" w:hAnsi="Times New Roman" w:eastAsia="宋体"/>
                      <w:sz w:val="21"/>
                      <w:szCs w:val="21"/>
                    </w:rPr>
                    <w:t>敏感点门外1m处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jc w:val="center"/>
                    <w:rPr>
                      <w:rFonts w:eastAsia="宋体"/>
                      <w:sz w:val="21"/>
                      <w:szCs w:val="21"/>
                    </w:rPr>
                  </w:pPr>
                  <w:r>
                    <w:rPr>
                      <w:rFonts w:hint="eastAsia" w:eastAsia="宋体"/>
                      <w:sz w:val="21"/>
                      <w:szCs w:val="21"/>
                    </w:rPr>
                    <w:t>8</w:t>
                  </w:r>
                </w:p>
              </w:tc>
              <w:tc>
                <w:tcPr>
                  <w:tcW w:w="2800" w:type="dxa"/>
                  <w:vAlign w:val="center"/>
                </w:tcPr>
                <w:p>
                  <w:pPr>
                    <w:jc w:val="center"/>
                    <w:rPr>
                      <w:rFonts w:eastAsia="宋体"/>
                      <w:color w:val="000000"/>
                      <w:sz w:val="21"/>
                    </w:rPr>
                  </w:pPr>
                  <w:r>
                    <w:rPr>
                      <w:rFonts w:hAnsi="宋体" w:eastAsia="宋体"/>
                      <w:color w:val="000000"/>
                      <w:sz w:val="21"/>
                    </w:rPr>
                    <w:t>黑龙沟于发海家</w:t>
                  </w:r>
                </w:p>
              </w:tc>
              <w:tc>
                <w:tcPr>
                  <w:tcW w:w="4364" w:type="dxa"/>
                  <w:vAlign w:val="center"/>
                </w:tcPr>
                <w:p>
                  <w:pPr>
                    <w:pStyle w:val="4"/>
                    <w:jc w:val="center"/>
                    <w:rPr>
                      <w:rFonts w:ascii="Times New Roman" w:hAnsi="Times New Roman" w:eastAsia="宋体"/>
                      <w:sz w:val="21"/>
                      <w:szCs w:val="21"/>
                    </w:rPr>
                  </w:pPr>
                  <w:r>
                    <w:rPr>
                      <w:rFonts w:hint="eastAsia" w:ascii="Times New Roman" w:hAnsi="Times New Roman" w:eastAsia="宋体"/>
                      <w:sz w:val="21"/>
                      <w:szCs w:val="21"/>
                    </w:rPr>
                    <w:t>敏感点门外1m处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jc w:val="center"/>
                    <w:rPr>
                      <w:rFonts w:eastAsia="宋体"/>
                      <w:sz w:val="21"/>
                      <w:szCs w:val="21"/>
                    </w:rPr>
                  </w:pPr>
                  <w:r>
                    <w:rPr>
                      <w:rFonts w:hint="eastAsia" w:eastAsia="宋体"/>
                      <w:sz w:val="21"/>
                      <w:szCs w:val="21"/>
                    </w:rPr>
                    <w:t>9</w:t>
                  </w:r>
                </w:p>
              </w:tc>
              <w:tc>
                <w:tcPr>
                  <w:tcW w:w="2800" w:type="dxa"/>
                  <w:vAlign w:val="center"/>
                </w:tcPr>
                <w:p>
                  <w:pPr>
                    <w:jc w:val="center"/>
                    <w:rPr>
                      <w:rFonts w:eastAsia="宋体"/>
                      <w:color w:val="000000"/>
                      <w:sz w:val="21"/>
                    </w:rPr>
                  </w:pPr>
                  <w:r>
                    <w:rPr>
                      <w:rFonts w:hAnsi="宋体" w:eastAsia="宋体"/>
                      <w:color w:val="000000"/>
                      <w:sz w:val="21"/>
                    </w:rPr>
                    <w:t>黑龙沟于保成家</w:t>
                  </w:r>
                </w:p>
              </w:tc>
              <w:tc>
                <w:tcPr>
                  <w:tcW w:w="4364" w:type="dxa"/>
                  <w:vAlign w:val="center"/>
                </w:tcPr>
                <w:p>
                  <w:pPr>
                    <w:pStyle w:val="4"/>
                    <w:jc w:val="center"/>
                    <w:rPr>
                      <w:rFonts w:ascii="Times New Roman" w:hAnsi="Times New Roman" w:eastAsia="宋体"/>
                      <w:sz w:val="21"/>
                      <w:szCs w:val="21"/>
                    </w:rPr>
                  </w:pPr>
                  <w:r>
                    <w:rPr>
                      <w:rFonts w:hint="eastAsia" w:ascii="Times New Roman" w:hAnsi="Times New Roman" w:eastAsia="宋体"/>
                      <w:sz w:val="21"/>
                      <w:szCs w:val="21"/>
                    </w:rPr>
                    <w:t>敏感点门外1m处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22" w:type="dxa"/>
                  <w:vAlign w:val="center"/>
                </w:tcPr>
                <w:p>
                  <w:pPr>
                    <w:jc w:val="center"/>
                    <w:rPr>
                      <w:rFonts w:eastAsia="宋体"/>
                      <w:sz w:val="21"/>
                      <w:szCs w:val="21"/>
                    </w:rPr>
                  </w:pPr>
                  <w:r>
                    <w:rPr>
                      <w:rFonts w:hint="eastAsia" w:eastAsia="宋体"/>
                      <w:sz w:val="21"/>
                      <w:szCs w:val="21"/>
                    </w:rPr>
                    <w:t>10</w:t>
                  </w:r>
                </w:p>
              </w:tc>
              <w:tc>
                <w:tcPr>
                  <w:tcW w:w="2800" w:type="dxa"/>
                  <w:vAlign w:val="center"/>
                </w:tcPr>
                <w:p>
                  <w:pPr>
                    <w:jc w:val="center"/>
                    <w:rPr>
                      <w:rFonts w:hAnsi="宋体" w:eastAsia="宋体"/>
                      <w:color w:val="000000"/>
                      <w:sz w:val="21"/>
                    </w:rPr>
                  </w:pPr>
                  <w:r>
                    <w:rPr>
                      <w:rFonts w:hint="eastAsia" w:hAnsi="宋体" w:eastAsia="宋体"/>
                      <w:color w:val="000000"/>
                      <w:sz w:val="21"/>
                    </w:rPr>
                    <w:t>白坡头</w:t>
                  </w:r>
                </w:p>
              </w:tc>
              <w:tc>
                <w:tcPr>
                  <w:tcW w:w="4364" w:type="dxa"/>
                  <w:vAlign w:val="center"/>
                </w:tcPr>
                <w:p>
                  <w:pPr>
                    <w:pStyle w:val="4"/>
                    <w:jc w:val="center"/>
                    <w:rPr>
                      <w:rFonts w:ascii="Times New Roman" w:hAnsi="Times New Roman" w:eastAsia="宋体"/>
                      <w:sz w:val="21"/>
                      <w:szCs w:val="21"/>
                    </w:rPr>
                  </w:pPr>
                  <w:r>
                    <w:rPr>
                      <w:rFonts w:hint="eastAsia" w:ascii="Times New Roman" w:hAnsi="Times New Roman" w:eastAsia="宋体"/>
                      <w:sz w:val="21"/>
                      <w:szCs w:val="21"/>
                    </w:rPr>
                    <w:t>升压站西南侧133m处</w:t>
                  </w:r>
                </w:p>
              </w:tc>
            </w:tr>
          </w:tbl>
          <w:p>
            <w:pPr>
              <w:adjustRightInd w:val="0"/>
              <w:snapToGrid w:val="0"/>
              <w:ind w:firstLine="560" w:firstLineChars="200"/>
              <w:rPr>
                <w:rFonts w:hAnsi="黑体" w:eastAsia="黑体"/>
                <w:sz w:val="24"/>
                <w:szCs w:val="21"/>
              </w:rPr>
            </w:pPr>
            <w:r>
              <w:pict>
                <v:group id="画布 2237" o:spid="_x0000_s2070" o:spt="203" style="position:absolute;left:0pt;margin-left:5.55pt;margin-top:9.35pt;height:257.95pt;width:404.95pt;z-index:251659264;mso-width-relative:page;mso-height-relative:page;" coordorigin="1494,8106" coordsize="8958,5708" editas="canvas">
                  <o:lock v:ext="edit"/>
                  <v:shape id="画布 2237" o:spid="_x0000_s2071" o:spt="75" type="#_x0000_t75" style="position:absolute;left:1494;top:8106;height:5708;width:8958;" filled="f" o:preferrelative="t" stroked="t" coordsize="21600,21600">
                    <v:fill on="f" focussize="0,0"/>
                    <v:stroke joinstyle="miter"/>
                    <v:imagedata o:title=""/>
                    <o:lock v:ext="edit" rotation="t" aspectratio="t"/>
                  </v:shape>
                  <v:shape id="文本框 359" o:spid="_x0000_s2073" o:spt="202" type="#_x0000_t202" style="position:absolute;left:3944;top:11054;height:970;width:47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h8QA&#10;AADcAAAADwAAAGRycy9kb3ducmV2LnhtbERPy2rCQBTdF/yH4Ra6q5NKFY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qYfEAAAA3AAAAA8AAAAAAAAAAAAAAAAAmAIAAGRycy9k&#10;b3ducmV2LnhtbFBLBQYAAAAABAAEAPUAAACJAwAAAAA=&#10;">
                    <v:path/>
                    <v:fill on="f" focussize="0,0"/>
                    <v:stroke on="f" weight="0.5pt" joinstyle="miter"/>
                    <v:imagedata o:title=""/>
                    <o:lock v:ext="edit"/>
                    <v:textbox>
                      <w:txbxContent>
                        <w:p>
                          <w:pPr>
                            <w:rPr>
                              <w:rFonts w:ascii="黑体" w:hAnsi="黑体" w:eastAsia="黑体"/>
                              <w:color w:val="FF0000"/>
                              <w:sz w:val="21"/>
                            </w:rPr>
                          </w:pPr>
                        </w:p>
                      </w:txbxContent>
                    </v:textbox>
                  </v:shape>
                  <v:line id="直线 2241" o:spid="_x0000_s2074" o:spt="20" style="position:absolute;left:9703;top:8456;flip:x y;height:632;width:343;" coordsize="21600,21600">
                    <v:path arrowok="t"/>
                    <v:fill focussize="0,0"/>
                    <v:stroke weight="4.5pt" endarrow="block"/>
                    <v:imagedata o:title=""/>
                    <o:lock v:ext="edit"/>
                  </v:line>
                  <v:shape id="文本框 2242" o:spid="_x0000_s2075" o:spt="202" type="#_x0000_t202" style="position:absolute;left:9802;top:8106;height:607;width:467;" filled="f" stroked="f" coordsize="21600,21600">
                    <v:path/>
                    <v:fill on="f" focussize="0,0"/>
                    <v:stroke on="f" joinstyle="miter"/>
                    <v:imagedata o:title=""/>
                    <o:lock v:ext="edit"/>
                    <v:textbox>
                      <w:txbxContent>
                        <w:p>
                          <w:r>
                            <w:rPr>
                              <w:rFonts w:hint="eastAsia"/>
                              <w:sz w:val="24"/>
                            </w:rPr>
                            <w:t>N</w:t>
                          </w:r>
                          <w:r>
                            <w:rPr>
                              <w:rFonts w:hint="eastAsia"/>
                            </w:rPr>
                            <w:t xml:space="preserve"> </w:t>
                          </w:r>
                        </w:p>
                      </w:txbxContent>
                    </v:textbox>
                  </v:shape>
                  <v:shape id="自选图形 2243" o:spid="_x0000_s2076" o:spt="5" type="#_x0000_t5" style="position:absolute;left:8703;top:13481;height:192;width:242;" fillcolor="#000000" filled="t" coordsize="21600,21600">
                    <v:path/>
                    <v:fill on="t" focussize="0,0"/>
                    <v:stroke joinstyle="miter"/>
                    <v:imagedata o:title=""/>
                    <o:lock v:ext="edit"/>
                  </v:shape>
                  <v:shape id="自选图形 2244" o:spid="_x0000_s2077" o:spt="12" type="#_x0000_t12" style="position:absolute;left:8703;top:13153;height:244;width:242;" coordsize="21600,21600">
                    <v:path/>
                    <v:fill focussize="0,0"/>
                    <v:stroke joinstyle="miter"/>
                    <v:imagedata o:title=""/>
                    <o:lock v:ext="edit"/>
                  </v:shape>
                  <v:shape id="自选图形 2245" o:spid="_x0000_s2078" o:spt="5" type="#_x0000_t5" style="position:absolute;left:3885;top:10602;height:192;width:219;" fillcolor="#000000" filled="t" coordsize="21600,21600">
                    <v:path/>
                    <v:fill on="t" focussize="0,0"/>
                    <v:stroke joinstyle="miter"/>
                    <v:imagedata o:title=""/>
                    <o:lock v:ext="edit"/>
                  </v:shape>
                  <v:shape id="自选图形 2246" o:spid="_x0000_s2079" o:spt="12" type="#_x0000_t12" style="position:absolute;left:3867;top:10287;height:244;width:219;" coordsize="21600,21600">
                    <v:path/>
                    <v:fill focussize="0,0"/>
                    <v:stroke joinstyle="miter"/>
                    <v:imagedata o:title=""/>
                    <o:lock v:ext="edit"/>
                  </v:shape>
                  <v:shape id="自选图形 2247" o:spid="_x0000_s2080" o:spt="5" type="#_x0000_t5" style="position:absolute;left:7812;top:10693;height:192;width:242;" fillcolor="#000000" filled="t" coordsize="21600,21600">
                    <v:path/>
                    <v:fill on="t" focussize="0,0"/>
                    <v:stroke joinstyle="miter"/>
                    <v:imagedata o:title=""/>
                    <o:lock v:ext="edit"/>
                  </v:shape>
                  <v:shape id="自选图形 2248" o:spid="_x0000_s2081" o:spt="12" type="#_x0000_t12" style="position:absolute;left:7824;top:10377;height:244;width:242;" coordsize="21600,21600">
                    <v:path/>
                    <v:fill focussize="0,0"/>
                    <v:stroke joinstyle="miter"/>
                    <v:imagedata o:title=""/>
                    <o:lock v:ext="edit"/>
                  </v:shape>
                  <v:shape id="自选图形 2249" o:spid="_x0000_s2082" o:spt="12" type="#_x0000_t12" style="position:absolute;left:5757;top:9091;height:244;width:242;" coordsize="21600,21600">
                    <v:path/>
                    <v:fill focussize="0,0"/>
                    <v:stroke joinstyle="miter"/>
                    <v:imagedata o:title=""/>
                    <o:lock v:ext="edit"/>
                  </v:shape>
                  <v:shape id="自选图形 2250" o:spid="_x0000_s2083" o:spt="5" type="#_x0000_t5" style="position:absolute;left:5994;top:9134;height:192;width:242;" fillcolor="#000000" filled="t" coordsize="21600,21600">
                    <v:path/>
                    <v:fill on="t" focussize="0,0"/>
                    <v:stroke joinstyle="miter"/>
                    <v:imagedata o:title=""/>
                    <o:lock v:ext="edit"/>
                  </v:shape>
                  <v:shape id="自选图形 2251" o:spid="_x0000_s2084" o:spt="12" type="#_x0000_t12" style="position:absolute;left:6063;top:11943;height:244;width:242;" coordsize="21600,21600">
                    <v:path/>
                    <v:fill focussize="0,0"/>
                    <v:stroke joinstyle="miter"/>
                    <v:imagedata o:title=""/>
                    <o:lock v:ext="edit"/>
                  </v:shape>
                  <v:shape id="自选图形 2252" o:spid="_x0000_s2085" o:spt="5" type="#_x0000_t5" style="position:absolute;left:5782;top:11957;height:192;width:242;" fillcolor="#000000" filled="t" coordsize="21600,21600">
                    <v:path/>
                    <v:fill on="t" focussize="0,0"/>
                    <v:stroke joinstyle="miter"/>
                    <v:imagedata o:title=""/>
                    <o:lock v:ext="edit"/>
                  </v:shape>
                  <v:rect id="矩形 2378" o:spid="_x0000_s2086" o:spt="1" style="position:absolute;left:4335;top:9415;height:2426;width:3266;" coordsize="21600,21600">
                    <v:path/>
                    <v:fill focussize="0,0"/>
                    <v:stroke/>
                    <v:imagedata o:title=""/>
                    <o:lock v:ext="edit"/>
                  </v:rect>
                  <v:shape id="文本框 25" o:spid="_x0000_s2072" o:spt="202" type="#_x0000_t202" style="position:absolute;left:5224;top:10396;height:617;width:1380;" fillcolor="#000005" filled="f" stroked="f" coordsize="21600,21600">
                    <v:path/>
                    <v:fill on="f" focussize="0,0"/>
                    <v:stroke on="f" weight="0.5pt" joinstyle="miter"/>
                    <v:imagedata o:title=""/>
                    <o:lock v:ext="edit"/>
                    <v:textbox>
                      <w:txbxContent>
                        <w:p>
                          <w:pPr>
                            <w:rPr>
                              <w:rFonts w:ascii="宋体" w:hAnsi="宋体" w:eastAsia="宋体"/>
                              <w:b/>
                              <w:sz w:val="21"/>
                            </w:rPr>
                          </w:pPr>
                          <w:r>
                            <w:rPr>
                              <w:rFonts w:hint="eastAsia" w:ascii="宋体" w:hAnsi="宋体" w:eastAsia="宋体"/>
                              <w:b/>
                              <w:sz w:val="21"/>
                            </w:rPr>
                            <w:t>升压站</w:t>
                          </w:r>
                        </w:p>
                      </w:txbxContent>
                    </v:textbox>
                  </v:shape>
                </v:group>
              </w:pict>
            </w:r>
          </w:p>
          <w:p>
            <w:pPr>
              <w:adjustRightInd w:val="0"/>
              <w:snapToGrid w:val="0"/>
              <w:ind w:firstLine="480" w:firstLineChars="200"/>
              <w:rPr>
                <w:rFonts w:eastAsia="黑体"/>
                <w:sz w:val="24"/>
                <w:szCs w:val="21"/>
              </w:rPr>
            </w:pPr>
          </w:p>
          <w:p>
            <w:pPr>
              <w:autoSpaceDE w:val="0"/>
              <w:autoSpaceDN w:val="0"/>
              <w:adjustRightInd w:val="0"/>
              <w:spacing w:line="520" w:lineRule="exact"/>
              <w:ind w:firstLine="472" w:firstLineChars="200"/>
              <w:rPr>
                <w:rFonts w:eastAsia="宋体"/>
                <w:spacing w:val="-2"/>
                <w:kern w:val="16"/>
                <w:sz w:val="24"/>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pStyle w:val="4"/>
              <w:adjustRightInd w:val="0"/>
              <w:snapToGrid w:val="0"/>
              <w:spacing w:line="520" w:lineRule="exact"/>
              <w:jc w:val="center"/>
              <w:rPr>
                <w:rFonts w:ascii="Times New Roman" w:hAnsi="Times New Roman"/>
                <w:sz w:val="24"/>
                <w:szCs w:val="21"/>
              </w:rPr>
            </w:pPr>
            <w:r>
              <w:rPr>
                <w:rFonts w:ascii="Times New Roman" w:hAnsi="黑体"/>
                <w:sz w:val="24"/>
                <w:szCs w:val="21"/>
              </w:rPr>
              <w:t>图</w:t>
            </w:r>
            <w:r>
              <w:rPr>
                <w:rFonts w:ascii="Times New Roman" w:hAnsi="Times New Roman"/>
                <w:sz w:val="24"/>
                <w:szCs w:val="21"/>
              </w:rPr>
              <w:t xml:space="preserve">4-1  </w:t>
            </w:r>
            <w:r>
              <w:rPr>
                <w:rFonts w:ascii="Times New Roman" w:hAnsi="黑体"/>
                <w:sz w:val="24"/>
                <w:szCs w:val="21"/>
              </w:rPr>
              <w:t>升压站周围监测点位示意图</w:t>
            </w:r>
          </w:p>
          <w:p>
            <w:pPr>
              <w:rPr>
                <w:rFonts w:eastAsia="宋体"/>
                <w:sz w:val="24"/>
                <w:szCs w:val="28"/>
              </w:rPr>
            </w:pPr>
            <w:r>
              <w:pict>
                <v:group id="画布 2416" o:spid="_x0000_s2087" o:spt="203" style="position:absolute;left:0pt;margin-left:15.4pt;margin-top:5.2pt;height:235.3pt;width:398.6pt;z-index:251660288;mso-width-relative:page;mso-height-relative:page;" coordorigin="1494,7854" coordsize="8958,5292" editas="canvas">
                  <o:lock v:ext="edit"/>
                  <v:shape id="画布 2416" o:spid="_x0000_s2088" o:spt="75" type="#_x0000_t75" style="position:absolute;left:1494;top:7854;height:5292;width:8958;" filled="f" o:preferrelative="t" stroked="t" coordsize="21600,21600">
                    <v:fill on="f" focussize="0,0"/>
                    <v:stroke joinstyle="miter"/>
                    <v:imagedata o:title=""/>
                    <o:lock v:ext="edit" rotation="t" aspectratio="t"/>
                  </v:shape>
                  <v:shape id="文本框 25" o:spid="_x0000_s2089" o:spt="202" type="#_x0000_t202" style="position:absolute;left:4641;top:10370;height:454;width:758;" fillcolor="#000005" filled="f" stroked="f" coordsize="21600,21600">
                    <v:path/>
                    <v:fill on="f" focussize="0,0"/>
                    <v:stroke on="f" weight="0.5pt" joinstyle="miter"/>
                    <v:imagedata o:title=""/>
                    <o:lock v:ext="edit"/>
                    <v:textbox>
                      <w:txbxContent>
                        <w:p>
                          <w:pPr>
                            <w:rPr>
                              <w:rFonts w:eastAsia="宋体"/>
                              <w:sz w:val="21"/>
                            </w:rPr>
                          </w:pPr>
                          <w:r>
                            <w:rPr>
                              <w:rFonts w:hint="eastAsia" w:eastAsia="宋体"/>
                              <w:sz w:val="21"/>
                            </w:rPr>
                            <w:t>23</w:t>
                          </w:r>
                          <w:r>
                            <w:rPr>
                              <w:rFonts w:eastAsia="宋体"/>
                              <w:sz w:val="21"/>
                            </w:rPr>
                            <w:t>m</w:t>
                          </w:r>
                        </w:p>
                      </w:txbxContent>
                    </v:textbox>
                  </v:shape>
                  <v:rect id="矩形 2419" o:spid="_x0000_s2090" o:spt="1" style="position:absolute;left:3910;top:8837;height:741;width:1762;" coordsize="21600,21600">
                    <v:path/>
                    <v:fill focussize="0,0"/>
                    <v:stroke/>
                    <v:imagedata o:title=""/>
                    <o:lock v:ext="edit"/>
                    <v:textbox>
                      <w:txbxContent>
                        <w:p>
                          <w:pPr>
                            <w:spacing w:line="240" w:lineRule="exact"/>
                          </w:pPr>
                          <w:r>
                            <w:rPr>
                              <w:rFonts w:hint="eastAsia" w:hAnsi="宋体" w:eastAsia="宋体"/>
                              <w:color w:val="000000"/>
                              <w:kern w:val="0"/>
                              <w:sz w:val="21"/>
                            </w:rPr>
                            <w:t>1、</w:t>
                          </w:r>
                          <w:r>
                            <w:rPr>
                              <w:rFonts w:hAnsi="宋体" w:eastAsia="宋体"/>
                              <w:color w:val="000000"/>
                              <w:kern w:val="0"/>
                              <w:sz w:val="21"/>
                            </w:rPr>
                            <w:t>杨桥村常海超家</w:t>
                          </w:r>
                        </w:p>
                      </w:txbxContent>
                    </v:textbox>
                  </v:rect>
                  <v:line id="直线 2421" o:spid="_x0000_s2092" o:spt="20" style="position:absolute;left:3587;top:10724;flip:x y;height:1060;width:3775;" coordsize="21600,21600">
                    <v:path arrowok="t"/>
                    <v:fill focussize="0,0"/>
                    <v:stroke/>
                    <v:imagedata o:title=""/>
                    <o:lock v:ext="edit"/>
                  </v:line>
                  <v:shape id="自选图形 2422" o:spid="_x0000_s2093" o:spt="176" type="#_x0000_t176" style="position:absolute;left:3910;top:10758;height:182;width:175;" fillcolor="#000000" filled="t" coordsize="21600,21600">
                    <v:path/>
                    <v:fill on="t" focussize="0,0"/>
                    <v:stroke joinstyle="miter"/>
                    <v:imagedata o:title=""/>
                    <o:lock v:ext="edit"/>
                  </v:shape>
                  <v:shape id="文本框 2423" o:spid="_x0000_s2094" o:spt="202" type="#_x0000_t202" style="position:absolute;left:4726;top:11450;height:579;width:1741;" filled="f" stroked="f" coordsize="21600,21600">
                    <v:path/>
                    <v:fill on="f" focussize="0,0"/>
                    <v:stroke on="f" joinstyle="miter"/>
                    <v:imagedata o:title=""/>
                    <o:lock v:ext="edit"/>
                    <v:textbox>
                      <w:txbxContent>
                        <w:p>
                          <w:pPr>
                            <w:rPr>
                              <w:rFonts w:ascii="宋体" w:hAnsi="宋体" w:eastAsia="宋体"/>
                              <w:sz w:val="21"/>
                            </w:rPr>
                          </w:pPr>
                          <w:r>
                            <w:rPr>
                              <w:rFonts w:hint="eastAsia" w:ascii="宋体" w:hAnsi="宋体" w:eastAsia="宋体"/>
                              <w:sz w:val="21"/>
                            </w:rPr>
                            <w:t>本工程</w:t>
                          </w:r>
                          <w:r>
                            <w:rPr>
                              <w:rFonts w:ascii="宋体" w:hAnsi="宋体" w:eastAsia="宋体"/>
                              <w:sz w:val="21"/>
                            </w:rPr>
                            <w:t>线路</w:t>
                          </w:r>
                        </w:p>
                      </w:txbxContent>
                    </v:textbox>
                  </v:shape>
                  <v:shape id="自选图形 2424" o:spid="_x0000_s2095" o:spt="176" type="#_x0000_t176" style="position:absolute;left:6644;top:11521;height:182;width:175;" fillcolor="#000000" filled="t" coordsize="21600,21600">
                    <v:path/>
                    <v:fill on="t" focussize="0,0"/>
                    <v:stroke joinstyle="miter"/>
                    <v:imagedata o:title=""/>
                    <o:lock v:ext="edit"/>
                  </v:shape>
                  <v:line id="直线 2425" o:spid="_x0000_s2096" o:spt="20" style="position:absolute;left:4402;top:10075;flip:y;height:865;width:239;" coordsize="21600,21600">
                    <v:path arrowok="t"/>
                    <v:fill focussize="0,0"/>
                    <v:stroke startarrow="block" endarrow="block"/>
                    <v:imagedata o:title=""/>
                    <o:lock v:ext="edit"/>
                  </v:line>
                  <v:line id="直线 2426" o:spid="_x0000_s2097" o:spt="20" style="position:absolute;left:10000;top:8204;flip:y;height:633;width:1;" coordsize="21600,21600">
                    <v:path arrowok="t"/>
                    <v:fill focussize="0,0"/>
                    <v:stroke weight="4.5pt" endarrow="block"/>
                    <v:imagedata o:title=""/>
                    <o:lock v:ext="edit"/>
                  </v:line>
                  <v:shape id="文本框 2427" o:spid="_x0000_s2098" o:spt="202" type="#_x0000_t202" style="position:absolute;left:9756;top:7854;height:607;width:467;" filled="f" stroked="f" coordsize="21600,21600">
                    <v:path/>
                    <v:fill on="f" focussize="0,0"/>
                    <v:stroke on="f" joinstyle="miter"/>
                    <v:imagedata o:title=""/>
                    <o:lock v:ext="edit"/>
                    <v:textbox>
                      <w:txbxContent>
                        <w:p>
                          <w:r>
                            <w:rPr>
                              <w:rFonts w:hint="eastAsia"/>
                              <w:sz w:val="24"/>
                            </w:rPr>
                            <w:t>N</w:t>
                          </w:r>
                          <w:r>
                            <w:rPr>
                              <w:rFonts w:hint="eastAsia"/>
                            </w:rPr>
                            <w:t xml:space="preserve"> </w:t>
                          </w:r>
                        </w:p>
                      </w:txbxContent>
                    </v:textbox>
                  </v:shape>
                  <v:shape id="文本框 2428" o:spid="_x0000_s2099" o:spt="202" type="#_x0000_t202" style="position:absolute;left:8502;top:12107;height:1039;width:1721;" filled="f" stroked="f" coordsize="21600,21600">
                    <v:path/>
                    <v:fill on="f" focussize="0,0"/>
                    <v:stroke on="f" joinstyle="miter"/>
                    <v:imagedata o:title=""/>
                    <o:lock v:ext="edit"/>
                    <v:textbox>
                      <w:txbxContent>
                        <w:p>
                          <w:pPr>
                            <w:rPr>
                              <w:rFonts w:ascii="宋体" w:hAnsi="宋体" w:eastAsia="宋体"/>
                              <w:b/>
                              <w:sz w:val="21"/>
                              <w:szCs w:val="21"/>
                            </w:rPr>
                          </w:pPr>
                          <w:r>
                            <w:rPr>
                              <w:rFonts w:ascii="宋体" w:hAnsi="宋体" w:eastAsia="宋体"/>
                              <w:b/>
                              <w:sz w:val="21"/>
                              <w:szCs w:val="21"/>
                            </w:rPr>
                            <w:t>电磁监测点</w:t>
                          </w:r>
                        </w:p>
                        <w:p>
                          <w:pPr>
                            <w:rPr>
                              <w:rFonts w:ascii="宋体" w:hAnsi="宋体" w:eastAsia="宋体"/>
                              <w:b/>
                              <w:sz w:val="21"/>
                              <w:szCs w:val="21"/>
                            </w:rPr>
                          </w:pPr>
                          <w:r>
                            <w:rPr>
                              <w:rFonts w:ascii="宋体" w:hAnsi="宋体" w:eastAsia="宋体"/>
                              <w:b/>
                              <w:sz w:val="21"/>
                              <w:szCs w:val="21"/>
                            </w:rPr>
                            <w:t>噪声监测点</w:t>
                          </w:r>
                        </w:p>
                      </w:txbxContent>
                    </v:textbox>
                  </v:shape>
                  <v:shape id="自选图形 2429" o:spid="_x0000_s2100" o:spt="5" type="#_x0000_t5" style="position:absolute;left:8260;top:12578;height:192;width:242;" fillcolor="#000000" filled="t" coordsize="21600,21600">
                    <v:path/>
                    <v:fill on="t" focussize="0,0"/>
                    <v:stroke joinstyle="miter"/>
                    <v:imagedata o:title=""/>
                    <o:lock v:ext="edit"/>
                  </v:shape>
                  <v:shape id="自选图形 2430" o:spid="_x0000_s2101" o:spt="12" type="#_x0000_t12" style="position:absolute;left:8260;top:12250;height:244;width:242;" coordsize="21600,21600">
                    <v:path/>
                    <v:fill focussize="0,0"/>
                    <v:stroke joinstyle="miter"/>
                    <v:imagedata o:title=""/>
                    <o:lock v:ext="edit"/>
                  </v:shape>
                  <v:shape id="自选图形 2431" o:spid="_x0000_s2102" o:spt="12" type="#_x0000_t12" style="position:absolute;left:4400;top:9866;height:244;width:241;" coordsize="21600,21600">
                    <v:path/>
                    <v:fill focussize="0,0"/>
                    <v:stroke joinstyle="miter"/>
                    <v:imagedata o:title=""/>
                    <o:lock v:ext="edit"/>
                  </v:shape>
                  <v:shape id="自选图形 2432" o:spid="_x0000_s2103" o:spt="5" type="#_x0000_t5" style="position:absolute;left:4683;top:9965;height:192;width:243;" fillcolor="#000000" filled="t" coordsize="21600,21600">
                    <v:path/>
                    <v:fill on="t" focussize="0,0"/>
                    <v:stroke joinstyle="miter"/>
                    <v:imagedata o:title=""/>
                    <o:lock v:ext="edit"/>
                  </v:shape>
                </v:group>
              </w:pict>
            </w: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pStyle w:val="4"/>
              <w:adjustRightInd w:val="0"/>
              <w:snapToGrid w:val="0"/>
              <w:spacing w:line="520" w:lineRule="exact"/>
              <w:jc w:val="center"/>
              <w:rPr>
                <w:rFonts w:ascii="Times New Roman" w:hAnsi="黑体"/>
                <w:sz w:val="24"/>
                <w:szCs w:val="21"/>
              </w:rPr>
            </w:pPr>
            <w:r>
              <w:rPr>
                <w:rFonts w:ascii="Times New Roman" w:hAnsi="黑体"/>
                <w:sz w:val="24"/>
                <w:szCs w:val="21"/>
              </w:rPr>
              <w:t>图</w:t>
            </w:r>
            <w:r>
              <w:rPr>
                <w:rFonts w:hint="eastAsia" w:ascii="Times New Roman" w:hAnsi="黑体"/>
                <w:sz w:val="24"/>
                <w:szCs w:val="21"/>
              </w:rPr>
              <w:t>4-2    线路敏感点监测点位示意图</w:t>
            </w:r>
          </w:p>
          <w:p>
            <w:pPr>
              <w:rPr>
                <w:rFonts w:eastAsia="宋体"/>
                <w:sz w:val="24"/>
                <w:szCs w:val="28"/>
              </w:rPr>
            </w:pPr>
            <w:r>
              <w:rPr>
                <w:rFonts w:ascii="黑体" w:hAnsi="黑体" w:eastAsia="黑体"/>
                <w:szCs w:val="28"/>
              </w:rPr>
              <w:pict>
                <v:group id="_x0000_s2104" o:spid="_x0000_s2104" o:spt="203" style="position:absolute;left:0pt;margin-left:8.9pt;margin-top:3.05pt;height:235.3pt;width:398.6pt;z-index:251661312;mso-width-relative:page;mso-height-relative:page;" coordorigin="1494,7854" coordsize="8958,5292" editas="canvas">
                  <o:lock v:ext="edit"/>
                  <v:shape id="_x0000_s2105" o:spid="_x0000_s2105" o:spt="75" type="#_x0000_t75" style="position:absolute;left:1494;top:7854;height:5292;width:8958;" filled="f" o:preferrelative="t" stroked="t" coordsize="21600,21600">
                    <v:fill on="f" focussize="0,0"/>
                    <v:stroke joinstyle="miter"/>
                    <v:imagedata o:title=""/>
                    <o:lock v:ext="edit" rotation="t" aspectratio="t"/>
                  </v:shape>
                  <v:shape id="文本框 25" o:spid="_x0000_s2106" o:spt="202" type="#_x0000_t202" style="position:absolute;left:4872;top:9900;height:454;width:757;" fillcolor="#000005" filled="f" stroked="f" coordsize="21600,21600">
                    <v:path/>
                    <v:fill on="f" focussize="0,0"/>
                    <v:stroke on="f" weight="0.5pt" joinstyle="miter"/>
                    <v:imagedata o:title=""/>
                    <o:lock v:ext="edit"/>
                    <v:textbox>
                      <w:txbxContent>
                        <w:p>
                          <w:pPr>
                            <w:rPr>
                              <w:rFonts w:eastAsia="宋体"/>
                              <w:sz w:val="21"/>
                            </w:rPr>
                          </w:pPr>
                          <w:r>
                            <w:rPr>
                              <w:rFonts w:hint="eastAsia" w:eastAsia="宋体"/>
                              <w:sz w:val="21"/>
                            </w:rPr>
                            <w:t>12</w:t>
                          </w:r>
                          <w:r>
                            <w:rPr>
                              <w:rFonts w:eastAsia="宋体"/>
                              <w:sz w:val="21"/>
                            </w:rPr>
                            <w:t>m</w:t>
                          </w:r>
                        </w:p>
                      </w:txbxContent>
                    </v:textbox>
                  </v:shape>
                  <v:rect id="矩形 2419" o:spid="_x0000_s2107" o:spt="1" style="position:absolute;left:3601;top:10547;height:741;width:1762;" coordsize="21600,21600">
                    <v:path/>
                    <v:fill focussize="0,0"/>
                    <v:stroke/>
                    <v:imagedata o:title=""/>
                    <o:lock v:ext="edit"/>
                    <v:textbox>
                      <w:txbxContent>
                        <w:p>
                          <w:pPr>
                            <w:spacing w:line="240" w:lineRule="exact"/>
                          </w:pPr>
                          <w:r>
                            <w:rPr>
                              <w:rFonts w:hint="eastAsia" w:hAnsi="宋体" w:eastAsia="宋体"/>
                              <w:color w:val="000000"/>
                              <w:kern w:val="0"/>
                              <w:sz w:val="21"/>
                            </w:rPr>
                            <w:t>2、</w:t>
                          </w:r>
                          <w:r>
                            <w:rPr>
                              <w:rFonts w:hAnsi="宋体" w:eastAsia="宋体"/>
                              <w:color w:val="000000"/>
                              <w:sz w:val="21"/>
                            </w:rPr>
                            <w:t>张垌村王娟家</w:t>
                          </w:r>
                        </w:p>
                      </w:txbxContent>
                    </v:textbox>
                  </v:rect>
                  <v:shape id="文本框 2423" o:spid="_x0000_s2110" o:spt="202" type="#_x0000_t202" style="position:absolute;left:5629;top:9406;height:579;width:1742;" filled="f" stroked="f" coordsize="21600,21600">
                    <v:path/>
                    <v:fill on="f" focussize="0,0"/>
                    <v:stroke on="f" joinstyle="miter"/>
                    <v:imagedata o:title=""/>
                    <o:lock v:ext="edit"/>
                    <v:textbox>
                      <w:txbxContent>
                        <w:p>
                          <w:pPr>
                            <w:rPr>
                              <w:rFonts w:ascii="宋体" w:hAnsi="宋体" w:eastAsia="宋体"/>
                              <w:sz w:val="21"/>
                            </w:rPr>
                          </w:pPr>
                          <w:r>
                            <w:rPr>
                              <w:rFonts w:hint="eastAsia" w:ascii="宋体" w:hAnsi="宋体" w:eastAsia="宋体"/>
                              <w:sz w:val="21"/>
                            </w:rPr>
                            <w:t>本工程</w:t>
                          </w:r>
                          <w:r>
                            <w:rPr>
                              <w:rFonts w:ascii="宋体" w:hAnsi="宋体" w:eastAsia="宋体"/>
                              <w:sz w:val="21"/>
                            </w:rPr>
                            <w:t>线路</w:t>
                          </w:r>
                        </w:p>
                      </w:txbxContent>
                    </v:textbox>
                  </v:shape>
                  <v:group id="_x0000_s2120" o:spid="_x0000_s2120" o:spt="203" style="position:absolute;left:4400;top:9663;height:1061;width:3774;" coordorigin="3587,10724" coordsize="3775,1060">
                    <o:lock v:ext="edit"/>
                    <v:line id="直线 2421" o:spid="_x0000_s2108" o:spt="20" style="position:absolute;left:3587;top:10724;flip:x y;height:1060;width:3775;" coordsize="21600,21600">
                      <v:path arrowok="t"/>
                      <v:fill focussize="0,0"/>
                      <v:stroke/>
                      <v:imagedata o:title=""/>
                      <o:lock v:ext="edit"/>
                    </v:line>
                    <v:shape id="自选图形 2422" o:spid="_x0000_s2109" o:spt="176" type="#_x0000_t176" style="position:absolute;left:3910;top:10758;height:182;width:175;" fillcolor="#000000" filled="t" coordsize="21600,21600">
                      <v:path/>
                      <v:fill on="t" focussize="0,0"/>
                      <v:stroke joinstyle="miter"/>
                      <v:imagedata o:title=""/>
                      <o:lock v:ext="edit"/>
                    </v:shape>
                    <v:shape id="自选图形 2424" o:spid="_x0000_s2111" o:spt="176" type="#_x0000_t176" style="position:absolute;left:6644;top:11521;height:182;width:175;" fillcolor="#000000" filled="t" coordsize="21600,21600">
                      <v:path/>
                      <v:fill on="t" focussize="0,0"/>
                      <v:stroke joinstyle="miter"/>
                      <v:imagedata o:title=""/>
                      <o:lock v:ext="edit"/>
                    </v:shape>
                  </v:group>
                  <v:line id="直线 2425" o:spid="_x0000_s2112" o:spt="20" style="position:absolute;left:4788;top:9799;flip:y;height:609;width:177;" coordsize="21600,21600">
                    <v:path arrowok="t"/>
                    <v:fill focussize="0,0"/>
                    <v:stroke startarrow="block" endarrow="block"/>
                    <v:imagedata o:title=""/>
                    <o:lock v:ext="edit"/>
                  </v:line>
                  <v:line id="直线 2426" o:spid="_x0000_s2113" o:spt="20" style="position:absolute;left:10000;top:8204;flip:y;height:633;width:1;" coordsize="21600,21600">
                    <v:path arrowok="t"/>
                    <v:fill focussize="0,0"/>
                    <v:stroke weight="4.5pt" endarrow="block"/>
                    <v:imagedata o:title=""/>
                    <o:lock v:ext="edit"/>
                  </v:line>
                  <v:shape id="文本框 2427" o:spid="_x0000_s2114" o:spt="202" type="#_x0000_t202" style="position:absolute;left:9756;top:7854;height:607;width:467;" filled="f" stroked="f" coordsize="21600,21600">
                    <v:path/>
                    <v:fill on="f" focussize="0,0"/>
                    <v:stroke on="f" joinstyle="miter"/>
                    <v:imagedata o:title=""/>
                    <o:lock v:ext="edit"/>
                    <v:textbox>
                      <w:txbxContent>
                        <w:p>
                          <w:r>
                            <w:rPr>
                              <w:rFonts w:hint="eastAsia"/>
                              <w:sz w:val="24"/>
                            </w:rPr>
                            <w:t>N</w:t>
                          </w:r>
                          <w:r>
                            <w:rPr>
                              <w:rFonts w:hint="eastAsia"/>
                            </w:rPr>
                            <w:t xml:space="preserve"> </w:t>
                          </w:r>
                        </w:p>
                      </w:txbxContent>
                    </v:textbox>
                  </v:shape>
                  <v:shape id="文本框 2428" o:spid="_x0000_s2115" o:spt="202" type="#_x0000_t202" style="position:absolute;left:8502;top:12107;height:1039;width:1721;" filled="f" stroked="f" coordsize="21600,21600">
                    <v:path/>
                    <v:fill on="f" focussize="0,0"/>
                    <v:stroke on="f" joinstyle="miter"/>
                    <v:imagedata o:title=""/>
                    <o:lock v:ext="edit"/>
                    <v:textbox>
                      <w:txbxContent>
                        <w:p>
                          <w:pPr>
                            <w:rPr>
                              <w:rFonts w:ascii="宋体" w:hAnsi="宋体" w:eastAsia="宋体"/>
                              <w:b/>
                              <w:sz w:val="21"/>
                              <w:szCs w:val="21"/>
                            </w:rPr>
                          </w:pPr>
                          <w:r>
                            <w:rPr>
                              <w:rFonts w:ascii="宋体" w:hAnsi="宋体" w:eastAsia="宋体"/>
                              <w:b/>
                              <w:sz w:val="21"/>
                              <w:szCs w:val="21"/>
                            </w:rPr>
                            <w:t>电磁监测点</w:t>
                          </w:r>
                        </w:p>
                        <w:p>
                          <w:pPr>
                            <w:rPr>
                              <w:rFonts w:ascii="宋体" w:hAnsi="宋体" w:eastAsia="宋体"/>
                              <w:b/>
                              <w:sz w:val="21"/>
                              <w:szCs w:val="21"/>
                            </w:rPr>
                          </w:pPr>
                          <w:r>
                            <w:rPr>
                              <w:rFonts w:ascii="宋体" w:hAnsi="宋体" w:eastAsia="宋体"/>
                              <w:b/>
                              <w:sz w:val="21"/>
                              <w:szCs w:val="21"/>
                            </w:rPr>
                            <w:t>噪声监测点</w:t>
                          </w:r>
                        </w:p>
                      </w:txbxContent>
                    </v:textbox>
                  </v:shape>
                  <v:shape id="自选图形 2429" o:spid="_x0000_s2116" o:spt="5" type="#_x0000_t5" style="position:absolute;left:8260;top:12578;height:192;width:242;" fillcolor="#000000" filled="t" coordsize="21600,21600">
                    <v:path/>
                    <v:fill on="t" focussize="0,0"/>
                    <v:stroke joinstyle="miter"/>
                    <v:imagedata o:title=""/>
                    <o:lock v:ext="edit"/>
                  </v:shape>
                  <v:shape id="自选图形 2430" o:spid="_x0000_s2117" o:spt="12" type="#_x0000_t12" style="position:absolute;left:8260;top:12250;height:244;width:242;" coordsize="21600,21600">
                    <v:path/>
                    <v:fill focussize="0,0"/>
                    <v:stroke joinstyle="miter"/>
                    <v:imagedata o:title=""/>
                    <o:lock v:ext="edit"/>
                  </v:shape>
                  <v:shape id="自选图形 2431" o:spid="_x0000_s2118" o:spt="12" type="#_x0000_t12" style="position:absolute;left:4481;top:10110;height:244;width:241;" coordsize="21600,21600">
                    <v:path/>
                    <v:fill focussize="0,0"/>
                    <v:stroke joinstyle="miter"/>
                    <v:imagedata o:title=""/>
                    <o:lock v:ext="edit"/>
                  </v:shape>
                  <v:shape id="自选图形 2432" o:spid="_x0000_s2119" o:spt="5" type="#_x0000_t5" style="position:absolute;left:4872;top:10268;height:193;width:243;" fillcolor="#000000" filled="t" coordsize="21600,21600">
                    <v:path/>
                    <v:fill on="t" focussize="0,0"/>
                    <v:stroke joinstyle="miter"/>
                    <v:imagedata o:title=""/>
                    <o:lock v:ext="edit"/>
                  </v:shape>
                </v:group>
              </w:pict>
            </w: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pStyle w:val="4"/>
              <w:adjustRightInd w:val="0"/>
              <w:snapToGrid w:val="0"/>
              <w:spacing w:line="520" w:lineRule="exact"/>
              <w:rPr>
                <w:rFonts w:ascii="Times New Roman" w:hAnsi="黑体"/>
                <w:sz w:val="24"/>
                <w:szCs w:val="21"/>
              </w:rPr>
            </w:pPr>
          </w:p>
          <w:p>
            <w:pPr>
              <w:pStyle w:val="4"/>
              <w:adjustRightInd w:val="0"/>
              <w:snapToGrid w:val="0"/>
              <w:spacing w:line="520" w:lineRule="exact"/>
              <w:jc w:val="center"/>
              <w:rPr>
                <w:rFonts w:ascii="Times New Roman" w:hAnsi="黑体"/>
                <w:sz w:val="24"/>
                <w:szCs w:val="21"/>
              </w:rPr>
            </w:pPr>
            <w:r>
              <w:rPr>
                <w:rFonts w:ascii="Times New Roman" w:hAnsi="黑体"/>
                <w:sz w:val="24"/>
                <w:szCs w:val="21"/>
              </w:rPr>
              <w:t>图</w:t>
            </w:r>
            <w:r>
              <w:rPr>
                <w:rFonts w:hint="eastAsia" w:ascii="Times New Roman" w:hAnsi="黑体"/>
                <w:sz w:val="24"/>
                <w:szCs w:val="21"/>
              </w:rPr>
              <w:t>4-3   线路敏感点监测点位示意图</w:t>
            </w:r>
          </w:p>
          <w:p>
            <w:pPr>
              <w:rPr>
                <w:rFonts w:eastAsia="宋体"/>
                <w:sz w:val="24"/>
                <w:szCs w:val="28"/>
              </w:rPr>
            </w:pPr>
          </w:p>
          <w:p>
            <w:pPr>
              <w:rPr>
                <w:rFonts w:eastAsia="宋体"/>
                <w:sz w:val="24"/>
                <w:szCs w:val="28"/>
              </w:rPr>
            </w:pPr>
            <w:r>
              <w:rPr>
                <w:rFonts w:ascii="黑体" w:hAnsi="黑体" w:eastAsia="黑体"/>
                <w:szCs w:val="28"/>
              </w:rPr>
              <w:pict>
                <v:group id="_x0000_s2121" o:spid="_x0000_s2121" o:spt="203" style="position:absolute;left:0pt;margin-left:7.3pt;margin-top:7.2pt;height:235.3pt;width:398.6pt;z-index:251662336;mso-width-relative:page;mso-height-relative:page;" coordorigin="1494,7854" coordsize="8958,5292" editas="canvas">
                  <o:lock v:ext="edit"/>
                  <v:shape id="_x0000_s2122" o:spid="_x0000_s2122" o:spt="75" type="#_x0000_t75" style="position:absolute;left:1494;top:7854;height:5292;width:8958;" filled="f" o:preferrelative="t" stroked="t" coordsize="21600,21600">
                    <v:fill on="f" focussize="0,0"/>
                    <v:stroke joinstyle="miter"/>
                    <v:imagedata o:title=""/>
                    <o:lock v:ext="edit" rotation="t" aspectratio="t"/>
                  </v:shape>
                  <v:shape id="文本框 25" o:spid="_x0000_s2123" o:spt="202" type="#_x0000_t202" style="position:absolute;left:4726;top:10527;height:454;width:757;" fillcolor="#000005" filled="f" stroked="f" coordsize="21600,21600">
                    <v:path/>
                    <v:fill on="f" focussize="0,0"/>
                    <v:stroke on="f" weight="0.5pt" joinstyle="miter"/>
                    <v:imagedata o:title=""/>
                    <o:lock v:ext="edit"/>
                    <v:textbox>
                      <w:txbxContent>
                        <w:p>
                          <w:pPr>
                            <w:rPr>
                              <w:rFonts w:eastAsia="宋体"/>
                              <w:sz w:val="21"/>
                            </w:rPr>
                          </w:pPr>
                          <w:r>
                            <w:rPr>
                              <w:rFonts w:hint="eastAsia" w:eastAsia="宋体"/>
                              <w:sz w:val="21"/>
                            </w:rPr>
                            <w:t>30</w:t>
                          </w:r>
                          <w:r>
                            <w:rPr>
                              <w:rFonts w:eastAsia="宋体"/>
                              <w:sz w:val="21"/>
                            </w:rPr>
                            <w:t>m</w:t>
                          </w:r>
                        </w:p>
                      </w:txbxContent>
                    </v:textbox>
                  </v:shape>
                  <v:rect id="矩形 2419" o:spid="_x0000_s2124" o:spt="1" style="position:absolute;left:4441;top:9176;height:741;width:1762;" coordsize="21600,21600">
                    <v:path/>
                    <v:fill focussize="0,0"/>
                    <v:stroke/>
                    <v:imagedata o:title=""/>
                    <o:lock v:ext="edit"/>
                    <v:textbox>
                      <w:txbxContent>
                        <w:p>
                          <w:pPr>
                            <w:spacing w:line="240" w:lineRule="exact"/>
                          </w:pPr>
                          <w:r>
                            <w:rPr>
                              <w:rFonts w:hint="eastAsia" w:hAnsi="宋体" w:eastAsia="宋体"/>
                              <w:color w:val="000000"/>
                              <w:kern w:val="0"/>
                              <w:sz w:val="21"/>
                            </w:rPr>
                            <w:t>3、</w:t>
                          </w:r>
                          <w:r>
                            <w:rPr>
                              <w:rFonts w:hAnsi="宋体" w:eastAsia="宋体"/>
                              <w:color w:val="000000"/>
                              <w:sz w:val="21"/>
                            </w:rPr>
                            <w:t>张垌村范国明家</w:t>
                          </w:r>
                        </w:p>
                      </w:txbxContent>
                    </v:textbox>
                  </v:rect>
                  <v:shape id="文本框 2423" o:spid="_x0000_s2125" o:spt="202" type="#_x0000_t202" style="position:absolute;left:4726;top:11450;height:579;width:1741;" filled="f" stroked="f" coordsize="21600,21600">
                    <v:path/>
                    <v:fill on="f" focussize="0,0"/>
                    <v:stroke on="f" joinstyle="miter"/>
                    <v:imagedata o:title=""/>
                    <o:lock v:ext="edit"/>
                    <v:textbox>
                      <w:txbxContent>
                        <w:p>
                          <w:pPr>
                            <w:rPr>
                              <w:rFonts w:ascii="宋体" w:hAnsi="宋体" w:eastAsia="宋体"/>
                              <w:sz w:val="21"/>
                            </w:rPr>
                          </w:pPr>
                          <w:r>
                            <w:rPr>
                              <w:rFonts w:hint="eastAsia" w:ascii="宋体" w:hAnsi="宋体" w:eastAsia="宋体"/>
                              <w:sz w:val="21"/>
                            </w:rPr>
                            <w:t>本工程</w:t>
                          </w:r>
                          <w:r>
                            <w:rPr>
                              <w:rFonts w:ascii="宋体" w:hAnsi="宋体" w:eastAsia="宋体"/>
                              <w:sz w:val="21"/>
                            </w:rPr>
                            <w:t>线路</w:t>
                          </w:r>
                        </w:p>
                      </w:txbxContent>
                    </v:textbox>
                  </v:shape>
                  <v:group id="_x0000_s2126" o:spid="_x0000_s2126" o:spt="203" style="position:absolute;left:3817;top:10948;height:1060;width:3774;" coordorigin="3587,10724" coordsize="3775,1060">
                    <o:lock v:ext="edit"/>
                    <v:line id="直线 2421" o:spid="_x0000_s2127" o:spt="20" style="position:absolute;left:3587;top:10724;flip:x y;height:1060;width:3775;" coordsize="21600,21600">
                      <v:path arrowok="t"/>
                      <v:fill focussize="0,0"/>
                      <v:stroke/>
                      <v:imagedata o:title=""/>
                      <o:lock v:ext="edit"/>
                    </v:line>
                    <v:shape id="自选图形 2422" o:spid="_x0000_s2128" o:spt="176" type="#_x0000_t176" style="position:absolute;left:3910;top:10758;height:182;width:175;" fillcolor="#000000" filled="t" coordsize="21600,21600">
                      <v:path/>
                      <v:fill on="t" focussize="0,0"/>
                      <v:stroke joinstyle="miter"/>
                      <v:imagedata o:title=""/>
                      <o:lock v:ext="edit"/>
                    </v:shape>
                    <v:shape id="自选图形 2424" o:spid="_x0000_s2129" o:spt="176" type="#_x0000_t176" style="position:absolute;left:6644;top:11521;height:182;width:175;" fillcolor="#000000" filled="t" coordsize="21600,21600">
                      <v:path/>
                      <v:fill on="t" focussize="0,0"/>
                      <v:stroke joinstyle="miter"/>
                      <v:imagedata o:title=""/>
                      <o:lock v:ext="edit"/>
                    </v:shape>
                  </v:group>
                  <v:line id="直线 2426" o:spid="_x0000_s2131" o:spt="20" style="position:absolute;left:10000;top:8204;flip:y;height:633;width:1;" coordsize="21600,21600">
                    <v:path arrowok="t"/>
                    <v:fill focussize="0,0"/>
                    <v:stroke weight="4.5pt" endarrow="block"/>
                    <v:imagedata o:title=""/>
                    <o:lock v:ext="edit"/>
                  </v:line>
                  <v:shape id="文本框 2427" o:spid="_x0000_s2132" o:spt="202" type="#_x0000_t202" style="position:absolute;left:9756;top:7854;height:607;width:467;" filled="f" stroked="f" coordsize="21600,21600">
                    <v:path/>
                    <v:fill on="f" focussize="0,0"/>
                    <v:stroke on="f" joinstyle="miter"/>
                    <v:imagedata o:title=""/>
                    <o:lock v:ext="edit"/>
                    <v:textbox>
                      <w:txbxContent>
                        <w:p>
                          <w:r>
                            <w:rPr>
                              <w:rFonts w:hint="eastAsia"/>
                              <w:sz w:val="24"/>
                            </w:rPr>
                            <w:t>N</w:t>
                          </w:r>
                          <w:r>
                            <w:rPr>
                              <w:rFonts w:hint="eastAsia"/>
                            </w:rPr>
                            <w:t xml:space="preserve"> </w:t>
                          </w:r>
                        </w:p>
                      </w:txbxContent>
                    </v:textbox>
                  </v:shape>
                  <v:shape id="文本框 2428" o:spid="_x0000_s2133" o:spt="202" type="#_x0000_t202" style="position:absolute;left:8502;top:12107;height:1039;width:1721;" filled="f" stroked="f" coordsize="21600,21600">
                    <v:path/>
                    <v:fill on="f" focussize="0,0"/>
                    <v:stroke on="f" joinstyle="miter"/>
                    <v:imagedata o:title=""/>
                    <o:lock v:ext="edit"/>
                    <v:textbox>
                      <w:txbxContent>
                        <w:p>
                          <w:pPr>
                            <w:rPr>
                              <w:rFonts w:ascii="宋体" w:hAnsi="宋体" w:eastAsia="宋体"/>
                              <w:b/>
                              <w:sz w:val="21"/>
                              <w:szCs w:val="21"/>
                            </w:rPr>
                          </w:pPr>
                          <w:r>
                            <w:rPr>
                              <w:rFonts w:ascii="宋体" w:hAnsi="宋体" w:eastAsia="宋体"/>
                              <w:b/>
                              <w:sz w:val="21"/>
                              <w:szCs w:val="21"/>
                            </w:rPr>
                            <w:t>电磁监测点</w:t>
                          </w:r>
                        </w:p>
                        <w:p>
                          <w:pPr>
                            <w:rPr>
                              <w:rFonts w:ascii="宋体" w:hAnsi="宋体" w:eastAsia="宋体"/>
                              <w:b/>
                              <w:sz w:val="21"/>
                              <w:szCs w:val="21"/>
                            </w:rPr>
                          </w:pPr>
                          <w:r>
                            <w:rPr>
                              <w:rFonts w:ascii="宋体" w:hAnsi="宋体" w:eastAsia="宋体"/>
                              <w:b/>
                              <w:sz w:val="21"/>
                              <w:szCs w:val="21"/>
                            </w:rPr>
                            <w:t>噪声监测点</w:t>
                          </w:r>
                        </w:p>
                      </w:txbxContent>
                    </v:textbox>
                  </v:shape>
                  <v:shape id="自选图形 2429" o:spid="_x0000_s2134" o:spt="5" type="#_x0000_t5" style="position:absolute;left:8260;top:12578;height:192;width:242;" fillcolor="#000000" filled="t" coordsize="21600,21600">
                    <v:path/>
                    <v:fill on="t" focussize="0,0"/>
                    <v:stroke joinstyle="miter"/>
                    <v:imagedata o:title=""/>
                    <o:lock v:ext="edit"/>
                  </v:shape>
                  <v:shape id="自选图形 2430" o:spid="_x0000_s2135" o:spt="12" type="#_x0000_t12" style="position:absolute;left:8260;top:12250;height:244;width:242;" coordsize="21600,21600">
                    <v:path/>
                    <v:fill focussize="0,0"/>
                    <v:stroke joinstyle="miter"/>
                    <v:imagedata o:title=""/>
                    <o:lock v:ext="edit"/>
                  </v:shape>
                  <v:group id="_x0000_s2139" o:spid="_x0000_s2139" o:spt="203" style="position:absolute;left:4647;top:9948;height:351;width:634;" coordorigin="4481,10110" coordsize="634,351">
                    <o:lock v:ext="edit"/>
                    <v:shape id="自选图形 2431" o:spid="_x0000_s2136" o:spt="12" type="#_x0000_t12" style="position:absolute;left:4481;top:10110;height:244;width:241;" coordsize="21600,21600">
                      <v:path/>
                      <v:fill focussize="0,0"/>
                      <v:stroke joinstyle="miter"/>
                      <v:imagedata o:title=""/>
                      <o:lock v:ext="edit"/>
                    </v:shape>
                    <v:shape id="自选图形 2432" o:spid="_x0000_s2137" o:spt="5" type="#_x0000_t5" style="position:absolute;left:4872;top:10268;height:193;width:243;" fillcolor="#000000" filled="t" coordsize="21600,21600">
                      <v:path/>
                      <v:fill on="t" focussize="0,0"/>
                      <v:stroke joinstyle="miter"/>
                      <v:imagedata o:title=""/>
                      <o:lock v:ext="edit"/>
                    </v:shape>
                  </v:group>
                  <v:line id="直线 2425" o:spid="_x0000_s2138" o:spt="20" style="position:absolute;left:4607;top:10299;flip:y;height:864;width:291;" coordsize="21600,21600">
                    <v:path arrowok="t"/>
                    <v:fill focussize="0,0"/>
                    <v:stroke startarrow="block" endarrow="block"/>
                    <v:imagedata o:title=""/>
                    <o:lock v:ext="edit"/>
                  </v:line>
                </v:group>
              </w:pict>
            </w: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ind w:firstLine="480" w:firstLineChars="200"/>
              <w:jc w:val="center"/>
              <w:rPr>
                <w:rFonts w:ascii="黑体" w:hAnsi="黑体"/>
                <w:sz w:val="24"/>
                <w:szCs w:val="21"/>
              </w:rPr>
            </w:pPr>
          </w:p>
          <w:p>
            <w:pPr>
              <w:pStyle w:val="4"/>
              <w:adjustRightInd w:val="0"/>
              <w:snapToGrid w:val="0"/>
              <w:rPr>
                <w:rFonts w:ascii="黑体" w:hAnsi="黑体"/>
                <w:sz w:val="24"/>
                <w:szCs w:val="21"/>
              </w:rPr>
            </w:pPr>
          </w:p>
          <w:p>
            <w:pPr>
              <w:pStyle w:val="4"/>
              <w:adjustRightInd w:val="0"/>
              <w:snapToGrid w:val="0"/>
              <w:spacing w:line="520" w:lineRule="exact"/>
              <w:ind w:firstLine="480" w:firstLineChars="200"/>
              <w:jc w:val="center"/>
              <w:rPr>
                <w:rFonts w:ascii="Times New Roman" w:hAnsi="黑体"/>
                <w:sz w:val="24"/>
                <w:szCs w:val="21"/>
              </w:rPr>
            </w:pPr>
            <w:r>
              <w:rPr>
                <w:rFonts w:ascii="Times New Roman" w:hAnsi="黑体"/>
                <w:sz w:val="24"/>
                <w:szCs w:val="21"/>
              </w:rPr>
              <w:t>图</w:t>
            </w:r>
            <w:r>
              <w:rPr>
                <w:rFonts w:ascii="Times New Roman" w:hAnsi="Times New Roman"/>
                <w:sz w:val="24"/>
                <w:szCs w:val="21"/>
              </w:rPr>
              <w:t xml:space="preserve">4-4    </w:t>
            </w:r>
            <w:r>
              <w:rPr>
                <w:rFonts w:ascii="Times New Roman" w:hAnsi="黑体"/>
                <w:sz w:val="24"/>
                <w:szCs w:val="21"/>
              </w:rPr>
              <w:t>线路敏感点监测点位示意图</w:t>
            </w:r>
          </w:p>
          <w:p/>
          <w:p/>
          <w:p/>
          <w:p/>
          <w:p>
            <w:pPr>
              <w:rPr>
                <w:rFonts w:eastAsia="宋体"/>
                <w:sz w:val="24"/>
                <w:szCs w:val="28"/>
              </w:rPr>
            </w:pPr>
            <w:r>
              <w:rPr>
                <w:rFonts w:ascii="黑体" w:hAnsi="黑体" w:eastAsia="黑体"/>
                <w:szCs w:val="28"/>
              </w:rPr>
              <w:pict>
                <v:group id="_x0000_s2140" o:spid="_x0000_s2140" o:spt="203" style="position:absolute;left:0pt;margin-left:7.3pt;margin-top:13.35pt;height:235.3pt;width:398.6pt;z-index:251663360;mso-width-relative:page;mso-height-relative:page;" coordorigin="1494,7854" coordsize="8958,5292" editas="canvas">
                  <o:lock v:ext="edit"/>
                  <v:shape id="_x0000_s2141" o:spid="_x0000_s2141" o:spt="75" type="#_x0000_t75" style="position:absolute;left:1494;top:7854;height:5292;width:8958;" filled="f" o:preferrelative="t" stroked="t" coordsize="21600,21600">
                    <v:fill on="f" focussize="0,0"/>
                    <v:stroke joinstyle="miter"/>
                    <v:imagedata o:title=""/>
                    <o:lock v:ext="edit" rotation="t" aspectratio="t"/>
                  </v:shape>
                  <v:shape id="文本框 25" o:spid="_x0000_s2142" o:spt="202" type="#_x0000_t202" style="position:absolute;left:4607;top:10205;height:455;width:757;" fillcolor="#000005" filled="f" stroked="f" coordsize="21600,21600">
                    <v:path/>
                    <v:fill on="f" focussize="0,0"/>
                    <v:stroke on="f" weight="0.5pt" joinstyle="miter"/>
                    <v:imagedata o:title=""/>
                    <o:lock v:ext="edit"/>
                    <v:textbox>
                      <w:txbxContent>
                        <w:p>
                          <w:pPr>
                            <w:rPr>
                              <w:rFonts w:eastAsia="宋体"/>
                              <w:sz w:val="21"/>
                            </w:rPr>
                          </w:pPr>
                          <w:r>
                            <w:rPr>
                              <w:rFonts w:hint="eastAsia" w:eastAsia="宋体"/>
                              <w:sz w:val="21"/>
                            </w:rPr>
                            <w:t>17</w:t>
                          </w:r>
                          <w:r>
                            <w:rPr>
                              <w:rFonts w:eastAsia="宋体"/>
                              <w:sz w:val="21"/>
                            </w:rPr>
                            <w:t>m</w:t>
                          </w:r>
                        </w:p>
                      </w:txbxContent>
                    </v:textbox>
                  </v:shape>
                  <v:rect id="矩形 2419" o:spid="_x0000_s2143" o:spt="1" style="position:absolute;left:6117;top:9578;height:741;width:1762;" coordsize="21600,21600">
                    <v:path/>
                    <v:fill focussize="0,0"/>
                    <v:stroke/>
                    <v:imagedata o:title=""/>
                    <o:lock v:ext="edit"/>
                    <v:textbox>
                      <w:txbxContent>
                        <w:p>
                          <w:pPr>
                            <w:spacing w:line="240" w:lineRule="exact"/>
                          </w:pPr>
                          <w:r>
                            <w:rPr>
                              <w:rFonts w:hint="eastAsia" w:hAnsi="宋体" w:eastAsia="宋体"/>
                              <w:color w:val="000000"/>
                              <w:kern w:val="0"/>
                              <w:sz w:val="21"/>
                            </w:rPr>
                            <w:t>4、</w:t>
                          </w:r>
                          <w:r>
                            <w:rPr>
                              <w:rFonts w:hAnsi="宋体" w:eastAsia="宋体"/>
                              <w:color w:val="000000"/>
                              <w:sz w:val="21"/>
                            </w:rPr>
                            <w:t>黑龙沟于发海家</w:t>
                          </w:r>
                        </w:p>
                      </w:txbxContent>
                    </v:textbox>
                  </v:rect>
                  <v:shape id="文本框 2423" o:spid="_x0000_s2144" o:spt="202" type="#_x0000_t202" style="position:absolute;left:4139;top:10925;height:579;width:1742;" filled="f" stroked="f" coordsize="21600,21600">
                    <v:path/>
                    <v:fill on="f" focussize="0,0"/>
                    <v:stroke on="f" joinstyle="miter"/>
                    <v:imagedata o:title=""/>
                    <o:lock v:ext="edit"/>
                    <v:textbox>
                      <w:txbxContent>
                        <w:p>
                          <w:pPr>
                            <w:rPr>
                              <w:rFonts w:ascii="宋体" w:hAnsi="宋体" w:eastAsia="宋体"/>
                              <w:sz w:val="21"/>
                            </w:rPr>
                          </w:pPr>
                          <w:r>
                            <w:rPr>
                              <w:rFonts w:hint="eastAsia" w:ascii="宋体" w:hAnsi="宋体" w:eastAsia="宋体"/>
                              <w:sz w:val="21"/>
                            </w:rPr>
                            <w:t>本工程</w:t>
                          </w:r>
                          <w:r>
                            <w:rPr>
                              <w:rFonts w:ascii="宋体" w:hAnsi="宋体" w:eastAsia="宋体"/>
                              <w:sz w:val="21"/>
                            </w:rPr>
                            <w:t>线路</w:t>
                          </w:r>
                        </w:p>
                      </w:txbxContent>
                    </v:textbox>
                  </v:shape>
                  <v:group id="_x0000_s2145" o:spid="_x0000_s2145" o:spt="203" style="position:absolute;left:3632;top:10444;height:1060;width:3775;" coordorigin="3587,10724" coordsize="3775,1060">
                    <o:lock v:ext="edit"/>
                    <v:line id="直线 2421" o:spid="_x0000_s2146" o:spt="20" style="position:absolute;left:3587;top:10724;flip:x y;height:1060;width:3775;" coordsize="21600,21600">
                      <v:path arrowok="t"/>
                      <v:fill focussize="0,0"/>
                      <v:stroke/>
                      <v:imagedata o:title=""/>
                      <o:lock v:ext="edit"/>
                    </v:line>
                    <v:shape id="自选图形 2422" o:spid="_x0000_s2147" o:spt="176" type="#_x0000_t176" style="position:absolute;left:3910;top:10758;height:182;width:175;" fillcolor="#000000" filled="t" coordsize="21600,21600">
                      <v:path/>
                      <v:fill on="t" focussize="0,0"/>
                      <v:stroke joinstyle="miter"/>
                      <v:imagedata o:title=""/>
                      <o:lock v:ext="edit"/>
                    </v:shape>
                    <v:shape id="自选图形 2424" o:spid="_x0000_s2148" o:spt="176" type="#_x0000_t176" style="position:absolute;left:6644;top:11521;height:182;width:175;" fillcolor="#000000" filled="t" coordsize="21600,21600">
                      <v:path/>
                      <v:fill on="t" focussize="0,0"/>
                      <v:stroke joinstyle="miter"/>
                      <v:imagedata o:title=""/>
                      <o:lock v:ext="edit"/>
                    </v:shape>
                  </v:group>
                  <v:line id="直线 2426" o:spid="_x0000_s2150" o:spt="20" style="position:absolute;left:10000;top:8204;flip:y;height:633;width:1;" coordsize="21600,21600">
                    <v:path arrowok="t"/>
                    <v:fill focussize="0,0"/>
                    <v:stroke weight="4.5pt" endarrow="block"/>
                    <v:imagedata o:title=""/>
                    <o:lock v:ext="edit"/>
                  </v:line>
                  <v:shape id="文本框 2427" o:spid="_x0000_s2151" o:spt="202" type="#_x0000_t202" style="position:absolute;left:9756;top:7854;height:607;width:467;" filled="f" stroked="f" coordsize="21600,21600">
                    <v:path/>
                    <v:fill on="f" focussize="0,0"/>
                    <v:stroke on="f" joinstyle="miter"/>
                    <v:imagedata o:title=""/>
                    <o:lock v:ext="edit"/>
                    <v:textbox>
                      <w:txbxContent>
                        <w:p>
                          <w:r>
                            <w:rPr>
                              <w:rFonts w:hint="eastAsia"/>
                              <w:sz w:val="24"/>
                            </w:rPr>
                            <w:t>N</w:t>
                          </w:r>
                          <w:r>
                            <w:rPr>
                              <w:rFonts w:hint="eastAsia"/>
                            </w:rPr>
                            <w:t xml:space="preserve"> </w:t>
                          </w:r>
                        </w:p>
                      </w:txbxContent>
                    </v:textbox>
                  </v:shape>
                  <v:shape id="文本框 2428" o:spid="_x0000_s2152" o:spt="202" type="#_x0000_t202" style="position:absolute;left:8502;top:12107;height:1039;width:1721;" filled="f" stroked="f" coordsize="21600,21600">
                    <v:path/>
                    <v:fill on="f" focussize="0,0"/>
                    <v:stroke on="f" joinstyle="miter"/>
                    <v:imagedata o:title=""/>
                    <o:lock v:ext="edit"/>
                    <v:textbox>
                      <w:txbxContent>
                        <w:p>
                          <w:pPr>
                            <w:rPr>
                              <w:rFonts w:ascii="宋体" w:hAnsi="宋体" w:eastAsia="宋体"/>
                              <w:b/>
                              <w:sz w:val="21"/>
                              <w:szCs w:val="21"/>
                            </w:rPr>
                          </w:pPr>
                          <w:r>
                            <w:rPr>
                              <w:rFonts w:ascii="宋体" w:hAnsi="宋体" w:eastAsia="宋体"/>
                              <w:b/>
                              <w:sz w:val="21"/>
                              <w:szCs w:val="21"/>
                            </w:rPr>
                            <w:t>电磁监测点</w:t>
                          </w:r>
                        </w:p>
                        <w:p>
                          <w:pPr>
                            <w:rPr>
                              <w:rFonts w:ascii="宋体" w:hAnsi="宋体" w:eastAsia="宋体"/>
                              <w:b/>
                              <w:sz w:val="21"/>
                              <w:szCs w:val="21"/>
                            </w:rPr>
                          </w:pPr>
                          <w:r>
                            <w:rPr>
                              <w:rFonts w:ascii="宋体" w:hAnsi="宋体" w:eastAsia="宋体"/>
                              <w:b/>
                              <w:sz w:val="21"/>
                              <w:szCs w:val="21"/>
                            </w:rPr>
                            <w:t>噪声监测点</w:t>
                          </w:r>
                        </w:p>
                      </w:txbxContent>
                    </v:textbox>
                  </v:shape>
                  <v:shape id="自选图形 2429" o:spid="_x0000_s2153" o:spt="5" type="#_x0000_t5" style="position:absolute;left:8260;top:12578;height:192;width:242;" fillcolor="#000000" filled="t" coordsize="21600,21600">
                    <v:path/>
                    <v:fill on="t" focussize="0,0"/>
                    <v:stroke joinstyle="miter"/>
                    <v:imagedata o:title=""/>
                    <o:lock v:ext="edit"/>
                  </v:shape>
                  <v:shape id="自选图形 2430" o:spid="_x0000_s2154" o:spt="12" type="#_x0000_t12" style="position:absolute;left:8260;top:12250;height:244;width:242;" coordsize="21600,21600">
                    <v:path/>
                    <v:fill focussize="0,0"/>
                    <v:stroke joinstyle="miter"/>
                    <v:imagedata o:title=""/>
                    <o:lock v:ext="edit"/>
                  </v:shape>
                  <v:group id="_x0000_s2158" o:spid="_x0000_s2158" o:spt="203" style="position:absolute;left:4441;top:9700;height:960;width:634;" coordorigin="4441,9700" coordsize="634,960">
                    <o:lock v:ext="edit"/>
                    <v:line id="直线 2425" o:spid="_x0000_s2149" o:spt="20" style="position:absolute;left:4607;top:10051;flip:y;height:609;width:177;" coordsize="21600,21600">
                      <v:path arrowok="t"/>
                      <v:fill focussize="0,0"/>
                      <v:stroke startarrow="block" endarrow="block"/>
                      <v:imagedata o:title=""/>
                      <o:lock v:ext="edit"/>
                    </v:line>
                    <v:group id="_x0000_s2157" o:spid="_x0000_s2157" o:spt="203" style="position:absolute;left:4441;top:9700;height:351;width:634;" coordorigin="4481,10110" coordsize="634,351">
                      <o:lock v:ext="edit"/>
                      <v:shape id="自选图形 2431" o:spid="_x0000_s2155" o:spt="12" type="#_x0000_t12" style="position:absolute;left:4481;top:10110;height:244;width:241;" coordsize="21600,21600">
                        <v:path/>
                        <v:fill focussize="0,0"/>
                        <v:stroke joinstyle="miter"/>
                        <v:imagedata o:title=""/>
                        <o:lock v:ext="edit"/>
                      </v:shape>
                      <v:shape id="自选图形 2432" o:spid="_x0000_s2156" o:spt="5" type="#_x0000_t5" style="position:absolute;left:4872;top:10268;height:193;width:243;" fillcolor="#000000" filled="t" coordsize="21600,21600">
                        <v:path/>
                        <v:fill on="t" focussize="0,0"/>
                        <v:stroke joinstyle="miter"/>
                        <v:imagedata o:title=""/>
                        <o:lock v:ext="edit"/>
                      </v:shape>
                    </v:group>
                  </v:group>
                  <v:group id="_x0000_s2159" o:spid="_x0000_s2159" o:spt="203" style="position:absolute;left:5483;top:10051;height:960;width:634;" coordorigin="4441,9700" coordsize="634,960">
                    <o:lock v:ext="edit"/>
                    <v:line id="直线 2425" o:spid="_x0000_s2160" o:spt="20" style="position:absolute;left:4607;top:10051;flip:y;height:609;width:177;" coordsize="21600,21600">
                      <v:path arrowok="t"/>
                      <v:fill focussize="0,0"/>
                      <v:stroke startarrow="block" endarrow="block"/>
                      <v:imagedata o:title=""/>
                      <o:lock v:ext="edit"/>
                    </v:line>
                    <v:group id="_x0000_s2161" o:spid="_x0000_s2161" o:spt="203" style="position:absolute;left:4441;top:9700;height:351;width:634;" coordorigin="4481,10110" coordsize="634,351">
                      <o:lock v:ext="edit"/>
                      <v:shape id="自选图形 2431" o:spid="_x0000_s2162" o:spt="12" type="#_x0000_t12" style="position:absolute;left:4481;top:10110;height:244;width:241;" coordsize="21600,21600">
                        <v:path/>
                        <v:fill focussize="0,0"/>
                        <v:stroke joinstyle="miter"/>
                        <v:imagedata o:title=""/>
                        <o:lock v:ext="edit"/>
                      </v:shape>
                      <v:shape id="自选图形 2432" o:spid="_x0000_s2163" o:spt="5" type="#_x0000_t5" style="position:absolute;left:4872;top:10268;height:193;width:243;" fillcolor="#000000" filled="t" coordsize="21600,21600">
                        <v:path/>
                        <v:fill on="t" focussize="0,0"/>
                        <v:stroke joinstyle="miter"/>
                        <v:imagedata o:title=""/>
                        <o:lock v:ext="edit"/>
                      </v:shape>
                    </v:group>
                  </v:group>
                  <v:shape id="文本框 25" o:spid="_x0000_s2164" o:spt="202" type="#_x0000_t202" style="position:absolute;left:5826;top:10556;height:455;width:757;" fillcolor="#000005" filled="f" stroked="f" coordsize="21600,21600">
                    <v:path/>
                    <v:fill on="f" focussize="0,0"/>
                    <v:stroke on="f" weight="0.5pt" joinstyle="miter"/>
                    <v:imagedata o:title=""/>
                    <o:lock v:ext="edit"/>
                    <v:textbox>
                      <w:txbxContent>
                        <w:p>
                          <w:pPr>
                            <w:rPr>
                              <w:rFonts w:eastAsia="宋体"/>
                              <w:sz w:val="21"/>
                            </w:rPr>
                          </w:pPr>
                          <w:r>
                            <w:rPr>
                              <w:rFonts w:hint="eastAsia" w:eastAsia="宋体"/>
                              <w:sz w:val="21"/>
                            </w:rPr>
                            <w:t>17</w:t>
                          </w:r>
                          <w:r>
                            <w:rPr>
                              <w:rFonts w:eastAsia="宋体"/>
                              <w:sz w:val="21"/>
                            </w:rPr>
                            <w:t>m</w:t>
                          </w:r>
                        </w:p>
                      </w:txbxContent>
                    </v:textbox>
                  </v:shape>
                  <v:rect id="矩形 2419" o:spid="_x0000_s2165" o:spt="1" style="position:absolute;left:3817;top:8959;height:741;width:1762;" coordsize="21600,21600">
                    <v:path/>
                    <v:fill focussize="0,0"/>
                    <v:stroke/>
                    <v:imagedata o:title=""/>
                    <o:lock v:ext="edit"/>
                    <v:textbox>
                      <w:txbxContent>
                        <w:p>
                          <w:pPr>
                            <w:spacing w:line="240" w:lineRule="exact"/>
                          </w:pPr>
                          <w:r>
                            <w:rPr>
                              <w:rFonts w:hint="eastAsia" w:hAnsi="宋体" w:eastAsia="宋体"/>
                              <w:color w:val="000000"/>
                              <w:kern w:val="0"/>
                              <w:sz w:val="21"/>
                            </w:rPr>
                            <w:t>5、</w:t>
                          </w:r>
                          <w:r>
                            <w:rPr>
                              <w:rFonts w:hAnsi="宋体" w:eastAsia="宋体"/>
                              <w:color w:val="000000"/>
                              <w:sz w:val="21"/>
                            </w:rPr>
                            <w:t>黑龙沟于</w:t>
                          </w:r>
                          <w:r>
                            <w:rPr>
                              <w:rFonts w:hint="eastAsia" w:hAnsi="宋体" w:eastAsia="宋体"/>
                              <w:color w:val="000000"/>
                              <w:sz w:val="21"/>
                            </w:rPr>
                            <w:t>保成</w:t>
                          </w:r>
                          <w:r>
                            <w:rPr>
                              <w:rFonts w:hAnsi="宋体" w:eastAsia="宋体"/>
                              <w:color w:val="000000"/>
                              <w:sz w:val="21"/>
                            </w:rPr>
                            <w:t>家</w:t>
                          </w:r>
                        </w:p>
                      </w:txbxContent>
                    </v:textbox>
                  </v:rect>
                </v:group>
              </w:pict>
            </w: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pStyle w:val="4"/>
              <w:adjustRightInd w:val="0"/>
              <w:snapToGrid w:val="0"/>
              <w:spacing w:line="520" w:lineRule="exact"/>
              <w:ind w:firstLine="480" w:firstLineChars="200"/>
              <w:jc w:val="center"/>
              <w:rPr>
                <w:rFonts w:ascii="Times New Roman" w:hAnsi="Times New Roman"/>
                <w:sz w:val="24"/>
                <w:szCs w:val="21"/>
              </w:rPr>
            </w:pPr>
            <w:r>
              <w:rPr>
                <w:rFonts w:ascii="Times New Roman" w:hAnsi="黑体"/>
                <w:sz w:val="24"/>
                <w:szCs w:val="21"/>
              </w:rPr>
              <w:t>图</w:t>
            </w:r>
            <w:r>
              <w:rPr>
                <w:rFonts w:ascii="Times New Roman" w:hAnsi="Times New Roman"/>
                <w:sz w:val="24"/>
                <w:szCs w:val="21"/>
              </w:rPr>
              <w:t xml:space="preserve">4-5    </w:t>
            </w:r>
            <w:r>
              <w:rPr>
                <w:rFonts w:ascii="Times New Roman" w:hAnsi="黑体"/>
                <w:sz w:val="24"/>
                <w:szCs w:val="21"/>
              </w:rPr>
              <w:t>线路敏感点监测点位示意图</w:t>
            </w:r>
          </w:p>
          <w:p>
            <w:pPr>
              <w:pStyle w:val="28"/>
              <w:spacing w:line="520" w:lineRule="exact"/>
            </w:pPr>
            <w:r>
              <w:t>4.2.2</w:t>
            </w:r>
            <w:r>
              <w:rPr>
                <w:rFonts w:hint="eastAsia"/>
              </w:rPr>
              <w:t>监测因子、监测方法</w:t>
            </w:r>
          </w:p>
          <w:p>
            <w:pPr>
              <w:pStyle w:val="28"/>
              <w:spacing w:line="520" w:lineRule="exact"/>
              <w:ind w:firstLine="472" w:firstLineChars="200"/>
              <w:rPr>
                <w:b w:val="0"/>
                <w:bCs w:val="0"/>
                <w:spacing w:val="-2"/>
                <w:kern w:val="16"/>
              </w:rPr>
            </w:pPr>
            <w:r>
              <w:rPr>
                <w:rFonts w:hAnsi="宋体"/>
                <w:b w:val="0"/>
                <w:bCs w:val="0"/>
                <w:spacing w:val="-2"/>
                <w:kern w:val="16"/>
              </w:rPr>
              <w:t>监测因子：工频电场强度、工频磁感应强度、噪声</w:t>
            </w:r>
            <w:r>
              <w:rPr>
                <w:rFonts w:hint="eastAsia" w:hAnsi="宋体"/>
                <w:b w:val="0"/>
                <w:bCs w:val="0"/>
                <w:spacing w:val="-2"/>
                <w:kern w:val="16"/>
              </w:rPr>
              <w:t>。</w:t>
            </w:r>
          </w:p>
          <w:p>
            <w:pPr>
              <w:pStyle w:val="28"/>
              <w:spacing w:line="520" w:lineRule="exact"/>
              <w:ind w:firstLine="472" w:firstLineChars="200"/>
            </w:pPr>
            <w:r>
              <w:rPr>
                <w:rFonts w:hAnsi="宋体"/>
                <w:b w:val="0"/>
                <w:bCs w:val="0"/>
                <w:spacing w:val="-2"/>
                <w:kern w:val="16"/>
              </w:rPr>
              <w:t>监测方法：《交流输变电工程电磁环境监测方法（试行）》（</w:t>
            </w:r>
            <w:r>
              <w:rPr>
                <w:b w:val="0"/>
                <w:bCs w:val="0"/>
                <w:spacing w:val="-2"/>
                <w:kern w:val="16"/>
              </w:rPr>
              <w:t>HJ681-2013</w:t>
            </w:r>
            <w:r>
              <w:rPr>
                <w:rFonts w:hAnsi="宋体"/>
                <w:b w:val="0"/>
                <w:bCs w:val="0"/>
                <w:spacing w:val="-2"/>
                <w:kern w:val="16"/>
              </w:rPr>
              <w:t>）、《声环境质量标准》（</w:t>
            </w:r>
            <w:r>
              <w:rPr>
                <w:b w:val="0"/>
                <w:bCs w:val="0"/>
                <w:spacing w:val="-2"/>
                <w:kern w:val="16"/>
              </w:rPr>
              <w:t>GB3096-2008</w:t>
            </w:r>
            <w:r>
              <w:rPr>
                <w:rFonts w:hAnsi="宋体"/>
                <w:b w:val="0"/>
                <w:bCs w:val="0"/>
                <w:spacing w:val="-2"/>
                <w:kern w:val="16"/>
              </w:rPr>
              <w:t>）</w:t>
            </w:r>
          </w:p>
          <w:p>
            <w:pPr>
              <w:pStyle w:val="28"/>
              <w:spacing w:line="520" w:lineRule="exact"/>
            </w:pPr>
            <w:r>
              <w:t>4.2.</w:t>
            </w:r>
            <w:r>
              <w:rPr>
                <w:rFonts w:hint="eastAsia"/>
              </w:rPr>
              <w:t>3监点位布设</w:t>
            </w:r>
          </w:p>
          <w:p>
            <w:pPr>
              <w:pStyle w:val="28"/>
              <w:spacing w:line="520" w:lineRule="exact"/>
              <w:ind w:firstLine="480" w:firstLineChars="200"/>
              <w:rPr>
                <w:b w:val="0"/>
              </w:rPr>
            </w:pPr>
            <w:r>
              <w:rPr>
                <w:rFonts w:hint="eastAsia"/>
                <w:b w:val="0"/>
              </w:rPr>
              <w:t>110kV升压站：在升压站拟建址四周布设工频电场强度、工频磁感应强度及噪声现状测点。</w:t>
            </w:r>
          </w:p>
          <w:p>
            <w:pPr>
              <w:pStyle w:val="28"/>
              <w:spacing w:line="520" w:lineRule="exact"/>
            </w:pPr>
            <w:r>
              <w:t>4.2.</w:t>
            </w:r>
            <w:r>
              <w:rPr>
                <w:rFonts w:hint="eastAsia"/>
              </w:rPr>
              <w:t>4</w:t>
            </w:r>
            <w:r>
              <w:t>监测时间、监测频率、监测环境和监测单位</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spacing w:val="-2"/>
                <w:kern w:val="16"/>
                <w:sz w:val="24"/>
              </w:rPr>
              <w:t>监测单位：</w:t>
            </w:r>
            <w:r>
              <w:rPr>
                <w:rFonts w:hint="eastAsia" w:eastAsia="宋体"/>
                <w:color w:val="000000" w:themeColor="text1"/>
                <w:spacing w:val="-2"/>
                <w:kern w:val="16"/>
                <w:sz w:val="24"/>
              </w:rPr>
              <w:t>河南凯洁环保检测技术有限公司（计量</w:t>
            </w:r>
            <w:r>
              <w:rPr>
                <w:rFonts w:eastAsia="宋体"/>
                <w:color w:val="000000" w:themeColor="text1"/>
                <w:spacing w:val="-2"/>
                <w:kern w:val="16"/>
                <w:sz w:val="24"/>
              </w:rPr>
              <w:t>认证证书</w:t>
            </w:r>
            <w:r>
              <w:rPr>
                <w:rFonts w:hint="eastAsia" w:eastAsia="宋体"/>
                <w:color w:val="000000" w:themeColor="text1"/>
                <w:spacing w:val="-2"/>
                <w:kern w:val="16"/>
                <w:sz w:val="24"/>
              </w:rPr>
              <w:t>编号：</w:t>
            </w:r>
            <w:r>
              <w:rPr>
                <w:rFonts w:eastAsia="宋体"/>
                <w:color w:val="000000" w:themeColor="text1"/>
                <w:spacing w:val="-2"/>
                <w:kern w:val="16"/>
                <w:sz w:val="24"/>
              </w:rPr>
              <w:t>181612050522</w:t>
            </w:r>
            <w:r>
              <w:rPr>
                <w:rFonts w:hint="eastAsia" w:eastAsia="宋体"/>
                <w:color w:val="000000" w:themeColor="text1"/>
                <w:spacing w:val="-2"/>
                <w:kern w:val="16"/>
                <w:sz w:val="24"/>
              </w:rPr>
              <w:t>；</w:t>
            </w:r>
            <w:r>
              <w:rPr>
                <w:rFonts w:eastAsia="宋体"/>
                <w:color w:val="000000" w:themeColor="text1"/>
                <w:spacing w:val="-2"/>
                <w:kern w:val="16"/>
                <w:sz w:val="24"/>
              </w:rPr>
              <w:t>发证日期：</w:t>
            </w:r>
            <w:r>
              <w:rPr>
                <w:rFonts w:hint="eastAsia" w:eastAsia="宋体"/>
                <w:color w:val="000000" w:themeColor="text1"/>
                <w:spacing w:val="-2"/>
                <w:kern w:val="16"/>
                <w:sz w:val="24"/>
              </w:rPr>
              <w:t>20</w:t>
            </w:r>
            <w:r>
              <w:rPr>
                <w:rFonts w:eastAsia="宋体"/>
                <w:color w:val="000000" w:themeColor="text1"/>
                <w:spacing w:val="-2"/>
                <w:kern w:val="16"/>
                <w:sz w:val="24"/>
              </w:rPr>
              <w:t>1</w:t>
            </w:r>
            <w:r>
              <w:rPr>
                <w:rFonts w:hint="eastAsia" w:eastAsia="宋体"/>
                <w:color w:val="000000" w:themeColor="text1"/>
                <w:spacing w:val="-2"/>
                <w:kern w:val="16"/>
                <w:sz w:val="24"/>
              </w:rPr>
              <w:t>8年</w:t>
            </w:r>
            <w:r>
              <w:rPr>
                <w:rFonts w:eastAsia="宋体"/>
                <w:color w:val="000000" w:themeColor="text1"/>
                <w:spacing w:val="-2"/>
                <w:kern w:val="16"/>
                <w:sz w:val="24"/>
              </w:rPr>
              <w:t>1</w:t>
            </w:r>
            <w:r>
              <w:rPr>
                <w:rFonts w:hint="eastAsia" w:eastAsia="宋体"/>
                <w:color w:val="000000" w:themeColor="text1"/>
                <w:spacing w:val="-2"/>
                <w:kern w:val="16"/>
                <w:sz w:val="24"/>
              </w:rPr>
              <w:t>2月</w:t>
            </w:r>
            <w:r>
              <w:rPr>
                <w:rFonts w:eastAsia="宋体"/>
                <w:color w:val="000000" w:themeColor="text1"/>
                <w:spacing w:val="-2"/>
                <w:kern w:val="16"/>
                <w:sz w:val="24"/>
              </w:rPr>
              <w:t>1</w:t>
            </w:r>
            <w:r>
              <w:rPr>
                <w:rFonts w:hint="eastAsia" w:eastAsia="宋体"/>
                <w:color w:val="000000" w:themeColor="text1"/>
                <w:spacing w:val="-2"/>
                <w:kern w:val="16"/>
                <w:sz w:val="24"/>
              </w:rPr>
              <w:t>1日</w:t>
            </w:r>
            <w:r>
              <w:rPr>
                <w:rFonts w:eastAsia="宋体"/>
                <w:color w:val="000000" w:themeColor="text1"/>
                <w:spacing w:val="-2"/>
                <w:kern w:val="16"/>
                <w:sz w:val="24"/>
              </w:rPr>
              <w:t>；</w:t>
            </w:r>
            <w:r>
              <w:rPr>
                <w:rFonts w:hint="eastAsia" w:eastAsia="宋体"/>
                <w:color w:val="000000" w:themeColor="text1"/>
                <w:spacing w:val="-2"/>
                <w:kern w:val="16"/>
                <w:sz w:val="24"/>
              </w:rPr>
              <w:t>有效期至</w:t>
            </w:r>
            <w:r>
              <w:rPr>
                <w:rFonts w:eastAsia="宋体"/>
                <w:color w:val="000000" w:themeColor="text1"/>
                <w:spacing w:val="-2"/>
                <w:kern w:val="16"/>
                <w:sz w:val="24"/>
              </w:rPr>
              <w:t>：20</w:t>
            </w:r>
            <w:r>
              <w:rPr>
                <w:rFonts w:hint="eastAsia" w:eastAsia="宋体"/>
                <w:color w:val="000000" w:themeColor="text1"/>
                <w:spacing w:val="-2"/>
                <w:kern w:val="16"/>
                <w:sz w:val="24"/>
              </w:rPr>
              <w:t>24年</w:t>
            </w:r>
            <w:r>
              <w:rPr>
                <w:rFonts w:eastAsia="宋体"/>
                <w:color w:val="000000" w:themeColor="text1"/>
                <w:spacing w:val="-2"/>
                <w:kern w:val="16"/>
                <w:sz w:val="24"/>
              </w:rPr>
              <w:t>1</w:t>
            </w:r>
            <w:r>
              <w:rPr>
                <w:rFonts w:hint="eastAsia" w:eastAsia="宋体"/>
                <w:color w:val="000000" w:themeColor="text1"/>
                <w:spacing w:val="-2"/>
                <w:kern w:val="16"/>
                <w:sz w:val="24"/>
              </w:rPr>
              <w:t>2月10日</w:t>
            </w:r>
            <w:r>
              <w:rPr>
                <w:rFonts w:eastAsia="宋体"/>
                <w:color w:val="000000" w:themeColor="text1"/>
                <w:spacing w:val="-2"/>
                <w:kern w:val="16"/>
                <w:sz w:val="24"/>
              </w:rPr>
              <w:t>；发证机关</w:t>
            </w:r>
            <w:r>
              <w:rPr>
                <w:rFonts w:hint="eastAsia" w:eastAsia="宋体"/>
                <w:color w:val="000000" w:themeColor="text1"/>
                <w:spacing w:val="-2"/>
                <w:kern w:val="16"/>
                <w:sz w:val="24"/>
              </w:rPr>
              <w:t>：</w:t>
            </w:r>
            <w:r>
              <w:rPr>
                <w:rFonts w:eastAsia="宋体"/>
                <w:color w:val="000000" w:themeColor="text1"/>
                <w:spacing w:val="-2"/>
                <w:kern w:val="16"/>
                <w:sz w:val="24"/>
              </w:rPr>
              <w:t>河南省</w:t>
            </w:r>
            <w:r>
              <w:rPr>
                <w:rFonts w:hint="eastAsia" w:eastAsia="宋体"/>
                <w:color w:val="000000" w:themeColor="text1"/>
                <w:spacing w:val="-2"/>
                <w:kern w:val="16"/>
                <w:sz w:val="24"/>
              </w:rPr>
              <w:t>市场</w:t>
            </w:r>
            <w:r>
              <w:rPr>
                <w:rFonts w:eastAsia="宋体"/>
                <w:color w:val="000000" w:themeColor="text1"/>
                <w:spacing w:val="-2"/>
                <w:kern w:val="16"/>
                <w:sz w:val="24"/>
              </w:rPr>
              <w:t>监督</w:t>
            </w:r>
            <w:r>
              <w:rPr>
                <w:rFonts w:hint="eastAsia" w:eastAsia="宋体"/>
                <w:color w:val="000000" w:themeColor="text1"/>
                <w:spacing w:val="-2"/>
                <w:kern w:val="16"/>
                <w:sz w:val="24"/>
              </w:rPr>
              <w:t>管理局</w:t>
            </w:r>
            <w:r>
              <w:rPr>
                <w:rFonts w:eastAsia="宋体"/>
                <w:color w:val="000000" w:themeColor="text1"/>
                <w:spacing w:val="-2"/>
                <w:kern w:val="16"/>
                <w:sz w:val="24"/>
              </w:rPr>
              <w:t>局）</w:t>
            </w:r>
            <w:r>
              <w:rPr>
                <w:rFonts w:hint="eastAsia" w:eastAsia="宋体"/>
                <w:color w:val="000000" w:themeColor="text1"/>
                <w:spacing w:val="-2"/>
                <w:kern w:val="16"/>
                <w:sz w:val="24"/>
              </w:rPr>
              <w:t>。</w:t>
            </w:r>
          </w:p>
          <w:p>
            <w:pPr>
              <w:autoSpaceDE w:val="0"/>
              <w:autoSpaceDN w:val="0"/>
              <w:adjustRightInd w:val="0"/>
              <w:spacing w:line="520" w:lineRule="exact"/>
              <w:ind w:firstLine="590" w:firstLineChars="250"/>
              <w:rPr>
                <w:rFonts w:eastAsia="宋体"/>
                <w:spacing w:val="-2"/>
                <w:kern w:val="16"/>
                <w:sz w:val="24"/>
              </w:rPr>
            </w:pPr>
            <w:r>
              <w:rPr>
                <w:rFonts w:hint="eastAsia" w:eastAsia="宋体"/>
                <w:spacing w:val="-2"/>
                <w:kern w:val="16"/>
                <w:sz w:val="24"/>
              </w:rPr>
              <w:t>（1）工频电场强度、工频磁感应强度监测</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监测时间</w:t>
            </w:r>
            <w:r>
              <w:rPr>
                <w:rFonts w:hint="eastAsia" w:eastAsia="宋体"/>
                <w:color w:val="000000" w:themeColor="text1"/>
                <w:spacing w:val="-2"/>
                <w:kern w:val="16"/>
                <w:sz w:val="24"/>
              </w:rPr>
              <w:t>：</w:t>
            </w:r>
            <w:r>
              <w:rPr>
                <w:rFonts w:eastAsia="宋体"/>
                <w:color w:val="000000" w:themeColor="text1"/>
                <w:spacing w:val="-2"/>
                <w:kern w:val="16"/>
                <w:sz w:val="24"/>
              </w:rPr>
              <w:t>20</w:t>
            </w:r>
            <w:r>
              <w:rPr>
                <w:rFonts w:hint="eastAsia" w:eastAsia="宋体"/>
                <w:color w:val="000000" w:themeColor="text1"/>
                <w:spacing w:val="-2"/>
                <w:kern w:val="16"/>
                <w:sz w:val="24"/>
              </w:rPr>
              <w:t>20</w:t>
            </w:r>
            <w:r>
              <w:rPr>
                <w:rFonts w:eastAsia="宋体"/>
                <w:color w:val="000000" w:themeColor="text1"/>
                <w:spacing w:val="-2"/>
                <w:kern w:val="16"/>
                <w:sz w:val="24"/>
              </w:rPr>
              <w:t>年4月</w:t>
            </w:r>
            <w:r>
              <w:rPr>
                <w:rFonts w:hint="eastAsia" w:eastAsia="宋体"/>
                <w:color w:val="000000" w:themeColor="text1"/>
                <w:spacing w:val="-2"/>
                <w:kern w:val="16"/>
                <w:sz w:val="24"/>
              </w:rPr>
              <w:t>15</w:t>
            </w:r>
            <w:r>
              <w:rPr>
                <w:rFonts w:eastAsia="宋体"/>
                <w:color w:val="000000" w:themeColor="text1"/>
                <w:spacing w:val="-2"/>
                <w:kern w:val="16"/>
                <w:sz w:val="24"/>
              </w:rPr>
              <w:t>日</w:t>
            </w:r>
            <w:r>
              <w:rPr>
                <w:rFonts w:hint="eastAsia" w:eastAsia="宋体"/>
                <w:color w:val="000000" w:themeColor="text1"/>
                <w:spacing w:val="-2"/>
                <w:kern w:val="16"/>
                <w:sz w:val="24"/>
              </w:rPr>
              <w:t>-</w:t>
            </w:r>
            <w:r>
              <w:rPr>
                <w:rFonts w:eastAsia="宋体"/>
                <w:color w:val="000000" w:themeColor="text1"/>
                <w:spacing w:val="-2"/>
                <w:kern w:val="16"/>
                <w:sz w:val="24"/>
              </w:rPr>
              <w:t>4月</w:t>
            </w:r>
            <w:r>
              <w:rPr>
                <w:rFonts w:hint="eastAsia" w:eastAsia="宋体"/>
                <w:color w:val="000000" w:themeColor="text1"/>
                <w:spacing w:val="-2"/>
                <w:kern w:val="16"/>
                <w:sz w:val="24"/>
              </w:rPr>
              <w:t>16</w:t>
            </w:r>
            <w:r>
              <w:rPr>
                <w:rFonts w:eastAsia="宋体"/>
                <w:color w:val="000000" w:themeColor="text1"/>
                <w:spacing w:val="-2"/>
                <w:kern w:val="16"/>
                <w:sz w:val="24"/>
              </w:rPr>
              <w:t>日。</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监测频率</w:t>
            </w:r>
            <w:r>
              <w:rPr>
                <w:rFonts w:hint="eastAsia" w:eastAsia="宋体"/>
                <w:color w:val="000000" w:themeColor="text1"/>
                <w:spacing w:val="-2"/>
                <w:kern w:val="16"/>
                <w:sz w:val="24"/>
              </w:rPr>
              <w:t>：每个</w:t>
            </w:r>
            <w:r>
              <w:rPr>
                <w:rFonts w:eastAsia="宋体"/>
                <w:color w:val="000000" w:themeColor="text1"/>
                <w:spacing w:val="-2"/>
                <w:kern w:val="16"/>
                <w:sz w:val="24"/>
              </w:rPr>
              <w:t>监测点位监测一次；</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监测环境：</w:t>
            </w:r>
            <w:r>
              <w:rPr>
                <w:rFonts w:hint="eastAsia" w:eastAsia="宋体"/>
                <w:color w:val="000000" w:themeColor="text1"/>
                <w:spacing w:val="-2"/>
                <w:kern w:val="16"/>
                <w:sz w:val="24"/>
              </w:rPr>
              <w:t>温度：（</w:t>
            </w:r>
            <w:r>
              <w:rPr>
                <w:rFonts w:eastAsia="宋体"/>
                <w:color w:val="000000" w:themeColor="text1"/>
                <w:spacing w:val="-2"/>
                <w:kern w:val="16"/>
                <w:sz w:val="24"/>
              </w:rPr>
              <w:t>1</w:t>
            </w:r>
            <w:r>
              <w:rPr>
                <w:rFonts w:hint="eastAsia" w:eastAsia="宋体"/>
                <w:color w:val="000000" w:themeColor="text1"/>
                <w:spacing w:val="-2"/>
                <w:kern w:val="16"/>
                <w:sz w:val="24"/>
              </w:rPr>
              <w:t>1</w:t>
            </w:r>
            <w:r>
              <w:rPr>
                <w:rFonts w:eastAsia="宋体"/>
                <w:color w:val="000000" w:themeColor="text1"/>
                <w:spacing w:val="-2"/>
                <w:kern w:val="16"/>
                <w:sz w:val="24"/>
              </w:rPr>
              <w:t>-</w:t>
            </w:r>
            <w:r>
              <w:rPr>
                <w:rFonts w:hint="eastAsia" w:eastAsia="宋体"/>
                <w:color w:val="000000" w:themeColor="text1"/>
                <w:spacing w:val="-2"/>
                <w:kern w:val="16"/>
                <w:sz w:val="24"/>
              </w:rPr>
              <w:t xml:space="preserve">25）℃ </w:t>
            </w:r>
            <w:r>
              <w:rPr>
                <w:rFonts w:eastAsia="宋体"/>
                <w:color w:val="000000" w:themeColor="text1"/>
                <w:spacing w:val="-2"/>
                <w:kern w:val="16"/>
                <w:sz w:val="24"/>
              </w:rPr>
              <w:t xml:space="preserve">   </w:t>
            </w:r>
            <w:r>
              <w:rPr>
                <w:rFonts w:hint="eastAsia" w:eastAsia="宋体"/>
                <w:color w:val="000000" w:themeColor="text1"/>
                <w:spacing w:val="-2"/>
                <w:kern w:val="16"/>
                <w:sz w:val="24"/>
              </w:rPr>
              <w:t>相对湿度：3</w:t>
            </w:r>
            <w:r>
              <w:rPr>
                <w:rFonts w:eastAsia="宋体"/>
                <w:color w:val="000000" w:themeColor="text1"/>
                <w:spacing w:val="-2"/>
                <w:kern w:val="16"/>
                <w:sz w:val="24"/>
              </w:rPr>
              <w:t>6</w:t>
            </w:r>
            <w:r>
              <w:rPr>
                <w:rFonts w:hint="eastAsia" w:eastAsia="宋体"/>
                <w:color w:val="000000" w:themeColor="text1"/>
                <w:spacing w:val="-2"/>
                <w:kern w:val="16"/>
                <w:sz w:val="24"/>
              </w:rPr>
              <w:t>%RH     晴     其他：/</w:t>
            </w:r>
          </w:p>
          <w:p>
            <w:pPr>
              <w:widowControl/>
              <w:pBdr>
                <w:bottom w:val="single" w:color="auto" w:sz="6" w:space="1"/>
              </w:pBdr>
              <w:tabs>
                <w:tab w:val="center" w:pos="4153"/>
                <w:tab w:val="center" w:pos="4857"/>
                <w:tab w:val="right" w:pos="8306"/>
              </w:tabs>
              <w:adjustRightInd w:val="0"/>
              <w:snapToGrid w:val="0"/>
              <w:spacing w:line="520" w:lineRule="exact"/>
              <w:ind w:firstLine="472" w:firstLineChars="200"/>
              <w:rPr>
                <w:rFonts w:ascii="Tahoma" w:hAnsi="Tahoma" w:eastAsia="宋体"/>
                <w:spacing w:val="-2"/>
                <w:kern w:val="16"/>
                <w:sz w:val="24"/>
                <w:szCs w:val="22"/>
              </w:rPr>
            </w:pPr>
            <w:r>
              <w:rPr>
                <w:rFonts w:ascii="Tahoma" w:hAnsi="Tahoma" w:eastAsia="宋体"/>
                <w:spacing w:val="-2"/>
                <w:kern w:val="16"/>
                <w:sz w:val="24"/>
                <w:szCs w:val="22"/>
              </w:rPr>
              <w:t>监测方法</w:t>
            </w:r>
            <w:r>
              <w:rPr>
                <w:rFonts w:hint="eastAsia" w:ascii="Tahoma" w:hAnsi="Tahoma" w:eastAsia="宋体"/>
                <w:spacing w:val="-2"/>
                <w:kern w:val="16"/>
                <w:sz w:val="24"/>
                <w:szCs w:val="22"/>
              </w:rPr>
              <w:t>：</w:t>
            </w:r>
            <w:r>
              <w:rPr>
                <w:rFonts w:eastAsia="宋体"/>
                <w:bCs/>
                <w:color w:val="000000" w:themeColor="text1"/>
                <w:spacing w:val="-2"/>
                <w:kern w:val="16"/>
                <w:sz w:val="24"/>
              </w:rPr>
              <w:t>电磁环境现状监测参照《环境影响评价技术导则输变电工程》（HJ 24-2014）；测</w:t>
            </w:r>
            <w:r>
              <w:rPr>
                <w:rFonts w:eastAsia="宋体"/>
                <w:bCs/>
                <w:spacing w:val="-2"/>
                <w:kern w:val="16"/>
                <w:sz w:val="24"/>
              </w:rPr>
              <w:t>量仪器与方法执行《交流输变电工程电磁环境监测方法（试行）》</w:t>
            </w:r>
            <w:r>
              <w:rPr>
                <w:rFonts w:eastAsia="宋体"/>
                <w:bCs/>
                <w:sz w:val="24"/>
              </w:rPr>
              <w:t>HJ 681-2013</w:t>
            </w:r>
            <w:r>
              <w:rPr>
                <w:rFonts w:eastAsia="宋体"/>
                <w:bCs/>
                <w:spacing w:val="-2"/>
                <w:kern w:val="16"/>
                <w:sz w:val="24"/>
              </w:rPr>
              <w:t>中的规定进行。</w:t>
            </w:r>
          </w:p>
          <w:p>
            <w:pPr>
              <w:widowControl/>
              <w:pBdr>
                <w:bottom w:val="single" w:color="auto" w:sz="6" w:space="1"/>
              </w:pBdr>
              <w:tabs>
                <w:tab w:val="center" w:pos="4153"/>
                <w:tab w:val="center" w:pos="4857"/>
                <w:tab w:val="left" w:pos="6148"/>
                <w:tab w:val="right" w:pos="8306"/>
              </w:tabs>
              <w:adjustRightInd w:val="0"/>
              <w:snapToGrid w:val="0"/>
              <w:spacing w:line="520" w:lineRule="exact"/>
              <w:ind w:firstLine="200"/>
              <w:rPr>
                <w:rFonts w:eastAsia="宋体"/>
                <w:bCs/>
                <w:sz w:val="24"/>
              </w:rPr>
            </w:pPr>
            <w:r>
              <w:rPr>
                <w:rFonts w:eastAsia="宋体"/>
                <w:bCs/>
                <w:sz w:val="24"/>
              </w:rPr>
              <w:t>监测仪器</w:t>
            </w:r>
            <w:r>
              <w:rPr>
                <w:rFonts w:hint="eastAsia" w:eastAsia="宋体"/>
                <w:bCs/>
                <w:sz w:val="24"/>
              </w:rPr>
              <w:t>：</w:t>
            </w:r>
            <w:r>
              <w:rPr>
                <w:rFonts w:eastAsia="宋体"/>
                <w:bCs/>
                <w:spacing w:val="-2"/>
                <w:kern w:val="16"/>
                <w:sz w:val="24"/>
              </w:rPr>
              <w:t>电磁环境现状监测仪器见表</w:t>
            </w:r>
            <w:r>
              <w:rPr>
                <w:rFonts w:hint="eastAsia" w:eastAsia="宋体"/>
                <w:bCs/>
                <w:spacing w:val="-2"/>
                <w:kern w:val="16"/>
                <w:sz w:val="24"/>
              </w:rPr>
              <w:t>4-3</w:t>
            </w:r>
            <w:r>
              <w:rPr>
                <w:rFonts w:eastAsia="宋体"/>
                <w:bCs/>
                <w:spacing w:val="-2"/>
                <w:kern w:val="16"/>
                <w:sz w:val="24"/>
              </w:rPr>
              <w:t>。</w:t>
            </w:r>
            <w:r>
              <w:rPr>
                <w:rFonts w:eastAsia="宋体"/>
                <w:bCs/>
                <w:spacing w:val="-2"/>
                <w:kern w:val="16"/>
                <w:sz w:val="24"/>
              </w:rPr>
              <w:tab/>
            </w:r>
            <w:r>
              <w:rPr>
                <w:rFonts w:eastAsia="宋体"/>
                <w:bCs/>
                <w:spacing w:val="-2"/>
                <w:kern w:val="16"/>
                <w:sz w:val="24"/>
              </w:rPr>
              <w:tab/>
            </w:r>
          </w:p>
          <w:p>
            <w:pPr>
              <w:widowControl/>
              <w:pBdr>
                <w:bottom w:val="single" w:color="auto" w:sz="6" w:space="1"/>
              </w:pBdr>
              <w:tabs>
                <w:tab w:val="center" w:pos="4153"/>
                <w:tab w:val="right" w:pos="8306"/>
              </w:tabs>
              <w:adjustRightInd w:val="0"/>
              <w:snapToGrid w:val="0"/>
              <w:spacing w:line="520" w:lineRule="exact"/>
              <w:ind w:firstLine="480" w:firstLineChars="200"/>
              <w:rPr>
                <w:rFonts w:eastAsia="黑体"/>
                <w:sz w:val="24"/>
                <w:szCs w:val="21"/>
              </w:rPr>
            </w:pPr>
            <w:bookmarkStart w:id="23" w:name="_Ref182199612"/>
            <w:r>
              <w:rPr>
                <w:rFonts w:eastAsia="黑体"/>
                <w:sz w:val="24"/>
                <w:szCs w:val="21"/>
              </w:rPr>
              <w:t>表</w:t>
            </w:r>
            <w:bookmarkEnd w:id="23"/>
            <w:r>
              <w:rPr>
                <w:rFonts w:hint="eastAsia" w:eastAsia="黑体"/>
                <w:sz w:val="24"/>
                <w:szCs w:val="21"/>
              </w:rPr>
              <w:t>4-3</w:t>
            </w:r>
            <w:r>
              <w:rPr>
                <w:rFonts w:eastAsia="黑体"/>
                <w:sz w:val="24"/>
                <w:szCs w:val="21"/>
              </w:rPr>
              <w:t xml:space="preserve"> </w:t>
            </w:r>
            <w:r>
              <w:rPr>
                <w:rFonts w:hint="eastAsia" w:eastAsia="黑体"/>
                <w:sz w:val="24"/>
                <w:szCs w:val="21"/>
              </w:rPr>
              <w:t xml:space="preserve">               </w:t>
            </w:r>
            <w:r>
              <w:rPr>
                <w:rFonts w:eastAsia="黑体"/>
                <w:sz w:val="24"/>
                <w:szCs w:val="21"/>
              </w:rPr>
              <w:t>电磁环境现状监测仪器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165"/>
              <w:gridCol w:w="1284"/>
              <w:gridCol w:w="1843"/>
              <w:gridCol w:w="22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widowControl/>
                    <w:adjustRightInd w:val="0"/>
                    <w:snapToGrid w:val="0"/>
                    <w:spacing w:line="360" w:lineRule="exact"/>
                    <w:jc w:val="center"/>
                    <w:rPr>
                      <w:rFonts w:eastAsia="宋体"/>
                      <w:color w:val="000000" w:themeColor="text1"/>
                      <w:kern w:val="0"/>
                      <w:sz w:val="21"/>
                      <w:szCs w:val="21"/>
                    </w:rPr>
                  </w:pPr>
                  <w:r>
                    <w:rPr>
                      <w:rFonts w:hAnsi="宋体" w:eastAsia="宋体"/>
                      <w:color w:val="000000" w:themeColor="text1"/>
                      <w:kern w:val="0"/>
                      <w:sz w:val="21"/>
                      <w:szCs w:val="21"/>
                    </w:rPr>
                    <w:t>名称</w:t>
                  </w:r>
                </w:p>
              </w:tc>
              <w:tc>
                <w:tcPr>
                  <w:tcW w:w="701" w:type="pct"/>
                  <w:vAlign w:val="center"/>
                </w:tcPr>
                <w:p>
                  <w:pPr>
                    <w:widowControl/>
                    <w:adjustRightInd w:val="0"/>
                    <w:snapToGrid w:val="0"/>
                    <w:spacing w:line="360" w:lineRule="exact"/>
                    <w:jc w:val="center"/>
                    <w:rPr>
                      <w:rFonts w:eastAsia="宋体"/>
                      <w:color w:val="000000" w:themeColor="text1"/>
                      <w:kern w:val="0"/>
                      <w:sz w:val="21"/>
                      <w:szCs w:val="21"/>
                    </w:rPr>
                  </w:pPr>
                  <w:r>
                    <w:rPr>
                      <w:rFonts w:hAnsi="宋体" w:eastAsia="宋体"/>
                      <w:color w:val="000000" w:themeColor="text1"/>
                      <w:kern w:val="0"/>
                      <w:sz w:val="21"/>
                      <w:szCs w:val="21"/>
                    </w:rPr>
                    <w:t>型号</w:t>
                  </w:r>
                  <w:r>
                    <w:rPr>
                      <w:rFonts w:eastAsia="宋体"/>
                      <w:color w:val="000000" w:themeColor="text1"/>
                      <w:kern w:val="0"/>
                      <w:sz w:val="21"/>
                      <w:szCs w:val="21"/>
                    </w:rPr>
                    <w:t>/</w:t>
                  </w:r>
                  <w:r>
                    <w:rPr>
                      <w:rFonts w:hAnsi="宋体" w:eastAsia="宋体"/>
                      <w:color w:val="000000" w:themeColor="text1"/>
                      <w:kern w:val="0"/>
                      <w:sz w:val="21"/>
                      <w:szCs w:val="21"/>
                    </w:rPr>
                    <w:t>规格</w:t>
                  </w:r>
                </w:p>
              </w:tc>
              <w:tc>
                <w:tcPr>
                  <w:tcW w:w="773" w:type="pct"/>
                  <w:vAlign w:val="center"/>
                </w:tcPr>
                <w:p>
                  <w:pPr>
                    <w:widowControl/>
                    <w:adjustRightInd w:val="0"/>
                    <w:snapToGrid w:val="0"/>
                    <w:spacing w:line="360" w:lineRule="exact"/>
                    <w:jc w:val="center"/>
                    <w:rPr>
                      <w:rFonts w:eastAsia="宋体"/>
                      <w:color w:val="000000" w:themeColor="text1"/>
                      <w:kern w:val="0"/>
                      <w:sz w:val="21"/>
                      <w:szCs w:val="21"/>
                    </w:rPr>
                  </w:pPr>
                  <w:r>
                    <w:rPr>
                      <w:rFonts w:hint="eastAsia" w:hAnsi="宋体" w:eastAsia="宋体"/>
                      <w:color w:val="000000" w:themeColor="text1"/>
                      <w:kern w:val="0"/>
                      <w:sz w:val="21"/>
                      <w:szCs w:val="21"/>
                    </w:rPr>
                    <w:t>出厂</w:t>
                  </w:r>
                  <w:r>
                    <w:rPr>
                      <w:rFonts w:hAnsi="宋体" w:eastAsia="宋体"/>
                      <w:color w:val="000000" w:themeColor="text1"/>
                      <w:kern w:val="0"/>
                      <w:sz w:val="21"/>
                      <w:szCs w:val="21"/>
                    </w:rPr>
                    <w:t>编号</w:t>
                  </w:r>
                </w:p>
              </w:tc>
              <w:tc>
                <w:tcPr>
                  <w:tcW w:w="1109" w:type="pct"/>
                  <w:vAlign w:val="center"/>
                </w:tcPr>
                <w:p>
                  <w:pPr>
                    <w:widowControl/>
                    <w:adjustRightInd w:val="0"/>
                    <w:snapToGrid w:val="0"/>
                    <w:spacing w:line="360" w:lineRule="exact"/>
                    <w:jc w:val="center"/>
                    <w:rPr>
                      <w:rFonts w:eastAsia="宋体"/>
                      <w:color w:val="000000" w:themeColor="text1"/>
                      <w:kern w:val="0"/>
                      <w:sz w:val="21"/>
                      <w:szCs w:val="21"/>
                    </w:rPr>
                  </w:pPr>
                  <w:r>
                    <w:rPr>
                      <w:rFonts w:hAnsi="宋体" w:eastAsia="宋体"/>
                      <w:color w:val="000000" w:themeColor="text1"/>
                      <w:kern w:val="0"/>
                      <w:sz w:val="21"/>
                      <w:szCs w:val="21"/>
                    </w:rPr>
                    <w:t>不确定度</w:t>
                  </w:r>
                  <w:r>
                    <w:rPr>
                      <w:rFonts w:eastAsia="宋体"/>
                      <w:color w:val="000000" w:themeColor="text1"/>
                      <w:kern w:val="0"/>
                      <w:sz w:val="21"/>
                      <w:szCs w:val="21"/>
                    </w:rPr>
                    <w:t>/</w:t>
                  </w:r>
                  <w:r>
                    <w:rPr>
                      <w:rFonts w:hAnsi="宋体" w:eastAsia="宋体"/>
                      <w:color w:val="000000" w:themeColor="text1"/>
                      <w:kern w:val="0"/>
                      <w:sz w:val="21"/>
                      <w:szCs w:val="21"/>
                    </w:rPr>
                    <w:t>准确度</w:t>
                  </w:r>
                </w:p>
              </w:tc>
              <w:tc>
                <w:tcPr>
                  <w:tcW w:w="1376" w:type="pct"/>
                  <w:vAlign w:val="center"/>
                </w:tcPr>
                <w:p>
                  <w:pPr>
                    <w:widowControl/>
                    <w:tabs>
                      <w:tab w:val="center" w:pos="650"/>
                    </w:tabs>
                    <w:adjustRightInd w:val="0"/>
                    <w:snapToGrid w:val="0"/>
                    <w:spacing w:line="360" w:lineRule="exact"/>
                    <w:jc w:val="center"/>
                    <w:rPr>
                      <w:rFonts w:eastAsia="宋体"/>
                      <w:color w:val="000000" w:themeColor="text1"/>
                      <w:kern w:val="0"/>
                      <w:sz w:val="21"/>
                      <w:szCs w:val="21"/>
                    </w:rPr>
                  </w:pPr>
                  <w:r>
                    <w:rPr>
                      <w:rFonts w:hAnsi="宋体" w:eastAsia="宋体"/>
                      <w:color w:val="000000" w:themeColor="text1"/>
                      <w:kern w:val="0"/>
                      <w:sz w:val="21"/>
                      <w:szCs w:val="21"/>
                    </w:rPr>
                    <w:t>证书编号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widowControl/>
                    <w:adjustRightInd w:val="0"/>
                    <w:snapToGrid w:val="0"/>
                    <w:spacing w:line="360" w:lineRule="exact"/>
                    <w:jc w:val="center"/>
                    <w:rPr>
                      <w:rFonts w:eastAsia="宋体"/>
                      <w:color w:val="000000" w:themeColor="text1"/>
                      <w:kern w:val="0"/>
                      <w:sz w:val="21"/>
                      <w:szCs w:val="21"/>
                    </w:rPr>
                  </w:pPr>
                  <w:r>
                    <w:rPr>
                      <w:rFonts w:hint="eastAsia" w:hAnsi="宋体" w:eastAsia="宋体"/>
                      <w:color w:val="000000" w:themeColor="text1"/>
                      <w:kern w:val="0"/>
                      <w:sz w:val="21"/>
                      <w:szCs w:val="21"/>
                    </w:rPr>
                    <w:t>电磁场探头和读出装置</w:t>
                  </w:r>
                </w:p>
              </w:tc>
              <w:tc>
                <w:tcPr>
                  <w:tcW w:w="701" w:type="pct"/>
                  <w:vAlign w:val="center"/>
                </w:tcPr>
                <w:p>
                  <w:pPr>
                    <w:widowControl/>
                    <w:adjustRightInd w:val="0"/>
                    <w:snapToGrid w:val="0"/>
                    <w:spacing w:line="360" w:lineRule="exact"/>
                    <w:jc w:val="center"/>
                    <w:rPr>
                      <w:rFonts w:eastAsia="宋体"/>
                      <w:color w:val="000000" w:themeColor="text1"/>
                      <w:kern w:val="0"/>
                      <w:sz w:val="21"/>
                      <w:szCs w:val="21"/>
                    </w:rPr>
                  </w:pPr>
                  <w:r>
                    <w:rPr>
                      <w:rFonts w:hint="eastAsia" w:eastAsia="宋体"/>
                      <w:color w:val="000000" w:themeColor="text1"/>
                      <w:kern w:val="0"/>
                      <w:sz w:val="21"/>
                      <w:szCs w:val="21"/>
                    </w:rPr>
                    <w:t>LF-04和SEM-600</w:t>
                  </w:r>
                </w:p>
              </w:tc>
              <w:tc>
                <w:tcPr>
                  <w:tcW w:w="773" w:type="pct"/>
                  <w:vAlign w:val="center"/>
                </w:tcPr>
                <w:p>
                  <w:pPr>
                    <w:widowControl/>
                    <w:adjustRightInd w:val="0"/>
                    <w:snapToGrid w:val="0"/>
                    <w:spacing w:line="360" w:lineRule="exact"/>
                    <w:jc w:val="center"/>
                    <w:rPr>
                      <w:rFonts w:eastAsia="宋体"/>
                      <w:color w:val="000000" w:themeColor="text1"/>
                      <w:kern w:val="0"/>
                      <w:sz w:val="21"/>
                      <w:szCs w:val="21"/>
                    </w:rPr>
                  </w:pPr>
                  <w:r>
                    <w:rPr>
                      <w:rFonts w:hint="eastAsia" w:eastAsia="宋体"/>
                      <w:color w:val="000000" w:themeColor="text1"/>
                      <w:kern w:val="0"/>
                      <w:sz w:val="21"/>
                      <w:szCs w:val="21"/>
                    </w:rPr>
                    <w:t>1-1072和D-1072</w:t>
                  </w:r>
                </w:p>
              </w:tc>
              <w:tc>
                <w:tcPr>
                  <w:tcW w:w="1109" w:type="pct"/>
                  <w:vAlign w:val="center"/>
                </w:tcPr>
                <w:p>
                  <w:pPr>
                    <w:widowControl/>
                    <w:adjustRightInd w:val="0"/>
                    <w:snapToGrid w:val="0"/>
                    <w:spacing w:line="360" w:lineRule="exact"/>
                    <w:jc w:val="center"/>
                    <w:rPr>
                      <w:rFonts w:eastAsia="宋体"/>
                      <w:color w:val="000000" w:themeColor="text1"/>
                      <w:kern w:val="0"/>
                      <w:sz w:val="21"/>
                      <w:szCs w:val="21"/>
                    </w:rPr>
                  </w:pPr>
                  <w:r>
                    <w:rPr>
                      <w:rFonts w:eastAsia="宋体"/>
                      <w:color w:val="000000" w:themeColor="text1"/>
                      <w:kern w:val="0"/>
                      <w:sz w:val="21"/>
                      <w:szCs w:val="21"/>
                    </w:rPr>
                    <w:t xml:space="preserve">U=15% </w:t>
                  </w:r>
                  <w:r>
                    <w:rPr>
                      <w:rFonts w:hAnsi="宋体" w:eastAsia="宋体"/>
                      <w:color w:val="000000" w:themeColor="text1"/>
                      <w:kern w:val="0"/>
                      <w:sz w:val="21"/>
                      <w:szCs w:val="21"/>
                    </w:rPr>
                    <w:t>（</w:t>
                  </w:r>
                  <w:r>
                    <w:rPr>
                      <w:rFonts w:eastAsia="宋体"/>
                      <w:color w:val="000000" w:themeColor="text1"/>
                      <w:kern w:val="0"/>
                      <w:sz w:val="21"/>
                      <w:szCs w:val="21"/>
                    </w:rPr>
                    <w:t>k=2</w:t>
                  </w:r>
                  <w:r>
                    <w:rPr>
                      <w:rFonts w:hAnsi="宋体" w:eastAsia="宋体"/>
                      <w:color w:val="000000" w:themeColor="text1"/>
                      <w:kern w:val="0"/>
                      <w:sz w:val="21"/>
                      <w:szCs w:val="21"/>
                    </w:rPr>
                    <w:t>）</w:t>
                  </w:r>
                </w:p>
              </w:tc>
              <w:tc>
                <w:tcPr>
                  <w:tcW w:w="1376" w:type="pct"/>
                  <w:vAlign w:val="center"/>
                </w:tcPr>
                <w:p>
                  <w:pPr>
                    <w:widowControl/>
                    <w:spacing w:line="360" w:lineRule="exact"/>
                    <w:jc w:val="center"/>
                    <w:rPr>
                      <w:rFonts w:eastAsia="宋体"/>
                      <w:color w:val="000000" w:themeColor="text1"/>
                      <w:kern w:val="0"/>
                      <w:sz w:val="21"/>
                      <w:szCs w:val="21"/>
                    </w:rPr>
                  </w:pPr>
                  <w:r>
                    <w:rPr>
                      <w:rFonts w:hint="eastAsia" w:hAnsi="宋体" w:eastAsia="宋体"/>
                      <w:color w:val="000000" w:themeColor="text1"/>
                      <w:kern w:val="0"/>
                      <w:sz w:val="21"/>
                      <w:szCs w:val="21"/>
                    </w:rPr>
                    <w:t>XDdj2019-4056</w:t>
                  </w:r>
                </w:p>
              </w:tc>
            </w:tr>
          </w:tbl>
          <w:p>
            <w:pPr>
              <w:pBdr>
                <w:bottom w:val="single" w:color="auto" w:sz="6" w:space="1"/>
              </w:pBdr>
              <w:tabs>
                <w:tab w:val="center" w:pos="4153"/>
                <w:tab w:val="right" w:pos="8306"/>
              </w:tabs>
              <w:snapToGrid w:val="0"/>
              <w:spacing w:line="520" w:lineRule="exact"/>
              <w:ind w:firstLine="472" w:firstLineChars="200"/>
              <w:rPr>
                <w:rFonts w:eastAsia="宋体"/>
                <w:bCs/>
                <w:spacing w:val="-2"/>
                <w:kern w:val="16"/>
                <w:sz w:val="24"/>
              </w:rPr>
            </w:pPr>
            <w:r>
              <w:rPr>
                <w:rFonts w:hint="eastAsia" w:eastAsia="宋体"/>
                <w:bCs/>
                <w:spacing w:val="-2"/>
                <w:kern w:val="16"/>
                <w:sz w:val="24"/>
              </w:rPr>
              <w:t>（2）噪声监测</w:t>
            </w:r>
          </w:p>
          <w:p>
            <w:pPr>
              <w:pBdr>
                <w:bottom w:val="single" w:color="auto" w:sz="6" w:space="1"/>
              </w:pBdr>
              <w:tabs>
                <w:tab w:val="center" w:pos="4153"/>
                <w:tab w:val="right" w:pos="8306"/>
              </w:tabs>
              <w:snapToGrid w:val="0"/>
              <w:spacing w:line="520" w:lineRule="exact"/>
              <w:ind w:firstLine="472" w:firstLineChars="200"/>
              <w:rPr>
                <w:rFonts w:eastAsia="宋体"/>
                <w:bCs/>
                <w:spacing w:val="-2"/>
                <w:kern w:val="16"/>
                <w:sz w:val="24"/>
              </w:rPr>
            </w:pPr>
            <w:r>
              <w:rPr>
                <w:rFonts w:eastAsia="宋体"/>
                <w:bCs/>
                <w:spacing w:val="-2"/>
                <w:kern w:val="16"/>
                <w:sz w:val="24"/>
              </w:rPr>
              <w:t>监测时间：</w:t>
            </w:r>
            <w:r>
              <w:rPr>
                <w:rFonts w:eastAsia="宋体"/>
                <w:color w:val="000000" w:themeColor="text1"/>
                <w:spacing w:val="-2"/>
                <w:kern w:val="16"/>
                <w:sz w:val="24"/>
              </w:rPr>
              <w:t>20</w:t>
            </w:r>
            <w:r>
              <w:rPr>
                <w:rFonts w:hint="eastAsia" w:eastAsia="宋体"/>
                <w:color w:val="000000" w:themeColor="text1"/>
                <w:spacing w:val="-2"/>
                <w:kern w:val="16"/>
                <w:sz w:val="24"/>
              </w:rPr>
              <w:t>20</w:t>
            </w:r>
            <w:r>
              <w:rPr>
                <w:rFonts w:eastAsia="宋体"/>
                <w:color w:val="000000" w:themeColor="text1"/>
                <w:spacing w:val="-2"/>
                <w:kern w:val="16"/>
                <w:sz w:val="24"/>
              </w:rPr>
              <w:t>年4月</w:t>
            </w:r>
            <w:r>
              <w:rPr>
                <w:rFonts w:hint="eastAsia" w:eastAsia="宋体"/>
                <w:color w:val="000000" w:themeColor="text1"/>
                <w:spacing w:val="-2"/>
                <w:kern w:val="16"/>
                <w:sz w:val="24"/>
              </w:rPr>
              <w:t>15</w:t>
            </w:r>
            <w:r>
              <w:rPr>
                <w:rFonts w:eastAsia="宋体"/>
                <w:color w:val="000000" w:themeColor="text1"/>
                <w:spacing w:val="-2"/>
                <w:kern w:val="16"/>
                <w:sz w:val="24"/>
              </w:rPr>
              <w:t>日</w:t>
            </w:r>
            <w:r>
              <w:rPr>
                <w:rFonts w:hint="eastAsia" w:eastAsia="宋体"/>
                <w:color w:val="000000" w:themeColor="text1"/>
                <w:spacing w:val="-2"/>
                <w:kern w:val="16"/>
                <w:sz w:val="24"/>
              </w:rPr>
              <w:t>-</w:t>
            </w:r>
            <w:r>
              <w:rPr>
                <w:rFonts w:eastAsia="宋体"/>
                <w:color w:val="000000" w:themeColor="text1"/>
                <w:spacing w:val="-2"/>
                <w:kern w:val="16"/>
                <w:sz w:val="24"/>
              </w:rPr>
              <w:t>4月</w:t>
            </w:r>
            <w:r>
              <w:rPr>
                <w:rFonts w:hint="eastAsia" w:eastAsia="宋体"/>
                <w:color w:val="000000" w:themeColor="text1"/>
                <w:spacing w:val="-2"/>
                <w:kern w:val="16"/>
                <w:sz w:val="24"/>
              </w:rPr>
              <w:t>16</w:t>
            </w:r>
            <w:r>
              <w:rPr>
                <w:rFonts w:eastAsia="宋体"/>
                <w:color w:val="000000" w:themeColor="text1"/>
                <w:spacing w:val="-2"/>
                <w:kern w:val="16"/>
                <w:sz w:val="24"/>
              </w:rPr>
              <w:t>日。</w:t>
            </w:r>
          </w:p>
          <w:p>
            <w:pPr>
              <w:pBdr>
                <w:bottom w:val="single" w:color="auto" w:sz="6" w:space="1"/>
              </w:pBdr>
              <w:tabs>
                <w:tab w:val="center" w:pos="4153"/>
                <w:tab w:val="right" w:pos="8306"/>
              </w:tabs>
              <w:snapToGrid w:val="0"/>
              <w:spacing w:line="520" w:lineRule="exact"/>
              <w:ind w:firstLine="472" w:firstLineChars="200"/>
              <w:rPr>
                <w:rFonts w:eastAsia="宋体"/>
                <w:bCs/>
                <w:spacing w:val="-2"/>
                <w:kern w:val="16"/>
                <w:sz w:val="24"/>
              </w:rPr>
            </w:pPr>
            <w:r>
              <w:rPr>
                <w:rFonts w:eastAsia="宋体"/>
                <w:bCs/>
                <w:spacing w:val="-2"/>
                <w:kern w:val="16"/>
                <w:sz w:val="24"/>
              </w:rPr>
              <w:t>监测天气：</w:t>
            </w:r>
            <w:r>
              <w:rPr>
                <w:rFonts w:hint="eastAsia" w:eastAsia="宋体"/>
                <w:bCs/>
                <w:spacing w:val="-2"/>
                <w:kern w:val="16"/>
                <w:sz w:val="24"/>
              </w:rPr>
              <w:t>晴</w:t>
            </w:r>
            <w:r>
              <w:rPr>
                <w:rFonts w:eastAsia="宋体"/>
                <w:bCs/>
                <w:spacing w:val="-2"/>
                <w:kern w:val="16"/>
                <w:sz w:val="24"/>
              </w:rPr>
              <w:t>，温度：昼间</w:t>
            </w:r>
            <w:r>
              <w:rPr>
                <w:rFonts w:hint="eastAsia" w:eastAsia="宋体"/>
                <w:bCs/>
                <w:spacing w:val="-2"/>
                <w:kern w:val="16"/>
                <w:sz w:val="24"/>
              </w:rPr>
              <w:t>11</w:t>
            </w:r>
            <w:r>
              <w:rPr>
                <w:rFonts w:eastAsia="宋体"/>
                <w:bCs/>
                <w:spacing w:val="-2"/>
                <w:kern w:val="16"/>
                <w:sz w:val="24"/>
              </w:rPr>
              <w:t>℃-</w:t>
            </w:r>
            <w:r>
              <w:rPr>
                <w:rFonts w:hint="eastAsia" w:eastAsia="宋体"/>
                <w:bCs/>
                <w:spacing w:val="-2"/>
                <w:kern w:val="16"/>
                <w:sz w:val="24"/>
              </w:rPr>
              <w:t>26</w:t>
            </w:r>
            <w:r>
              <w:rPr>
                <w:rFonts w:eastAsia="宋体"/>
                <w:bCs/>
                <w:spacing w:val="-2"/>
                <w:kern w:val="16"/>
                <w:sz w:val="24"/>
              </w:rPr>
              <w:t>℃；湿度：</w:t>
            </w:r>
            <w:r>
              <w:rPr>
                <w:rFonts w:hint="eastAsia" w:eastAsia="宋体"/>
                <w:bCs/>
                <w:spacing w:val="-2"/>
                <w:kern w:val="16"/>
                <w:sz w:val="24"/>
              </w:rPr>
              <w:t>36</w:t>
            </w:r>
            <w:r>
              <w:rPr>
                <w:rFonts w:eastAsia="宋体"/>
                <w:bCs/>
                <w:spacing w:val="-2"/>
                <w:kern w:val="16"/>
                <w:sz w:val="24"/>
              </w:rPr>
              <w:t>%</w:t>
            </w:r>
            <w:r>
              <w:rPr>
                <w:rFonts w:hint="eastAsia" w:eastAsia="宋体"/>
                <w:bCs/>
                <w:spacing w:val="-2"/>
                <w:kern w:val="16"/>
                <w:sz w:val="24"/>
              </w:rPr>
              <w:t>、52</w:t>
            </w:r>
            <w:r>
              <w:rPr>
                <w:rFonts w:eastAsia="宋体"/>
                <w:bCs/>
                <w:spacing w:val="-2"/>
                <w:kern w:val="16"/>
                <w:sz w:val="24"/>
              </w:rPr>
              <w:t>%</w:t>
            </w:r>
          </w:p>
          <w:p>
            <w:pPr>
              <w:pBdr>
                <w:bottom w:val="single" w:color="auto" w:sz="6" w:space="1"/>
              </w:pBdr>
              <w:tabs>
                <w:tab w:val="center" w:pos="4153"/>
                <w:tab w:val="right" w:pos="8306"/>
              </w:tabs>
              <w:autoSpaceDE w:val="0"/>
              <w:autoSpaceDN w:val="0"/>
              <w:snapToGrid w:val="0"/>
              <w:spacing w:line="520" w:lineRule="exact"/>
              <w:ind w:firstLine="472" w:firstLineChars="200"/>
              <w:rPr>
                <w:rFonts w:eastAsia="宋体"/>
                <w:bCs/>
                <w:spacing w:val="-2"/>
                <w:kern w:val="16"/>
                <w:sz w:val="24"/>
              </w:rPr>
            </w:pPr>
            <w:r>
              <w:rPr>
                <w:rFonts w:eastAsia="宋体"/>
                <w:bCs/>
                <w:spacing w:val="-2"/>
                <w:kern w:val="16"/>
                <w:sz w:val="24"/>
              </w:rPr>
              <w:t>监测频率：每个监测点位监测一次；</w:t>
            </w:r>
          </w:p>
          <w:p>
            <w:pPr>
              <w:pBdr>
                <w:bottom w:val="single" w:color="auto" w:sz="6" w:space="1"/>
              </w:pBdr>
              <w:tabs>
                <w:tab w:val="center" w:pos="4153"/>
                <w:tab w:val="right" w:pos="8306"/>
              </w:tabs>
              <w:autoSpaceDE w:val="0"/>
              <w:autoSpaceDN w:val="0"/>
              <w:snapToGrid w:val="0"/>
              <w:spacing w:line="520" w:lineRule="exact"/>
              <w:ind w:firstLine="472" w:firstLineChars="200"/>
              <w:rPr>
                <w:rFonts w:eastAsia="宋体"/>
                <w:bCs/>
                <w:spacing w:val="-2"/>
                <w:kern w:val="16"/>
                <w:sz w:val="24"/>
              </w:rPr>
            </w:pPr>
            <w:r>
              <w:rPr>
                <w:rFonts w:eastAsia="宋体"/>
                <w:bCs/>
                <w:spacing w:val="-2"/>
                <w:kern w:val="16"/>
                <w:sz w:val="24"/>
              </w:rPr>
              <w:t>监测方法：按《声环境质量标准》（GB3096-2008）中的监测方法进行。</w:t>
            </w:r>
          </w:p>
          <w:p>
            <w:pPr>
              <w:pBdr>
                <w:bottom w:val="single" w:color="auto" w:sz="6" w:space="1"/>
              </w:pBdr>
              <w:tabs>
                <w:tab w:val="center" w:pos="4153"/>
                <w:tab w:val="right" w:pos="8306"/>
              </w:tabs>
              <w:autoSpaceDE w:val="0"/>
              <w:autoSpaceDN w:val="0"/>
              <w:snapToGrid w:val="0"/>
              <w:spacing w:line="520" w:lineRule="exact"/>
              <w:ind w:firstLine="472" w:firstLineChars="200"/>
              <w:rPr>
                <w:rFonts w:eastAsia="宋体"/>
                <w:bCs/>
                <w:spacing w:val="-2"/>
                <w:kern w:val="16"/>
                <w:sz w:val="24"/>
              </w:rPr>
            </w:pPr>
            <w:r>
              <w:rPr>
                <w:rFonts w:eastAsia="宋体"/>
                <w:bCs/>
                <w:spacing w:val="-2"/>
                <w:kern w:val="16"/>
                <w:sz w:val="24"/>
              </w:rPr>
              <w:t>测量仪器：见表</w:t>
            </w:r>
            <w:r>
              <w:rPr>
                <w:rFonts w:hint="eastAsia" w:eastAsia="宋体"/>
                <w:bCs/>
                <w:spacing w:val="-2"/>
                <w:kern w:val="16"/>
                <w:sz w:val="24"/>
              </w:rPr>
              <w:t>4-4</w:t>
            </w:r>
            <w:r>
              <w:rPr>
                <w:rFonts w:eastAsia="宋体"/>
                <w:bCs/>
                <w:spacing w:val="-2"/>
                <w:kern w:val="16"/>
                <w:sz w:val="24"/>
              </w:rPr>
              <w:t>。</w:t>
            </w:r>
          </w:p>
          <w:p>
            <w:pPr>
              <w:pBdr>
                <w:bottom w:val="single" w:color="auto" w:sz="6" w:space="1"/>
              </w:pBdr>
              <w:adjustRightInd w:val="0"/>
              <w:snapToGrid w:val="0"/>
              <w:spacing w:line="520" w:lineRule="exact"/>
              <w:ind w:firstLine="480" w:firstLineChars="200"/>
              <w:rPr>
                <w:rFonts w:hAnsi="黑体" w:eastAsia="黑体"/>
                <w:sz w:val="24"/>
                <w:szCs w:val="21"/>
              </w:rPr>
            </w:pPr>
            <w:bookmarkStart w:id="24" w:name="_Ref182194747"/>
            <w:r>
              <w:rPr>
                <w:rFonts w:hAnsi="黑体" w:eastAsia="黑体"/>
                <w:sz w:val="24"/>
                <w:szCs w:val="21"/>
              </w:rPr>
              <w:t>表</w:t>
            </w:r>
            <w:bookmarkEnd w:id="24"/>
            <w:r>
              <w:rPr>
                <w:rFonts w:hint="eastAsia" w:hAnsi="黑体" w:eastAsia="黑体"/>
                <w:sz w:val="24"/>
                <w:szCs w:val="21"/>
              </w:rPr>
              <w:t>4-4</w:t>
            </w:r>
            <w:r>
              <w:rPr>
                <w:rFonts w:hAnsi="黑体" w:eastAsia="黑体"/>
                <w:sz w:val="24"/>
                <w:szCs w:val="21"/>
              </w:rPr>
              <w:t xml:space="preserve">           噪声环境现状监测仪器</w:t>
            </w:r>
          </w:p>
          <w:tbl>
            <w:tblPr>
              <w:tblStyle w:val="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1221"/>
              <w:gridCol w:w="1460"/>
              <w:gridCol w:w="1874"/>
              <w:gridCol w:w="2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4" w:type="pct"/>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名称</w:t>
                  </w:r>
                </w:p>
              </w:tc>
              <w:tc>
                <w:tcPr>
                  <w:tcW w:w="735" w:type="pct"/>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型号</w:t>
                  </w:r>
                  <w:r>
                    <w:rPr>
                      <w:rFonts w:eastAsia="宋体"/>
                      <w:color w:val="000000" w:themeColor="text1"/>
                      <w:sz w:val="21"/>
                      <w:szCs w:val="21"/>
                    </w:rPr>
                    <w:t>/</w:t>
                  </w:r>
                  <w:r>
                    <w:rPr>
                      <w:rFonts w:hAnsi="宋体" w:eastAsia="宋体"/>
                      <w:color w:val="000000" w:themeColor="text1"/>
                      <w:sz w:val="21"/>
                      <w:szCs w:val="21"/>
                    </w:rPr>
                    <w:t>规格</w:t>
                  </w:r>
                </w:p>
              </w:tc>
              <w:tc>
                <w:tcPr>
                  <w:tcW w:w="879" w:type="pct"/>
                  <w:vAlign w:val="center"/>
                </w:tcPr>
                <w:p>
                  <w:pPr>
                    <w:spacing w:line="360" w:lineRule="exact"/>
                    <w:jc w:val="center"/>
                    <w:rPr>
                      <w:rFonts w:eastAsia="宋体"/>
                      <w:color w:val="000000" w:themeColor="text1"/>
                      <w:sz w:val="21"/>
                      <w:szCs w:val="21"/>
                    </w:rPr>
                  </w:pPr>
                  <w:r>
                    <w:rPr>
                      <w:rFonts w:hint="eastAsia" w:hAnsi="宋体" w:eastAsia="宋体"/>
                      <w:color w:val="000000" w:themeColor="text1"/>
                      <w:sz w:val="21"/>
                      <w:szCs w:val="21"/>
                    </w:rPr>
                    <w:t>出厂</w:t>
                  </w:r>
                  <w:r>
                    <w:rPr>
                      <w:rFonts w:hAnsi="宋体" w:eastAsia="宋体"/>
                      <w:color w:val="000000" w:themeColor="text1"/>
                      <w:sz w:val="21"/>
                      <w:szCs w:val="21"/>
                    </w:rPr>
                    <w:t>编号</w:t>
                  </w:r>
                </w:p>
              </w:tc>
              <w:tc>
                <w:tcPr>
                  <w:tcW w:w="1128" w:type="pct"/>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不确定度</w:t>
                  </w:r>
                  <w:r>
                    <w:rPr>
                      <w:rFonts w:eastAsia="宋体"/>
                      <w:color w:val="000000" w:themeColor="text1"/>
                      <w:sz w:val="21"/>
                      <w:szCs w:val="21"/>
                    </w:rPr>
                    <w:t>/</w:t>
                  </w:r>
                  <w:r>
                    <w:rPr>
                      <w:rFonts w:hAnsi="宋体" w:eastAsia="宋体"/>
                      <w:color w:val="000000" w:themeColor="text1"/>
                      <w:sz w:val="21"/>
                      <w:szCs w:val="21"/>
                    </w:rPr>
                    <w:t>准确度</w:t>
                  </w:r>
                </w:p>
              </w:tc>
              <w:tc>
                <w:tcPr>
                  <w:tcW w:w="1305" w:type="pct"/>
                  <w:vAlign w:val="center"/>
                </w:tcPr>
                <w:p>
                  <w:pPr>
                    <w:tabs>
                      <w:tab w:val="center" w:pos="650"/>
                    </w:tabs>
                    <w:spacing w:line="360" w:lineRule="exact"/>
                    <w:jc w:val="center"/>
                    <w:rPr>
                      <w:rFonts w:eastAsia="宋体"/>
                      <w:color w:val="000000" w:themeColor="text1"/>
                      <w:sz w:val="21"/>
                      <w:szCs w:val="21"/>
                    </w:rPr>
                  </w:pPr>
                  <w:r>
                    <w:rPr>
                      <w:rFonts w:hAnsi="宋体" w:eastAsia="宋体"/>
                      <w:color w:val="000000" w:themeColor="text1"/>
                      <w:sz w:val="21"/>
                      <w:szCs w:val="21"/>
                    </w:rPr>
                    <w:t>证书编号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54" w:type="pct"/>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多功能声级计</w:t>
                  </w:r>
                </w:p>
              </w:tc>
              <w:tc>
                <w:tcPr>
                  <w:tcW w:w="735" w:type="pct"/>
                  <w:vAlign w:val="center"/>
                </w:tcPr>
                <w:p>
                  <w:pPr>
                    <w:spacing w:line="360" w:lineRule="exact"/>
                    <w:jc w:val="center"/>
                    <w:rPr>
                      <w:rFonts w:eastAsia="宋体"/>
                      <w:color w:val="000000" w:themeColor="text1"/>
                      <w:sz w:val="21"/>
                      <w:szCs w:val="21"/>
                    </w:rPr>
                  </w:pPr>
                  <w:r>
                    <w:rPr>
                      <w:rFonts w:eastAsia="宋体"/>
                      <w:color w:val="000000" w:themeColor="text1"/>
                      <w:sz w:val="21"/>
                      <w:szCs w:val="21"/>
                    </w:rPr>
                    <w:t>AWA6228</w:t>
                  </w:r>
                  <w:r>
                    <w:rPr>
                      <w:rFonts w:hint="eastAsia" w:eastAsia="宋体"/>
                      <w:color w:val="000000" w:themeColor="text1"/>
                      <w:sz w:val="21"/>
                      <w:szCs w:val="21"/>
                      <w:vertAlign w:val="superscript"/>
                    </w:rPr>
                    <w:t>+</w:t>
                  </w:r>
                </w:p>
              </w:tc>
              <w:tc>
                <w:tcPr>
                  <w:tcW w:w="879" w:type="pct"/>
                  <w:vAlign w:val="center"/>
                </w:tcPr>
                <w:p>
                  <w:pPr>
                    <w:spacing w:line="360" w:lineRule="exact"/>
                    <w:jc w:val="center"/>
                    <w:rPr>
                      <w:rFonts w:eastAsia="宋体"/>
                      <w:color w:val="000000" w:themeColor="text1"/>
                      <w:sz w:val="21"/>
                      <w:szCs w:val="21"/>
                    </w:rPr>
                  </w:pPr>
                  <w:r>
                    <w:rPr>
                      <w:rFonts w:hint="eastAsia" w:eastAsia="宋体"/>
                      <w:color w:val="000000" w:themeColor="text1"/>
                      <w:sz w:val="21"/>
                      <w:szCs w:val="21"/>
                    </w:rPr>
                    <w:t>00316175</w:t>
                  </w:r>
                </w:p>
              </w:tc>
              <w:tc>
                <w:tcPr>
                  <w:tcW w:w="1128" w:type="pct"/>
                  <w:vAlign w:val="center"/>
                </w:tcPr>
                <w:p>
                  <w:pPr>
                    <w:spacing w:line="360" w:lineRule="exact"/>
                    <w:jc w:val="center"/>
                    <w:rPr>
                      <w:rFonts w:eastAsia="宋体"/>
                      <w:color w:val="000000" w:themeColor="text1"/>
                      <w:sz w:val="21"/>
                      <w:szCs w:val="21"/>
                    </w:rPr>
                  </w:pPr>
                  <w:r>
                    <w:rPr>
                      <w:rFonts w:eastAsia="宋体"/>
                      <w:color w:val="000000" w:themeColor="text1"/>
                      <w:kern w:val="0"/>
                      <w:sz w:val="21"/>
                      <w:szCs w:val="21"/>
                    </w:rPr>
                    <w:t>U=</w:t>
                  </w:r>
                  <w:r>
                    <w:rPr>
                      <w:rFonts w:hint="eastAsia" w:eastAsia="宋体"/>
                      <w:color w:val="000000" w:themeColor="text1"/>
                      <w:kern w:val="0"/>
                      <w:sz w:val="21"/>
                      <w:szCs w:val="21"/>
                    </w:rPr>
                    <w:t>0.4</w:t>
                  </w:r>
                  <w:r>
                    <w:rPr>
                      <w:rFonts w:eastAsia="宋体"/>
                      <w:color w:val="000000" w:themeColor="text1"/>
                      <w:kern w:val="0"/>
                      <w:sz w:val="21"/>
                      <w:szCs w:val="21"/>
                    </w:rPr>
                    <w:t>%</w:t>
                  </w:r>
                  <w:r>
                    <w:rPr>
                      <w:rFonts w:eastAsia="宋体"/>
                      <w:color w:val="000000" w:themeColor="text1"/>
                      <w:sz w:val="21"/>
                      <w:szCs w:val="21"/>
                    </w:rPr>
                    <w:t>dB</w:t>
                  </w:r>
                  <w:r>
                    <w:rPr>
                      <w:rFonts w:hint="eastAsia" w:eastAsia="宋体"/>
                      <w:color w:val="000000" w:themeColor="text1"/>
                      <w:sz w:val="21"/>
                      <w:szCs w:val="21"/>
                    </w:rPr>
                    <w:t>-1.0</w:t>
                  </w:r>
                  <w:r>
                    <w:rPr>
                      <w:rFonts w:eastAsia="宋体"/>
                      <w:color w:val="000000" w:themeColor="text1"/>
                      <w:sz w:val="21"/>
                      <w:szCs w:val="21"/>
                    </w:rPr>
                    <w:t xml:space="preserve"> dB</w:t>
                  </w:r>
                </w:p>
              </w:tc>
              <w:tc>
                <w:tcPr>
                  <w:tcW w:w="1305" w:type="pct"/>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声字</w:t>
                  </w:r>
                  <w:r>
                    <w:rPr>
                      <w:rFonts w:eastAsia="宋体"/>
                      <w:color w:val="000000" w:themeColor="text1"/>
                      <w:sz w:val="21"/>
                      <w:szCs w:val="21"/>
                    </w:rPr>
                    <w:t>20190801</w:t>
                  </w:r>
                  <w:r>
                    <w:rPr>
                      <w:rFonts w:hint="eastAsia" w:eastAsia="宋体"/>
                      <w:color w:val="000000" w:themeColor="text1"/>
                      <w:sz w:val="21"/>
                      <w:szCs w:val="21"/>
                    </w:rPr>
                    <w:t>-1291</w:t>
                  </w:r>
                </w:p>
              </w:tc>
            </w:tr>
          </w:tbl>
          <w:p>
            <w:pPr>
              <w:tabs>
                <w:tab w:val="center" w:pos="4857"/>
              </w:tabs>
              <w:adjustRightInd w:val="0"/>
              <w:snapToGrid w:val="0"/>
              <w:spacing w:line="520" w:lineRule="exact"/>
              <w:rPr>
                <w:rFonts w:eastAsia="宋体"/>
                <w:b/>
                <w:bCs/>
                <w:sz w:val="24"/>
              </w:rPr>
            </w:pPr>
            <w:r>
              <w:rPr>
                <w:rFonts w:eastAsia="宋体"/>
                <w:b/>
                <w:bCs/>
                <w:sz w:val="24"/>
              </w:rPr>
              <w:t>4.2.5监测结果</w:t>
            </w:r>
          </w:p>
          <w:p>
            <w:pPr>
              <w:autoSpaceDE w:val="0"/>
              <w:autoSpaceDN w:val="0"/>
              <w:adjustRightInd w:val="0"/>
              <w:spacing w:line="520" w:lineRule="exact"/>
              <w:ind w:firstLine="472" w:firstLineChars="200"/>
              <w:rPr>
                <w:rFonts w:eastAsia="宋体"/>
                <w:spacing w:val="-2"/>
                <w:kern w:val="16"/>
                <w:sz w:val="24"/>
              </w:rPr>
            </w:pPr>
            <w:r>
              <w:rPr>
                <w:rFonts w:hAnsi="宋体" w:eastAsia="宋体"/>
                <w:spacing w:val="-2"/>
                <w:kern w:val="16"/>
                <w:sz w:val="24"/>
              </w:rPr>
              <w:t>由于</w:t>
            </w:r>
            <w:r>
              <w:rPr>
                <w:rFonts w:hint="eastAsia" w:hAnsi="宋体" w:eastAsia="宋体"/>
                <w:spacing w:val="-2"/>
                <w:kern w:val="16"/>
                <w:sz w:val="24"/>
              </w:rPr>
              <w:t>2020年4月15日</w:t>
            </w:r>
            <w:r>
              <w:rPr>
                <w:rFonts w:hAnsi="宋体" w:eastAsia="宋体"/>
                <w:spacing w:val="-2"/>
                <w:kern w:val="16"/>
                <w:sz w:val="24"/>
              </w:rPr>
              <w:t>电磁环境现状监测时风机未运转，本次监测为升压站、输电线路及敏感点的现状电磁环境调查，监测数据见表</w:t>
            </w:r>
            <w:r>
              <w:rPr>
                <w:rFonts w:eastAsia="宋体"/>
                <w:spacing w:val="-2"/>
                <w:kern w:val="16"/>
                <w:sz w:val="24"/>
              </w:rPr>
              <w:t>4-5</w:t>
            </w:r>
            <w:r>
              <w:rPr>
                <w:rFonts w:hAnsi="宋体" w:eastAsia="宋体"/>
                <w:spacing w:val="-2"/>
                <w:kern w:val="16"/>
                <w:sz w:val="24"/>
              </w:rPr>
              <w:t>。</w:t>
            </w:r>
          </w:p>
          <w:p>
            <w:pPr>
              <w:adjustRightInd w:val="0"/>
              <w:snapToGrid w:val="0"/>
              <w:spacing w:line="520" w:lineRule="exact"/>
              <w:ind w:firstLine="480" w:firstLineChars="200"/>
              <w:rPr>
                <w:rFonts w:hAnsi="黑体" w:eastAsia="黑体"/>
                <w:sz w:val="24"/>
                <w:szCs w:val="21"/>
              </w:rPr>
            </w:pPr>
            <w:bookmarkStart w:id="25" w:name="_Ref148584605"/>
            <w:r>
              <w:rPr>
                <w:rFonts w:hAnsi="黑体" w:eastAsia="黑体"/>
                <w:sz w:val="24"/>
                <w:szCs w:val="21"/>
              </w:rPr>
              <w:t>表</w:t>
            </w:r>
            <w:bookmarkEnd w:id="25"/>
            <w:r>
              <w:rPr>
                <w:rFonts w:eastAsia="黑体"/>
                <w:sz w:val="24"/>
                <w:szCs w:val="21"/>
              </w:rPr>
              <w:t xml:space="preserve">4-5        </w:t>
            </w:r>
            <w:r>
              <w:rPr>
                <w:rFonts w:hAnsi="黑体" w:eastAsia="黑体"/>
                <w:sz w:val="24"/>
                <w:szCs w:val="21"/>
              </w:rPr>
              <w:t>各监测点位工频电场、工频磁感应强度现状监测结果</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00"/>
              <w:gridCol w:w="3613"/>
              <w:gridCol w:w="1844"/>
              <w:gridCol w:w="19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jc w:val="center"/>
                    <w:rPr>
                      <w:rFonts w:eastAsia="宋体"/>
                      <w:color w:val="000000" w:themeColor="text1"/>
                      <w:sz w:val="21"/>
                      <w:szCs w:val="21"/>
                    </w:rPr>
                  </w:pPr>
                  <w:r>
                    <w:rPr>
                      <w:rFonts w:eastAsia="宋体"/>
                      <w:color w:val="000000" w:themeColor="text1"/>
                      <w:sz w:val="21"/>
                      <w:szCs w:val="21"/>
                    </w:rPr>
                    <w:t>序号</w:t>
                  </w:r>
                </w:p>
              </w:tc>
              <w:tc>
                <w:tcPr>
                  <w:tcW w:w="3613" w:type="dxa"/>
                  <w:vAlign w:val="center"/>
                </w:tcPr>
                <w:p>
                  <w:pPr>
                    <w:jc w:val="center"/>
                    <w:rPr>
                      <w:rFonts w:eastAsia="宋体"/>
                      <w:color w:val="000000" w:themeColor="text1"/>
                      <w:sz w:val="21"/>
                      <w:szCs w:val="21"/>
                    </w:rPr>
                  </w:pPr>
                  <w:r>
                    <w:rPr>
                      <w:rFonts w:eastAsia="宋体"/>
                      <w:color w:val="000000" w:themeColor="text1"/>
                      <w:sz w:val="21"/>
                      <w:szCs w:val="21"/>
                    </w:rPr>
                    <w:t>测点位置</w:t>
                  </w:r>
                </w:p>
              </w:tc>
              <w:tc>
                <w:tcPr>
                  <w:tcW w:w="1844" w:type="dxa"/>
                  <w:vAlign w:val="center"/>
                </w:tcPr>
                <w:p>
                  <w:pPr>
                    <w:jc w:val="center"/>
                    <w:rPr>
                      <w:rFonts w:eastAsia="宋体"/>
                      <w:color w:val="000000" w:themeColor="text1"/>
                      <w:sz w:val="21"/>
                      <w:szCs w:val="21"/>
                    </w:rPr>
                  </w:pPr>
                  <w:r>
                    <w:rPr>
                      <w:rFonts w:eastAsia="宋体"/>
                      <w:color w:val="000000" w:themeColor="text1"/>
                      <w:sz w:val="21"/>
                      <w:szCs w:val="21"/>
                    </w:rPr>
                    <w:t>电场强度（V/m）</w:t>
                  </w:r>
                </w:p>
              </w:tc>
              <w:tc>
                <w:tcPr>
                  <w:tcW w:w="1929" w:type="dxa"/>
                  <w:vAlign w:val="center"/>
                </w:tcPr>
                <w:p>
                  <w:pPr>
                    <w:jc w:val="center"/>
                    <w:rPr>
                      <w:rFonts w:eastAsia="宋体"/>
                      <w:color w:val="000000" w:themeColor="text1"/>
                      <w:sz w:val="21"/>
                      <w:szCs w:val="21"/>
                    </w:rPr>
                  </w:pPr>
                  <w:r>
                    <w:rPr>
                      <w:rFonts w:eastAsia="宋体"/>
                      <w:color w:val="000000" w:themeColor="text1"/>
                      <w:sz w:val="21"/>
                      <w:szCs w:val="21"/>
                    </w:rPr>
                    <w:t>磁感应强度（μT）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8286" w:type="dxa"/>
                  <w:gridSpan w:val="4"/>
                  <w:vAlign w:val="center"/>
                </w:tcPr>
                <w:p>
                  <w:pPr>
                    <w:jc w:val="center"/>
                    <w:rPr>
                      <w:rFonts w:eastAsia="宋体"/>
                      <w:color w:val="000000" w:themeColor="text1"/>
                      <w:sz w:val="21"/>
                      <w:szCs w:val="21"/>
                    </w:rPr>
                  </w:pPr>
                  <w:r>
                    <w:rPr>
                      <w:rFonts w:eastAsia="宋体"/>
                      <w:color w:val="000000" w:themeColor="text1"/>
                      <w:sz w:val="21"/>
                      <w:szCs w:val="21"/>
                    </w:rPr>
                    <w:t>一、升压站厂界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w:t>
                  </w:r>
                </w:p>
              </w:tc>
              <w:tc>
                <w:tcPr>
                  <w:tcW w:w="3613" w:type="dxa"/>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升压站东侧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widowControl/>
                    <w:jc w:val="center"/>
                    <w:textAlignment w:val="center"/>
                    <w:rPr>
                      <w:rFonts w:eastAsia="宋体"/>
                      <w:color w:val="000000" w:themeColor="text1"/>
                      <w:sz w:val="21"/>
                      <w:szCs w:val="21"/>
                    </w:rPr>
                  </w:pPr>
                  <w:r>
                    <w:rPr>
                      <w:rFonts w:hint="eastAsia" w:eastAsia="宋体"/>
                      <w:color w:val="000000" w:themeColor="text1"/>
                      <w:sz w:val="21"/>
                      <w:szCs w:val="21"/>
                    </w:rPr>
                    <w:t>31.72</w:t>
                  </w:r>
                </w:p>
              </w:tc>
              <w:tc>
                <w:tcPr>
                  <w:tcW w:w="1929" w:type="dxa"/>
                  <w:vAlign w:val="bottom"/>
                </w:tcPr>
                <w:p>
                  <w:pPr>
                    <w:jc w:val="center"/>
                    <w:rPr>
                      <w:color w:val="000000" w:themeColor="text1"/>
                      <w:sz w:val="21"/>
                      <w:szCs w:val="21"/>
                    </w:rPr>
                  </w:pPr>
                  <w:r>
                    <w:rPr>
                      <w:rFonts w:hint="eastAsia" w:eastAsia="宋体"/>
                      <w:color w:val="000000" w:themeColor="text1"/>
                      <w:sz w:val="21"/>
                      <w:szCs w:val="21"/>
                    </w:rPr>
                    <w:t>0.0046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w:t>
                  </w:r>
                </w:p>
              </w:tc>
              <w:tc>
                <w:tcPr>
                  <w:tcW w:w="3613" w:type="dxa"/>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升压站南侧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widowControl/>
                    <w:jc w:val="center"/>
                    <w:textAlignment w:val="center"/>
                    <w:rPr>
                      <w:rFonts w:eastAsia="宋体"/>
                      <w:color w:val="000000" w:themeColor="text1"/>
                      <w:sz w:val="21"/>
                      <w:szCs w:val="21"/>
                    </w:rPr>
                  </w:pPr>
                  <w:r>
                    <w:rPr>
                      <w:rFonts w:hint="eastAsia" w:eastAsia="宋体"/>
                      <w:color w:val="000000" w:themeColor="text1"/>
                      <w:sz w:val="21"/>
                      <w:szCs w:val="21"/>
                    </w:rPr>
                    <w:t>11.55</w:t>
                  </w:r>
                </w:p>
              </w:tc>
              <w:tc>
                <w:tcPr>
                  <w:tcW w:w="1929" w:type="dxa"/>
                  <w:vAlign w:val="bottom"/>
                </w:tcPr>
                <w:p>
                  <w:pPr>
                    <w:jc w:val="center"/>
                    <w:rPr>
                      <w:color w:val="000000" w:themeColor="text1"/>
                      <w:sz w:val="21"/>
                      <w:szCs w:val="21"/>
                    </w:rPr>
                  </w:pPr>
                  <w:r>
                    <w:rPr>
                      <w:rFonts w:hint="eastAsia" w:eastAsia="宋体"/>
                      <w:color w:val="000000" w:themeColor="text1"/>
                      <w:sz w:val="21"/>
                      <w:szCs w:val="21"/>
                    </w:rPr>
                    <w:t>0.0061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3</w:t>
                  </w:r>
                </w:p>
              </w:tc>
              <w:tc>
                <w:tcPr>
                  <w:tcW w:w="3613" w:type="dxa"/>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升压站西侧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widowControl/>
                    <w:jc w:val="center"/>
                    <w:textAlignment w:val="center"/>
                    <w:rPr>
                      <w:rFonts w:eastAsia="宋体"/>
                      <w:color w:val="000000" w:themeColor="text1"/>
                      <w:sz w:val="21"/>
                      <w:szCs w:val="21"/>
                    </w:rPr>
                  </w:pPr>
                  <w:r>
                    <w:rPr>
                      <w:rFonts w:hint="eastAsia" w:eastAsia="宋体"/>
                      <w:color w:val="000000" w:themeColor="text1"/>
                      <w:sz w:val="21"/>
                      <w:szCs w:val="21"/>
                    </w:rPr>
                    <w:t>0.65</w:t>
                  </w:r>
                </w:p>
              </w:tc>
              <w:tc>
                <w:tcPr>
                  <w:tcW w:w="1929" w:type="dxa"/>
                  <w:vAlign w:val="bottom"/>
                </w:tcPr>
                <w:p>
                  <w:pPr>
                    <w:jc w:val="center"/>
                    <w:rPr>
                      <w:color w:val="000000" w:themeColor="text1"/>
                      <w:sz w:val="21"/>
                      <w:szCs w:val="21"/>
                    </w:rPr>
                  </w:pPr>
                  <w:r>
                    <w:rPr>
                      <w:rFonts w:hint="eastAsia" w:eastAsia="宋体"/>
                      <w:color w:val="000000" w:themeColor="text1"/>
                      <w:sz w:val="21"/>
                      <w:szCs w:val="21"/>
                    </w:rPr>
                    <w:t>0.0064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4</w:t>
                  </w:r>
                </w:p>
              </w:tc>
              <w:tc>
                <w:tcPr>
                  <w:tcW w:w="3613" w:type="dxa"/>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升压站北侧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widowControl/>
                    <w:jc w:val="center"/>
                    <w:textAlignment w:val="center"/>
                    <w:rPr>
                      <w:rFonts w:eastAsia="宋体"/>
                      <w:color w:val="000000" w:themeColor="text1"/>
                      <w:sz w:val="21"/>
                      <w:szCs w:val="21"/>
                    </w:rPr>
                  </w:pPr>
                  <w:r>
                    <w:rPr>
                      <w:rFonts w:hint="eastAsia" w:eastAsia="宋体"/>
                      <w:color w:val="000000" w:themeColor="text1"/>
                      <w:sz w:val="21"/>
                      <w:szCs w:val="21"/>
                    </w:rPr>
                    <w:t>10.42</w:t>
                  </w:r>
                </w:p>
              </w:tc>
              <w:tc>
                <w:tcPr>
                  <w:tcW w:w="1929" w:type="dxa"/>
                  <w:vAlign w:val="center"/>
                </w:tcPr>
                <w:p>
                  <w:pPr>
                    <w:widowControl/>
                    <w:jc w:val="center"/>
                    <w:textAlignment w:val="center"/>
                    <w:rPr>
                      <w:rFonts w:eastAsia="宋体"/>
                      <w:color w:val="000000" w:themeColor="text1"/>
                      <w:sz w:val="21"/>
                      <w:szCs w:val="21"/>
                    </w:rPr>
                  </w:pPr>
                  <w:r>
                    <w:rPr>
                      <w:rFonts w:hint="eastAsia" w:eastAsia="宋体"/>
                      <w:color w:val="000000" w:themeColor="text1"/>
                      <w:sz w:val="21"/>
                      <w:szCs w:val="21"/>
                    </w:rPr>
                    <w:t>0.0046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286" w:type="dxa"/>
                  <w:gridSpan w:val="4"/>
                  <w:vAlign w:val="center"/>
                </w:tcPr>
                <w:p>
                  <w:pPr>
                    <w:jc w:val="center"/>
                    <w:rPr>
                      <w:color w:val="000000" w:themeColor="text1"/>
                      <w:sz w:val="21"/>
                      <w:szCs w:val="21"/>
                    </w:rPr>
                  </w:pPr>
                  <w:r>
                    <w:rPr>
                      <w:rFonts w:eastAsia="宋体"/>
                      <w:color w:val="000000" w:themeColor="text1"/>
                      <w:sz w:val="21"/>
                      <w:szCs w:val="21"/>
                    </w:rPr>
                    <w:t>衰减断面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5</w:t>
                  </w:r>
                </w:p>
              </w:tc>
              <w:tc>
                <w:tcPr>
                  <w:tcW w:w="3613" w:type="dxa"/>
                  <w:vAlign w:val="center"/>
                </w:tcPr>
                <w:p>
                  <w:pPr>
                    <w:pStyle w:val="25"/>
                    <w:spacing w:line="240" w:lineRule="auto"/>
                    <w:rPr>
                      <w:rFonts w:ascii="Times New Roman" w:hAnsi="Times New Roman"/>
                      <w:color w:val="000000" w:themeColor="text1"/>
                      <w:szCs w:val="21"/>
                    </w:rPr>
                  </w:pPr>
                  <w:r>
                    <w:rPr>
                      <w:rFonts w:ascii="Times New Roman"/>
                      <w:color w:val="000000" w:themeColor="text1"/>
                      <w:kern w:val="2"/>
                      <w:szCs w:val="21"/>
                    </w:rPr>
                    <w:t>升压站北侧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widowControl/>
                    <w:jc w:val="center"/>
                    <w:textAlignment w:val="center"/>
                    <w:rPr>
                      <w:rFonts w:eastAsia="宋体"/>
                      <w:color w:val="000000" w:themeColor="text1"/>
                      <w:sz w:val="21"/>
                      <w:szCs w:val="21"/>
                    </w:rPr>
                  </w:pPr>
                  <w:r>
                    <w:rPr>
                      <w:rFonts w:eastAsia="宋体"/>
                      <w:color w:val="000000" w:themeColor="text1"/>
                      <w:kern w:val="0"/>
                      <w:sz w:val="21"/>
                      <w:szCs w:val="21"/>
                    </w:rPr>
                    <w:t xml:space="preserve">11.55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0.0061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6</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10m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8.49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0.0035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7</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15m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7.29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0.0069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8</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20m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5.04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0.0045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9</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25m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3.87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0.0062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10</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30m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2.84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0.0071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11</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35m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2.</w:t>
                  </w:r>
                  <w:r>
                    <w:rPr>
                      <w:rFonts w:hint="eastAsia" w:eastAsia="宋体"/>
                      <w:color w:val="000000" w:themeColor="text1"/>
                      <w:kern w:val="0"/>
                      <w:sz w:val="21"/>
                      <w:szCs w:val="21"/>
                    </w:rPr>
                    <w:t>6</w:t>
                  </w:r>
                  <w:r>
                    <w:rPr>
                      <w:rFonts w:eastAsia="宋体"/>
                      <w:color w:val="000000" w:themeColor="text1"/>
                      <w:kern w:val="0"/>
                      <w:sz w:val="21"/>
                      <w:szCs w:val="21"/>
                    </w:rPr>
                    <w:t xml:space="preserve">5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0.0044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12</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40m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2.</w:t>
                  </w:r>
                  <w:r>
                    <w:rPr>
                      <w:rFonts w:hint="eastAsia" w:eastAsia="宋体"/>
                      <w:color w:val="000000" w:themeColor="text1"/>
                      <w:kern w:val="0"/>
                      <w:sz w:val="21"/>
                      <w:szCs w:val="21"/>
                    </w:rPr>
                    <w:t>5</w:t>
                  </w:r>
                  <w:r>
                    <w:rPr>
                      <w:rFonts w:eastAsia="宋体"/>
                      <w:color w:val="000000" w:themeColor="text1"/>
                      <w:kern w:val="0"/>
                      <w:sz w:val="21"/>
                      <w:szCs w:val="21"/>
                    </w:rPr>
                    <w:t xml:space="preserve">5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0.0044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13</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45m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1.93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0.0038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14</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50m</w:t>
                  </w:r>
                  <w:r>
                    <w:rPr>
                      <w:rFonts w:ascii="Times New Roman"/>
                      <w:color w:val="000000" w:themeColor="text1"/>
                      <w:kern w:val="2"/>
                      <w:szCs w:val="21"/>
                    </w:rPr>
                    <w:t>处</w:t>
                  </w:r>
                </w:p>
              </w:tc>
              <w:tc>
                <w:tcPr>
                  <w:tcW w:w="1844"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1.23 </w:t>
                  </w:r>
                </w:p>
              </w:tc>
              <w:tc>
                <w:tcPr>
                  <w:tcW w:w="1929" w:type="dxa"/>
                  <w:vAlign w:val="center"/>
                </w:tcPr>
                <w:p>
                  <w:pPr>
                    <w:widowControl/>
                    <w:jc w:val="center"/>
                    <w:textAlignment w:val="center"/>
                    <w:rPr>
                      <w:color w:val="000000" w:themeColor="text1"/>
                      <w:sz w:val="21"/>
                      <w:szCs w:val="21"/>
                    </w:rPr>
                  </w:pPr>
                  <w:r>
                    <w:rPr>
                      <w:rFonts w:eastAsia="宋体"/>
                      <w:color w:val="000000" w:themeColor="text1"/>
                      <w:kern w:val="0"/>
                      <w:sz w:val="21"/>
                      <w:szCs w:val="21"/>
                    </w:rPr>
                    <w:t xml:space="preserve">0.0023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286" w:type="dxa"/>
                  <w:gridSpan w:val="4"/>
                  <w:vAlign w:val="center"/>
                </w:tcPr>
                <w:p>
                  <w:pPr>
                    <w:spacing w:line="320" w:lineRule="exact"/>
                    <w:jc w:val="center"/>
                    <w:rPr>
                      <w:rFonts w:eastAsia="宋体"/>
                      <w:bCs/>
                      <w:color w:val="000000" w:themeColor="text1"/>
                      <w:spacing w:val="-2"/>
                      <w:sz w:val="21"/>
                      <w:szCs w:val="21"/>
                    </w:rPr>
                  </w:pPr>
                  <w:r>
                    <w:rPr>
                      <w:rFonts w:eastAsia="宋体"/>
                      <w:bCs/>
                      <w:color w:val="000000" w:themeColor="text1"/>
                      <w:spacing w:val="-2"/>
                      <w:sz w:val="21"/>
                      <w:szCs w:val="21"/>
                    </w:rPr>
                    <w:t>二、线路敏感点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15</w:t>
                  </w:r>
                </w:p>
              </w:tc>
              <w:tc>
                <w:tcPr>
                  <w:tcW w:w="3613" w:type="dxa"/>
                  <w:vAlign w:val="center"/>
                </w:tcPr>
                <w:p>
                  <w:pPr>
                    <w:widowControl/>
                    <w:jc w:val="center"/>
                    <w:rPr>
                      <w:rFonts w:eastAsia="宋体"/>
                      <w:color w:val="000000" w:themeColor="text1"/>
                      <w:kern w:val="0"/>
                      <w:sz w:val="21"/>
                      <w:szCs w:val="21"/>
                    </w:rPr>
                  </w:pPr>
                  <w:r>
                    <w:rPr>
                      <w:rFonts w:eastAsia="宋体"/>
                      <w:color w:val="000000" w:themeColor="text1"/>
                      <w:kern w:val="0"/>
                      <w:sz w:val="21"/>
                      <w:szCs w:val="21"/>
                    </w:rPr>
                    <w:t>杨桥村常海超家</w:t>
                  </w:r>
                </w:p>
              </w:tc>
              <w:tc>
                <w:tcPr>
                  <w:tcW w:w="1844" w:type="dxa"/>
                  <w:vAlign w:val="bottom"/>
                </w:tcPr>
                <w:p>
                  <w:pPr>
                    <w:widowControl/>
                    <w:jc w:val="center"/>
                    <w:rPr>
                      <w:rFonts w:eastAsia="宋体"/>
                      <w:color w:val="000000" w:themeColor="text1"/>
                      <w:kern w:val="0"/>
                      <w:sz w:val="21"/>
                      <w:szCs w:val="21"/>
                    </w:rPr>
                  </w:pPr>
                  <w:r>
                    <w:rPr>
                      <w:rFonts w:hint="eastAsia" w:eastAsia="宋体"/>
                      <w:color w:val="000000" w:themeColor="text1"/>
                      <w:kern w:val="0"/>
                      <w:sz w:val="21"/>
                      <w:szCs w:val="21"/>
                    </w:rPr>
                    <w:t>20.87</w:t>
                  </w:r>
                </w:p>
              </w:tc>
              <w:tc>
                <w:tcPr>
                  <w:tcW w:w="1929" w:type="dxa"/>
                  <w:vAlign w:val="bottom"/>
                </w:tcPr>
                <w:p>
                  <w:pPr>
                    <w:jc w:val="center"/>
                    <w:rPr>
                      <w:color w:val="000000" w:themeColor="text1"/>
                      <w:sz w:val="21"/>
                      <w:szCs w:val="21"/>
                    </w:rPr>
                  </w:pPr>
                  <w:r>
                    <w:rPr>
                      <w:rFonts w:hint="eastAsia"/>
                      <w:color w:val="000000" w:themeColor="text1"/>
                      <w:sz w:val="21"/>
                      <w:szCs w:val="21"/>
                    </w:rPr>
                    <w:t>0.1696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16</w:t>
                  </w:r>
                </w:p>
              </w:tc>
              <w:tc>
                <w:tcPr>
                  <w:tcW w:w="3613" w:type="dxa"/>
                  <w:vAlign w:val="center"/>
                </w:tcPr>
                <w:p>
                  <w:pPr>
                    <w:jc w:val="center"/>
                    <w:rPr>
                      <w:rFonts w:eastAsia="宋体"/>
                      <w:color w:val="000000" w:themeColor="text1"/>
                      <w:sz w:val="21"/>
                      <w:szCs w:val="21"/>
                    </w:rPr>
                  </w:pPr>
                  <w:r>
                    <w:rPr>
                      <w:rFonts w:eastAsia="宋体"/>
                      <w:color w:val="000000" w:themeColor="text1"/>
                      <w:sz w:val="21"/>
                      <w:szCs w:val="21"/>
                    </w:rPr>
                    <w:t>张垌村王娟家</w:t>
                  </w:r>
                </w:p>
              </w:tc>
              <w:tc>
                <w:tcPr>
                  <w:tcW w:w="1844" w:type="dxa"/>
                  <w:vAlign w:val="bottom"/>
                </w:tcPr>
                <w:p>
                  <w:pPr>
                    <w:jc w:val="center"/>
                    <w:rPr>
                      <w:color w:val="000000" w:themeColor="text1"/>
                      <w:sz w:val="21"/>
                      <w:szCs w:val="21"/>
                    </w:rPr>
                  </w:pPr>
                  <w:r>
                    <w:rPr>
                      <w:rFonts w:hint="eastAsia"/>
                      <w:color w:val="000000" w:themeColor="text1"/>
                      <w:sz w:val="21"/>
                      <w:szCs w:val="21"/>
                    </w:rPr>
                    <w:t>75.57</w:t>
                  </w:r>
                </w:p>
              </w:tc>
              <w:tc>
                <w:tcPr>
                  <w:tcW w:w="1929" w:type="dxa"/>
                  <w:vAlign w:val="bottom"/>
                </w:tcPr>
                <w:p>
                  <w:pPr>
                    <w:jc w:val="center"/>
                    <w:rPr>
                      <w:color w:val="000000" w:themeColor="text1"/>
                      <w:sz w:val="21"/>
                      <w:szCs w:val="21"/>
                    </w:rPr>
                  </w:pPr>
                  <w:r>
                    <w:rPr>
                      <w:rFonts w:hint="eastAsia"/>
                      <w:color w:val="000000" w:themeColor="text1"/>
                      <w:sz w:val="21"/>
                      <w:szCs w:val="21"/>
                    </w:rPr>
                    <w:t>0.1873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17</w:t>
                  </w:r>
                </w:p>
              </w:tc>
              <w:tc>
                <w:tcPr>
                  <w:tcW w:w="3613" w:type="dxa"/>
                  <w:vAlign w:val="center"/>
                </w:tcPr>
                <w:p>
                  <w:pPr>
                    <w:jc w:val="center"/>
                    <w:rPr>
                      <w:rFonts w:eastAsia="宋体"/>
                      <w:color w:val="000000" w:themeColor="text1"/>
                      <w:sz w:val="21"/>
                      <w:szCs w:val="21"/>
                    </w:rPr>
                  </w:pPr>
                  <w:r>
                    <w:rPr>
                      <w:rFonts w:eastAsia="宋体"/>
                      <w:color w:val="000000" w:themeColor="text1"/>
                      <w:sz w:val="21"/>
                      <w:szCs w:val="21"/>
                    </w:rPr>
                    <w:t>张垌村范国明家</w:t>
                  </w:r>
                </w:p>
              </w:tc>
              <w:tc>
                <w:tcPr>
                  <w:tcW w:w="1844" w:type="dxa"/>
                  <w:vAlign w:val="bottom"/>
                </w:tcPr>
                <w:p>
                  <w:pPr>
                    <w:jc w:val="center"/>
                    <w:rPr>
                      <w:color w:val="000000" w:themeColor="text1"/>
                      <w:sz w:val="21"/>
                      <w:szCs w:val="21"/>
                    </w:rPr>
                  </w:pPr>
                  <w:r>
                    <w:rPr>
                      <w:rFonts w:hint="eastAsia"/>
                      <w:color w:val="000000" w:themeColor="text1"/>
                      <w:sz w:val="21"/>
                      <w:szCs w:val="21"/>
                    </w:rPr>
                    <w:t>2.38</w:t>
                  </w:r>
                </w:p>
              </w:tc>
              <w:tc>
                <w:tcPr>
                  <w:tcW w:w="1929" w:type="dxa"/>
                  <w:vAlign w:val="bottom"/>
                </w:tcPr>
                <w:p>
                  <w:pPr>
                    <w:jc w:val="center"/>
                    <w:rPr>
                      <w:color w:val="000000" w:themeColor="text1"/>
                      <w:sz w:val="21"/>
                      <w:szCs w:val="21"/>
                    </w:rPr>
                  </w:pPr>
                  <w:r>
                    <w:rPr>
                      <w:rFonts w:hint="eastAsia"/>
                      <w:color w:val="000000" w:themeColor="text1"/>
                      <w:sz w:val="21"/>
                      <w:szCs w:val="21"/>
                    </w:rPr>
                    <w:t>0.0727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18</w:t>
                  </w:r>
                </w:p>
              </w:tc>
              <w:tc>
                <w:tcPr>
                  <w:tcW w:w="3613" w:type="dxa"/>
                  <w:vAlign w:val="center"/>
                </w:tcPr>
                <w:p>
                  <w:pPr>
                    <w:jc w:val="center"/>
                    <w:rPr>
                      <w:rFonts w:eastAsia="宋体"/>
                      <w:color w:val="000000" w:themeColor="text1"/>
                      <w:sz w:val="21"/>
                      <w:szCs w:val="21"/>
                    </w:rPr>
                  </w:pPr>
                  <w:r>
                    <w:rPr>
                      <w:rFonts w:eastAsia="宋体"/>
                      <w:color w:val="000000" w:themeColor="text1"/>
                      <w:sz w:val="21"/>
                      <w:szCs w:val="21"/>
                    </w:rPr>
                    <w:t>黑龙沟于发海家</w:t>
                  </w:r>
                </w:p>
              </w:tc>
              <w:tc>
                <w:tcPr>
                  <w:tcW w:w="1844" w:type="dxa"/>
                  <w:vAlign w:val="bottom"/>
                </w:tcPr>
                <w:p>
                  <w:pPr>
                    <w:jc w:val="center"/>
                    <w:rPr>
                      <w:color w:val="000000" w:themeColor="text1"/>
                      <w:sz w:val="21"/>
                      <w:szCs w:val="21"/>
                    </w:rPr>
                  </w:pPr>
                  <w:r>
                    <w:rPr>
                      <w:rFonts w:hint="eastAsia"/>
                      <w:color w:val="000000" w:themeColor="text1"/>
                      <w:sz w:val="21"/>
                      <w:szCs w:val="21"/>
                    </w:rPr>
                    <w:t>2.33</w:t>
                  </w:r>
                </w:p>
              </w:tc>
              <w:tc>
                <w:tcPr>
                  <w:tcW w:w="1929" w:type="dxa"/>
                  <w:vAlign w:val="bottom"/>
                </w:tcPr>
                <w:p>
                  <w:pPr>
                    <w:jc w:val="center"/>
                    <w:rPr>
                      <w:color w:val="000000" w:themeColor="text1"/>
                      <w:sz w:val="21"/>
                      <w:szCs w:val="21"/>
                    </w:rPr>
                  </w:pPr>
                  <w:r>
                    <w:rPr>
                      <w:rFonts w:hint="eastAsia"/>
                      <w:color w:val="000000" w:themeColor="text1"/>
                      <w:sz w:val="21"/>
                      <w:szCs w:val="21"/>
                    </w:rPr>
                    <w:t>0.0299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19</w:t>
                  </w:r>
                </w:p>
              </w:tc>
              <w:tc>
                <w:tcPr>
                  <w:tcW w:w="3613" w:type="dxa"/>
                  <w:vAlign w:val="center"/>
                </w:tcPr>
                <w:p>
                  <w:pPr>
                    <w:jc w:val="center"/>
                    <w:rPr>
                      <w:rFonts w:eastAsia="宋体"/>
                      <w:color w:val="000000" w:themeColor="text1"/>
                      <w:sz w:val="21"/>
                      <w:szCs w:val="21"/>
                    </w:rPr>
                  </w:pPr>
                  <w:r>
                    <w:rPr>
                      <w:rFonts w:eastAsia="宋体"/>
                      <w:color w:val="000000" w:themeColor="text1"/>
                      <w:sz w:val="21"/>
                      <w:szCs w:val="21"/>
                    </w:rPr>
                    <w:t>黑龙沟于保成家</w:t>
                  </w:r>
                </w:p>
              </w:tc>
              <w:tc>
                <w:tcPr>
                  <w:tcW w:w="1844" w:type="dxa"/>
                  <w:vAlign w:val="bottom"/>
                </w:tcPr>
                <w:p>
                  <w:pPr>
                    <w:jc w:val="center"/>
                    <w:rPr>
                      <w:color w:val="000000" w:themeColor="text1"/>
                      <w:sz w:val="21"/>
                      <w:szCs w:val="21"/>
                    </w:rPr>
                  </w:pPr>
                  <w:r>
                    <w:rPr>
                      <w:rFonts w:hint="eastAsia"/>
                      <w:color w:val="000000" w:themeColor="text1"/>
                      <w:sz w:val="21"/>
                      <w:szCs w:val="21"/>
                    </w:rPr>
                    <w:t>0.19</w:t>
                  </w:r>
                </w:p>
              </w:tc>
              <w:tc>
                <w:tcPr>
                  <w:tcW w:w="1929" w:type="dxa"/>
                  <w:vAlign w:val="bottom"/>
                </w:tcPr>
                <w:p>
                  <w:pPr>
                    <w:jc w:val="center"/>
                    <w:rPr>
                      <w:color w:val="000000" w:themeColor="text1"/>
                      <w:sz w:val="21"/>
                      <w:szCs w:val="21"/>
                    </w:rPr>
                  </w:pPr>
                  <w:r>
                    <w:rPr>
                      <w:rFonts w:hint="eastAsia"/>
                      <w:color w:val="000000" w:themeColor="text1"/>
                      <w:sz w:val="21"/>
                      <w:szCs w:val="21"/>
                    </w:rPr>
                    <w:t>0.0238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20</w:t>
                  </w:r>
                </w:p>
              </w:tc>
              <w:tc>
                <w:tcPr>
                  <w:tcW w:w="3613" w:type="dxa"/>
                  <w:vAlign w:val="center"/>
                </w:tcPr>
                <w:p>
                  <w:pPr>
                    <w:pStyle w:val="25"/>
                    <w:spacing w:line="240" w:lineRule="auto"/>
                    <w:rPr>
                      <w:rFonts w:ascii="Times New Roman"/>
                      <w:color w:val="000000" w:themeColor="text1"/>
                      <w:kern w:val="2"/>
                      <w:szCs w:val="21"/>
                    </w:rPr>
                  </w:pPr>
                  <w:r>
                    <w:rPr>
                      <w:rFonts w:hint="eastAsia" w:ascii="Times New Roman"/>
                      <w:color w:val="000000" w:themeColor="text1"/>
                      <w:kern w:val="2"/>
                      <w:szCs w:val="21"/>
                    </w:rPr>
                    <w:t>中心导线处</w:t>
                  </w:r>
                </w:p>
              </w:tc>
              <w:tc>
                <w:tcPr>
                  <w:tcW w:w="1844" w:type="dxa"/>
                  <w:vAlign w:val="center"/>
                </w:tcPr>
                <w:p>
                  <w:pPr>
                    <w:jc w:val="center"/>
                    <w:rPr>
                      <w:color w:val="000000" w:themeColor="text1"/>
                      <w:sz w:val="21"/>
                      <w:szCs w:val="21"/>
                    </w:rPr>
                  </w:pPr>
                  <w:r>
                    <w:rPr>
                      <w:color w:val="000000" w:themeColor="text1"/>
                      <w:sz w:val="21"/>
                      <w:szCs w:val="21"/>
                    </w:rPr>
                    <w:t xml:space="preserve">237.11 </w:t>
                  </w:r>
                </w:p>
              </w:tc>
              <w:tc>
                <w:tcPr>
                  <w:tcW w:w="1929" w:type="dxa"/>
                  <w:vAlign w:val="center"/>
                </w:tcPr>
                <w:p>
                  <w:pPr>
                    <w:jc w:val="center"/>
                    <w:rPr>
                      <w:color w:val="000000" w:themeColor="text1"/>
                      <w:sz w:val="21"/>
                      <w:szCs w:val="21"/>
                    </w:rPr>
                  </w:pPr>
                  <w:r>
                    <w:rPr>
                      <w:color w:val="000000" w:themeColor="text1"/>
                      <w:sz w:val="21"/>
                      <w:szCs w:val="21"/>
                    </w:rPr>
                    <w:t xml:space="preserve">0.4413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21</w:t>
                  </w:r>
                </w:p>
              </w:tc>
              <w:tc>
                <w:tcPr>
                  <w:tcW w:w="3613" w:type="dxa"/>
                  <w:vAlign w:val="center"/>
                </w:tcPr>
                <w:p>
                  <w:pPr>
                    <w:pStyle w:val="25"/>
                    <w:spacing w:line="240" w:lineRule="auto"/>
                    <w:rPr>
                      <w:rFonts w:ascii="Times New Roman" w:hAnsi="Times New Roman"/>
                      <w:color w:val="000000" w:themeColor="text1"/>
                      <w:szCs w:val="21"/>
                    </w:rPr>
                  </w:pPr>
                  <w:r>
                    <w:rPr>
                      <w:rFonts w:hint="eastAsia" w:ascii="Times New Roman"/>
                      <w:color w:val="000000" w:themeColor="text1"/>
                      <w:kern w:val="2"/>
                      <w:szCs w:val="21"/>
                    </w:rPr>
                    <w:t>线路</w:t>
                  </w:r>
                  <w:r>
                    <w:rPr>
                      <w:rFonts w:ascii="Times New Roman"/>
                      <w:color w:val="000000" w:themeColor="text1"/>
                      <w:kern w:val="2"/>
                      <w:szCs w:val="21"/>
                    </w:rPr>
                    <w:t>北侧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241.72 </w:t>
                  </w:r>
                </w:p>
              </w:tc>
              <w:tc>
                <w:tcPr>
                  <w:tcW w:w="1929" w:type="dxa"/>
                  <w:vAlign w:val="center"/>
                </w:tcPr>
                <w:p>
                  <w:pPr>
                    <w:jc w:val="center"/>
                    <w:rPr>
                      <w:color w:val="000000" w:themeColor="text1"/>
                      <w:sz w:val="21"/>
                      <w:szCs w:val="21"/>
                    </w:rPr>
                  </w:pPr>
                  <w:r>
                    <w:rPr>
                      <w:color w:val="000000" w:themeColor="text1"/>
                      <w:sz w:val="21"/>
                      <w:szCs w:val="21"/>
                    </w:rPr>
                    <w:t xml:space="preserve">0.4199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22</w:t>
                  </w:r>
                </w:p>
              </w:tc>
              <w:tc>
                <w:tcPr>
                  <w:tcW w:w="3613" w:type="dxa"/>
                  <w:vAlign w:val="center"/>
                </w:tcPr>
                <w:p>
                  <w:pPr>
                    <w:pStyle w:val="25"/>
                    <w:spacing w:line="240" w:lineRule="auto"/>
                    <w:rPr>
                      <w:rFonts w:ascii="Times New Roman" w:hAnsi="Times New Roman"/>
                      <w:color w:val="000000" w:themeColor="text1"/>
                      <w:kern w:val="2"/>
                      <w:szCs w:val="21"/>
                    </w:rPr>
                  </w:pPr>
                  <w:r>
                    <w:rPr>
                      <w:rFonts w:hint="eastAsia" w:ascii="Times New Roman"/>
                      <w:color w:val="000000" w:themeColor="text1"/>
                      <w:kern w:val="2"/>
                      <w:szCs w:val="21"/>
                    </w:rPr>
                    <w:t>线路</w:t>
                  </w:r>
                  <w:r>
                    <w:rPr>
                      <w:rFonts w:ascii="Times New Roman"/>
                      <w:color w:val="000000" w:themeColor="text1"/>
                      <w:kern w:val="2"/>
                      <w:szCs w:val="21"/>
                    </w:rPr>
                    <w:t>北侧</w:t>
                  </w:r>
                  <w:r>
                    <w:rPr>
                      <w:rFonts w:ascii="Times New Roman" w:hAnsi="Times New Roman"/>
                      <w:color w:val="000000" w:themeColor="text1"/>
                      <w:kern w:val="2"/>
                      <w:szCs w:val="21"/>
                    </w:rPr>
                    <w:t>10m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237.95 </w:t>
                  </w:r>
                </w:p>
              </w:tc>
              <w:tc>
                <w:tcPr>
                  <w:tcW w:w="1929" w:type="dxa"/>
                  <w:vAlign w:val="center"/>
                </w:tcPr>
                <w:p>
                  <w:pPr>
                    <w:jc w:val="center"/>
                    <w:rPr>
                      <w:color w:val="000000" w:themeColor="text1"/>
                      <w:sz w:val="21"/>
                      <w:szCs w:val="21"/>
                    </w:rPr>
                  </w:pPr>
                  <w:r>
                    <w:rPr>
                      <w:color w:val="000000" w:themeColor="text1"/>
                      <w:sz w:val="21"/>
                      <w:szCs w:val="21"/>
                    </w:rPr>
                    <w:t xml:space="preserve">0.3795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23</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15m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224.13 </w:t>
                  </w:r>
                </w:p>
              </w:tc>
              <w:tc>
                <w:tcPr>
                  <w:tcW w:w="1929" w:type="dxa"/>
                  <w:vAlign w:val="center"/>
                </w:tcPr>
                <w:p>
                  <w:pPr>
                    <w:jc w:val="center"/>
                    <w:rPr>
                      <w:color w:val="000000" w:themeColor="text1"/>
                      <w:sz w:val="21"/>
                      <w:szCs w:val="21"/>
                    </w:rPr>
                  </w:pPr>
                  <w:r>
                    <w:rPr>
                      <w:color w:val="000000" w:themeColor="text1"/>
                      <w:sz w:val="21"/>
                      <w:szCs w:val="21"/>
                    </w:rPr>
                    <w:t xml:space="preserve">0.3213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24</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20m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188.98 </w:t>
                  </w:r>
                </w:p>
              </w:tc>
              <w:tc>
                <w:tcPr>
                  <w:tcW w:w="1929" w:type="dxa"/>
                  <w:vAlign w:val="center"/>
                </w:tcPr>
                <w:p>
                  <w:pPr>
                    <w:jc w:val="center"/>
                    <w:rPr>
                      <w:color w:val="000000" w:themeColor="text1"/>
                      <w:sz w:val="21"/>
                      <w:szCs w:val="21"/>
                    </w:rPr>
                  </w:pPr>
                  <w:r>
                    <w:rPr>
                      <w:color w:val="000000" w:themeColor="text1"/>
                      <w:sz w:val="21"/>
                      <w:szCs w:val="21"/>
                    </w:rPr>
                    <w:t xml:space="preserve">0.2630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25</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25m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156.05 </w:t>
                  </w:r>
                </w:p>
              </w:tc>
              <w:tc>
                <w:tcPr>
                  <w:tcW w:w="1929" w:type="dxa"/>
                  <w:vAlign w:val="center"/>
                </w:tcPr>
                <w:p>
                  <w:pPr>
                    <w:jc w:val="center"/>
                    <w:rPr>
                      <w:color w:val="000000" w:themeColor="text1"/>
                      <w:sz w:val="21"/>
                      <w:szCs w:val="21"/>
                    </w:rPr>
                  </w:pPr>
                  <w:r>
                    <w:rPr>
                      <w:color w:val="000000" w:themeColor="text1"/>
                      <w:sz w:val="21"/>
                      <w:szCs w:val="21"/>
                    </w:rPr>
                    <w:t xml:space="preserve">0.2463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26</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30m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124.16 </w:t>
                  </w:r>
                </w:p>
              </w:tc>
              <w:tc>
                <w:tcPr>
                  <w:tcW w:w="1929" w:type="dxa"/>
                  <w:vAlign w:val="center"/>
                </w:tcPr>
                <w:p>
                  <w:pPr>
                    <w:jc w:val="center"/>
                    <w:rPr>
                      <w:color w:val="000000" w:themeColor="text1"/>
                      <w:sz w:val="21"/>
                      <w:szCs w:val="21"/>
                    </w:rPr>
                  </w:pPr>
                  <w:r>
                    <w:rPr>
                      <w:color w:val="000000" w:themeColor="text1"/>
                      <w:sz w:val="21"/>
                      <w:szCs w:val="21"/>
                    </w:rPr>
                    <w:t xml:space="preserve">0.2003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27</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35m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100.59 </w:t>
                  </w:r>
                </w:p>
              </w:tc>
              <w:tc>
                <w:tcPr>
                  <w:tcW w:w="1929" w:type="dxa"/>
                  <w:vAlign w:val="center"/>
                </w:tcPr>
                <w:p>
                  <w:pPr>
                    <w:jc w:val="center"/>
                    <w:rPr>
                      <w:color w:val="000000" w:themeColor="text1"/>
                      <w:sz w:val="21"/>
                      <w:szCs w:val="21"/>
                    </w:rPr>
                  </w:pPr>
                  <w:r>
                    <w:rPr>
                      <w:color w:val="000000" w:themeColor="text1"/>
                      <w:sz w:val="21"/>
                      <w:szCs w:val="21"/>
                    </w:rPr>
                    <w:t xml:space="preserve">0.1616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28</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40m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80.69 </w:t>
                  </w:r>
                </w:p>
              </w:tc>
              <w:tc>
                <w:tcPr>
                  <w:tcW w:w="1929" w:type="dxa"/>
                  <w:vAlign w:val="center"/>
                </w:tcPr>
                <w:p>
                  <w:pPr>
                    <w:jc w:val="center"/>
                    <w:rPr>
                      <w:color w:val="000000" w:themeColor="text1"/>
                      <w:sz w:val="21"/>
                      <w:szCs w:val="21"/>
                    </w:rPr>
                  </w:pPr>
                  <w:r>
                    <w:rPr>
                      <w:color w:val="000000" w:themeColor="text1"/>
                      <w:sz w:val="21"/>
                      <w:szCs w:val="21"/>
                    </w:rPr>
                    <w:t xml:space="preserve">0.1417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29</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45m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63.59 </w:t>
                  </w:r>
                </w:p>
              </w:tc>
              <w:tc>
                <w:tcPr>
                  <w:tcW w:w="1929" w:type="dxa"/>
                  <w:vAlign w:val="center"/>
                </w:tcPr>
                <w:p>
                  <w:pPr>
                    <w:jc w:val="center"/>
                    <w:rPr>
                      <w:color w:val="000000" w:themeColor="text1"/>
                      <w:sz w:val="21"/>
                      <w:szCs w:val="21"/>
                    </w:rPr>
                  </w:pPr>
                  <w:r>
                    <w:rPr>
                      <w:color w:val="000000" w:themeColor="text1"/>
                      <w:sz w:val="21"/>
                      <w:szCs w:val="21"/>
                    </w:rPr>
                    <w:t xml:space="preserve">0.1256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240" w:lineRule="auto"/>
                    <w:rPr>
                      <w:rFonts w:ascii="Times New Roman" w:hAnsi="Times New Roman"/>
                      <w:color w:val="000000" w:themeColor="text1"/>
                    </w:rPr>
                  </w:pPr>
                  <w:r>
                    <w:rPr>
                      <w:rFonts w:hint="eastAsia" w:ascii="Times New Roman" w:hAnsi="Times New Roman"/>
                      <w:color w:val="000000" w:themeColor="text1"/>
                    </w:rPr>
                    <w:t>30</w:t>
                  </w:r>
                </w:p>
              </w:tc>
              <w:tc>
                <w:tcPr>
                  <w:tcW w:w="3613" w:type="dxa"/>
                  <w:vAlign w:val="center"/>
                </w:tcPr>
                <w:p>
                  <w:pPr>
                    <w:pStyle w:val="25"/>
                    <w:spacing w:line="240" w:lineRule="auto"/>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50m</w:t>
                  </w:r>
                  <w:r>
                    <w:rPr>
                      <w:rFonts w:ascii="Times New Roman"/>
                      <w:color w:val="000000" w:themeColor="text1"/>
                      <w:kern w:val="2"/>
                      <w:szCs w:val="21"/>
                    </w:rPr>
                    <w:t>处</w:t>
                  </w:r>
                </w:p>
              </w:tc>
              <w:tc>
                <w:tcPr>
                  <w:tcW w:w="1844" w:type="dxa"/>
                  <w:vAlign w:val="center"/>
                </w:tcPr>
                <w:p>
                  <w:pPr>
                    <w:jc w:val="center"/>
                    <w:rPr>
                      <w:color w:val="000000" w:themeColor="text1"/>
                      <w:sz w:val="21"/>
                      <w:szCs w:val="21"/>
                    </w:rPr>
                  </w:pPr>
                  <w:r>
                    <w:rPr>
                      <w:color w:val="000000" w:themeColor="text1"/>
                      <w:sz w:val="21"/>
                      <w:szCs w:val="21"/>
                    </w:rPr>
                    <w:t xml:space="preserve">52.09 </w:t>
                  </w:r>
                </w:p>
              </w:tc>
              <w:tc>
                <w:tcPr>
                  <w:tcW w:w="1929" w:type="dxa"/>
                  <w:vAlign w:val="center"/>
                </w:tcPr>
                <w:p>
                  <w:pPr>
                    <w:jc w:val="center"/>
                    <w:rPr>
                      <w:color w:val="000000" w:themeColor="text1"/>
                      <w:sz w:val="21"/>
                      <w:szCs w:val="21"/>
                    </w:rPr>
                  </w:pPr>
                  <w:r>
                    <w:rPr>
                      <w:color w:val="000000" w:themeColor="text1"/>
                      <w:sz w:val="21"/>
                      <w:szCs w:val="21"/>
                    </w:rPr>
                    <w:t xml:space="preserve">0.1166 </w:t>
                  </w:r>
                </w:p>
              </w:tc>
            </w:tr>
          </w:tbl>
          <w:p>
            <w:pPr>
              <w:autoSpaceDE w:val="0"/>
              <w:autoSpaceDN w:val="0"/>
              <w:adjustRightInd w:val="0"/>
              <w:spacing w:line="520" w:lineRule="exact"/>
              <w:ind w:firstLine="590" w:firstLineChars="250"/>
              <w:rPr>
                <w:rFonts w:eastAsia="宋体"/>
                <w:color w:val="000000" w:themeColor="text1"/>
                <w:spacing w:val="-2"/>
                <w:kern w:val="16"/>
                <w:sz w:val="24"/>
              </w:rPr>
            </w:pPr>
            <w:r>
              <w:rPr>
                <w:rFonts w:hint="eastAsia" w:eastAsia="宋体"/>
                <w:color w:val="000000" w:themeColor="text1"/>
                <w:spacing w:val="-2"/>
                <w:kern w:val="16"/>
                <w:sz w:val="24"/>
              </w:rPr>
              <w:t>（</w:t>
            </w:r>
            <w:r>
              <w:rPr>
                <w:rFonts w:eastAsia="宋体"/>
                <w:color w:val="000000" w:themeColor="text1"/>
                <w:spacing w:val="-2"/>
                <w:kern w:val="16"/>
                <w:sz w:val="24"/>
              </w:rPr>
              <w:t>1）工频电场</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w:instrText>
            </w:r>
            <w:r>
              <w:rPr>
                <w:rFonts w:hint="eastAsia" w:eastAsia="宋体"/>
                <w:color w:val="000000" w:themeColor="text1"/>
                <w:spacing w:val="-2"/>
                <w:kern w:val="16"/>
                <w:sz w:val="24"/>
              </w:rPr>
              <w:instrText xml:space="preserve">= 1 \* GB3</w:instrText>
            </w:r>
            <w:r>
              <w:rPr>
                <w:rFonts w:eastAsia="宋体"/>
                <w:color w:val="000000" w:themeColor="text1"/>
                <w:spacing w:val="-2"/>
                <w:kern w:val="16"/>
                <w:sz w:val="24"/>
              </w:rPr>
              <w:instrText xml:space="preserve"> </w:instrText>
            </w:r>
            <w:r>
              <w:rPr>
                <w:rFonts w:eastAsia="宋体"/>
                <w:color w:val="000000" w:themeColor="text1"/>
                <w:spacing w:val="-2"/>
                <w:kern w:val="16"/>
                <w:sz w:val="24"/>
              </w:rPr>
              <w:fldChar w:fldCharType="separate"/>
            </w:r>
            <w:r>
              <w:rPr>
                <w:rFonts w:hint="eastAsia" w:eastAsia="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w:t>
            </w:r>
            <w:r>
              <w:rPr>
                <w:rFonts w:hint="eastAsia" w:eastAsia="宋体"/>
                <w:color w:val="000000" w:themeColor="text1"/>
                <w:spacing w:val="-2"/>
                <w:kern w:val="16"/>
                <w:sz w:val="24"/>
              </w:rPr>
              <w:t>由</w:t>
            </w:r>
            <w:r>
              <w:rPr>
                <w:rFonts w:eastAsia="宋体"/>
                <w:color w:val="000000" w:themeColor="text1"/>
                <w:spacing w:val="-2"/>
                <w:kern w:val="16"/>
                <w:sz w:val="24"/>
              </w:rPr>
              <w:t>表4-</w:t>
            </w:r>
            <w:r>
              <w:rPr>
                <w:rFonts w:hint="eastAsia" w:eastAsia="宋体"/>
                <w:color w:val="000000" w:themeColor="text1"/>
                <w:spacing w:val="-2"/>
                <w:kern w:val="16"/>
                <w:sz w:val="24"/>
              </w:rPr>
              <w:t>5可知</w:t>
            </w:r>
            <w:r>
              <w:rPr>
                <w:rFonts w:eastAsia="宋体"/>
                <w:color w:val="000000" w:themeColor="text1"/>
                <w:spacing w:val="-2"/>
                <w:kern w:val="16"/>
                <w:sz w:val="24"/>
              </w:rPr>
              <w:t>，110kV升压站站址处工频电场范围为</w:t>
            </w:r>
            <w:r>
              <w:rPr>
                <w:rFonts w:hint="eastAsia" w:eastAsia="宋体"/>
                <w:color w:val="000000" w:themeColor="text1"/>
                <w:spacing w:val="-2"/>
                <w:kern w:val="16"/>
                <w:sz w:val="24"/>
              </w:rPr>
              <w:t>0.65</w:t>
            </w:r>
            <w:r>
              <w:rPr>
                <w:rFonts w:eastAsia="宋体"/>
                <w:color w:val="000000" w:themeColor="text1"/>
                <w:spacing w:val="-2"/>
                <w:kern w:val="16"/>
                <w:sz w:val="24"/>
              </w:rPr>
              <w:t>～</w:t>
            </w:r>
            <w:r>
              <w:rPr>
                <w:rFonts w:hint="eastAsia" w:eastAsia="宋体"/>
                <w:color w:val="000000" w:themeColor="text1"/>
                <w:spacing w:val="-2"/>
                <w:kern w:val="16"/>
                <w:sz w:val="24"/>
              </w:rPr>
              <w:t>31.72</w:t>
            </w:r>
            <w:r>
              <w:rPr>
                <w:rFonts w:eastAsia="宋体"/>
                <w:color w:val="000000" w:themeColor="text1"/>
                <w:spacing w:val="-2"/>
                <w:kern w:val="16"/>
                <w:sz w:val="24"/>
              </w:rPr>
              <w:t>V/m。最大值</w:t>
            </w:r>
            <w:r>
              <w:rPr>
                <w:rFonts w:hint="eastAsia" w:eastAsia="宋体"/>
                <w:color w:val="000000" w:themeColor="text1"/>
                <w:spacing w:val="-2"/>
                <w:kern w:val="16"/>
                <w:sz w:val="24"/>
              </w:rPr>
              <w:t>31.72</w:t>
            </w:r>
            <w:r>
              <w:rPr>
                <w:rFonts w:eastAsia="宋体"/>
                <w:color w:val="000000" w:themeColor="text1"/>
                <w:spacing w:val="-2"/>
                <w:kern w:val="16"/>
                <w:sz w:val="24"/>
              </w:rPr>
              <w:t>V/m出现在升压站</w:t>
            </w:r>
            <w:r>
              <w:rPr>
                <w:rFonts w:hint="eastAsia" w:eastAsia="宋体"/>
                <w:color w:val="000000" w:themeColor="text1"/>
                <w:spacing w:val="-2"/>
                <w:kern w:val="16"/>
                <w:sz w:val="24"/>
              </w:rPr>
              <w:t>东</w:t>
            </w:r>
            <w:r>
              <w:rPr>
                <w:rFonts w:eastAsia="宋体"/>
                <w:color w:val="000000" w:themeColor="text1"/>
                <w:spacing w:val="-2"/>
                <w:kern w:val="16"/>
                <w:sz w:val="24"/>
              </w:rPr>
              <w:t>侧，</w:t>
            </w:r>
            <w:r>
              <w:rPr>
                <w:rFonts w:hint="eastAsia" w:eastAsia="宋体"/>
                <w:color w:val="000000" w:themeColor="text1"/>
                <w:spacing w:val="-2"/>
                <w:kern w:val="16"/>
                <w:sz w:val="24"/>
              </w:rPr>
              <w:t>站址</w:t>
            </w:r>
            <w:r>
              <w:rPr>
                <w:rFonts w:eastAsia="宋体"/>
                <w:color w:val="000000" w:themeColor="text1"/>
                <w:spacing w:val="-2"/>
                <w:kern w:val="16"/>
                <w:sz w:val="24"/>
              </w:rPr>
              <w:t>四周工频电场现状值</w:t>
            </w:r>
            <w:r>
              <w:rPr>
                <w:rFonts w:hint="eastAsia" w:eastAsia="宋体"/>
                <w:color w:val="000000" w:themeColor="text1"/>
                <w:spacing w:val="-2"/>
                <w:kern w:val="16"/>
                <w:sz w:val="24"/>
              </w:rPr>
              <w:t>满足4k</w:t>
            </w:r>
            <w:r>
              <w:rPr>
                <w:rFonts w:eastAsia="宋体"/>
                <w:color w:val="000000" w:themeColor="text1"/>
                <w:spacing w:val="-2"/>
                <w:kern w:val="16"/>
                <w:sz w:val="24"/>
              </w:rPr>
              <w:t>V/m</w:t>
            </w:r>
            <w:r>
              <w:rPr>
                <w:rFonts w:hint="eastAsia" w:eastAsia="宋体"/>
                <w:color w:val="000000" w:themeColor="text1"/>
                <w:spacing w:val="-2"/>
                <w:kern w:val="16"/>
                <w:sz w:val="24"/>
              </w:rPr>
              <w:t>的</w:t>
            </w:r>
            <w:r>
              <w:rPr>
                <w:rFonts w:eastAsia="宋体"/>
                <w:color w:val="000000" w:themeColor="text1"/>
                <w:spacing w:val="-2"/>
                <w:kern w:val="16"/>
                <w:sz w:val="24"/>
              </w:rPr>
              <w:t>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w:instrText>
            </w:r>
            <w:r>
              <w:rPr>
                <w:rFonts w:hint="eastAsia" w:eastAsia="宋体"/>
                <w:color w:val="000000" w:themeColor="text1"/>
                <w:spacing w:val="-2"/>
                <w:kern w:val="16"/>
                <w:sz w:val="24"/>
              </w:rPr>
              <w:instrText xml:space="preserve">= 2 \* GB3</w:instrText>
            </w:r>
            <w:r>
              <w:rPr>
                <w:rFonts w:eastAsia="宋体"/>
                <w:color w:val="000000" w:themeColor="text1"/>
                <w:spacing w:val="-2"/>
                <w:kern w:val="16"/>
                <w:sz w:val="24"/>
              </w:rPr>
              <w:instrText xml:space="preserve"> </w:instrText>
            </w:r>
            <w:r>
              <w:rPr>
                <w:rFonts w:eastAsia="宋体"/>
                <w:color w:val="000000" w:themeColor="text1"/>
                <w:spacing w:val="-2"/>
                <w:kern w:val="16"/>
                <w:sz w:val="24"/>
              </w:rPr>
              <w:fldChar w:fldCharType="separate"/>
            </w:r>
            <w:r>
              <w:rPr>
                <w:rFonts w:hint="eastAsia" w:eastAsia="宋体"/>
                <w:color w:val="000000" w:themeColor="text1"/>
                <w:spacing w:val="-2"/>
                <w:kern w:val="16"/>
                <w:sz w:val="24"/>
              </w:rPr>
              <w:t>②</w:t>
            </w:r>
            <w:r>
              <w:rPr>
                <w:rFonts w:eastAsia="宋体"/>
                <w:color w:val="000000" w:themeColor="text1"/>
                <w:spacing w:val="-2"/>
                <w:kern w:val="16"/>
                <w:sz w:val="24"/>
              </w:rPr>
              <w:fldChar w:fldCharType="end"/>
            </w:r>
            <w:r>
              <w:rPr>
                <w:rFonts w:hint="eastAsia" w:eastAsia="宋体"/>
                <w:color w:val="000000" w:themeColor="text1"/>
                <w:spacing w:val="-2"/>
                <w:kern w:val="16"/>
                <w:sz w:val="24"/>
              </w:rPr>
              <w:t>敏感点</w:t>
            </w:r>
            <w:r>
              <w:rPr>
                <w:rFonts w:eastAsia="宋体"/>
                <w:color w:val="000000" w:themeColor="text1"/>
                <w:spacing w:val="-2"/>
                <w:kern w:val="16"/>
                <w:sz w:val="24"/>
              </w:rPr>
              <w:t>：</w:t>
            </w:r>
            <w:r>
              <w:rPr>
                <w:rFonts w:hint="eastAsia" w:eastAsia="宋体"/>
                <w:color w:val="000000" w:themeColor="text1"/>
                <w:spacing w:val="-2"/>
                <w:kern w:val="16"/>
                <w:sz w:val="24"/>
              </w:rPr>
              <w:t>由</w:t>
            </w:r>
            <w:r>
              <w:rPr>
                <w:rFonts w:eastAsia="宋体"/>
                <w:color w:val="000000" w:themeColor="text1"/>
                <w:spacing w:val="-2"/>
                <w:kern w:val="16"/>
                <w:sz w:val="24"/>
              </w:rPr>
              <w:t>表4-</w:t>
            </w:r>
            <w:r>
              <w:rPr>
                <w:rFonts w:hint="eastAsia" w:eastAsia="宋体"/>
                <w:color w:val="000000" w:themeColor="text1"/>
                <w:spacing w:val="-2"/>
                <w:kern w:val="16"/>
                <w:sz w:val="24"/>
              </w:rPr>
              <w:t>5可知</w:t>
            </w:r>
            <w:r>
              <w:rPr>
                <w:rFonts w:eastAsia="宋体"/>
                <w:color w:val="000000" w:themeColor="text1"/>
                <w:spacing w:val="-2"/>
                <w:kern w:val="16"/>
                <w:sz w:val="24"/>
              </w:rPr>
              <w:t>，</w:t>
            </w:r>
            <w:r>
              <w:rPr>
                <w:rFonts w:hint="eastAsia" w:eastAsia="宋体"/>
                <w:color w:val="000000" w:themeColor="text1"/>
                <w:spacing w:val="-2"/>
                <w:kern w:val="16"/>
                <w:sz w:val="24"/>
              </w:rPr>
              <w:t>本工程敏感点</w:t>
            </w:r>
            <w:r>
              <w:rPr>
                <w:rFonts w:eastAsia="宋体"/>
                <w:color w:val="000000" w:themeColor="text1"/>
                <w:spacing w:val="-2"/>
                <w:kern w:val="16"/>
                <w:sz w:val="24"/>
              </w:rPr>
              <w:t>处工频电场范围为</w:t>
            </w:r>
            <w:r>
              <w:rPr>
                <w:rFonts w:hint="eastAsia" w:eastAsia="宋体"/>
                <w:color w:val="000000" w:themeColor="text1"/>
                <w:spacing w:val="-2"/>
                <w:kern w:val="16"/>
                <w:sz w:val="24"/>
              </w:rPr>
              <w:t>75.57</w:t>
            </w:r>
            <w:r>
              <w:rPr>
                <w:rFonts w:eastAsia="宋体"/>
                <w:color w:val="000000" w:themeColor="text1"/>
                <w:spacing w:val="-2"/>
                <w:kern w:val="16"/>
                <w:sz w:val="24"/>
              </w:rPr>
              <w:t>～</w:t>
            </w:r>
            <w:r>
              <w:rPr>
                <w:rFonts w:hint="eastAsia" w:eastAsia="宋体"/>
                <w:color w:val="000000" w:themeColor="text1"/>
                <w:spacing w:val="-2"/>
                <w:kern w:val="16"/>
                <w:sz w:val="24"/>
              </w:rPr>
              <w:t>0.19</w:t>
            </w:r>
            <w:r>
              <w:rPr>
                <w:rFonts w:eastAsia="宋体"/>
                <w:color w:val="000000" w:themeColor="text1"/>
                <w:spacing w:val="-2"/>
                <w:kern w:val="16"/>
                <w:sz w:val="24"/>
              </w:rPr>
              <w:t>V/m</w:t>
            </w:r>
            <w:r>
              <w:rPr>
                <w:rFonts w:hint="eastAsia" w:eastAsia="宋体"/>
                <w:color w:val="000000" w:themeColor="text1"/>
                <w:spacing w:val="-2"/>
                <w:kern w:val="16"/>
                <w:sz w:val="24"/>
              </w:rPr>
              <w:t>，</w:t>
            </w:r>
            <w:r>
              <w:rPr>
                <w:rFonts w:eastAsia="宋体"/>
                <w:color w:val="000000" w:themeColor="text1"/>
                <w:spacing w:val="-2"/>
                <w:kern w:val="16"/>
                <w:sz w:val="24"/>
              </w:rPr>
              <w:t>敏感点</w:t>
            </w:r>
            <w:r>
              <w:rPr>
                <w:rFonts w:hint="eastAsia" w:eastAsia="宋体"/>
                <w:color w:val="000000" w:themeColor="text1"/>
                <w:spacing w:val="-2"/>
                <w:kern w:val="16"/>
                <w:sz w:val="24"/>
              </w:rPr>
              <w:t>处</w:t>
            </w:r>
            <w:r>
              <w:rPr>
                <w:rFonts w:eastAsia="宋体"/>
                <w:color w:val="000000" w:themeColor="text1"/>
                <w:spacing w:val="-2"/>
                <w:kern w:val="16"/>
                <w:sz w:val="24"/>
              </w:rPr>
              <w:t>的工频电场现状值</w:t>
            </w:r>
            <w:r>
              <w:rPr>
                <w:rFonts w:hint="eastAsia" w:eastAsia="宋体"/>
                <w:color w:val="000000" w:themeColor="text1"/>
                <w:spacing w:val="-2"/>
                <w:kern w:val="16"/>
                <w:sz w:val="24"/>
              </w:rPr>
              <w:t>满足4k</w:t>
            </w:r>
            <w:r>
              <w:rPr>
                <w:rFonts w:eastAsia="宋体"/>
                <w:color w:val="000000" w:themeColor="text1"/>
                <w:spacing w:val="-2"/>
                <w:kern w:val="16"/>
                <w:sz w:val="24"/>
              </w:rPr>
              <w:t>V/m</w:t>
            </w:r>
            <w:r>
              <w:rPr>
                <w:rFonts w:hint="eastAsia" w:eastAsia="宋体"/>
                <w:color w:val="000000" w:themeColor="text1"/>
                <w:spacing w:val="-2"/>
                <w:kern w:val="16"/>
                <w:sz w:val="24"/>
              </w:rPr>
              <w:t>的</w:t>
            </w:r>
            <w:r>
              <w:rPr>
                <w:rFonts w:eastAsia="宋体"/>
                <w:color w:val="000000" w:themeColor="text1"/>
                <w:spacing w:val="-2"/>
                <w:kern w:val="16"/>
                <w:sz w:val="24"/>
              </w:rPr>
              <w:t>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hint="eastAsia" w:eastAsia="宋体"/>
                <w:color w:val="000000" w:themeColor="text1"/>
                <w:spacing w:val="-2"/>
                <w:kern w:val="16"/>
                <w:sz w:val="24"/>
              </w:rPr>
              <w:t>（</w:t>
            </w:r>
            <w:r>
              <w:rPr>
                <w:rFonts w:eastAsia="宋体"/>
                <w:color w:val="000000" w:themeColor="text1"/>
                <w:spacing w:val="-2"/>
                <w:kern w:val="16"/>
                <w:sz w:val="24"/>
              </w:rPr>
              <w:t>2）工频磁感应强度</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w:instrText>
            </w:r>
            <w:r>
              <w:rPr>
                <w:rFonts w:hint="eastAsia" w:eastAsia="宋体"/>
                <w:color w:val="000000" w:themeColor="text1"/>
                <w:spacing w:val="-2"/>
                <w:kern w:val="16"/>
                <w:sz w:val="24"/>
              </w:rPr>
              <w:instrText xml:space="preserve">= 1 \* GB3</w:instrText>
            </w:r>
            <w:r>
              <w:rPr>
                <w:rFonts w:eastAsia="宋体"/>
                <w:color w:val="000000" w:themeColor="text1"/>
                <w:spacing w:val="-2"/>
                <w:kern w:val="16"/>
                <w:sz w:val="24"/>
              </w:rPr>
              <w:instrText xml:space="preserve"> </w:instrText>
            </w:r>
            <w:r>
              <w:rPr>
                <w:rFonts w:eastAsia="宋体"/>
                <w:color w:val="000000" w:themeColor="text1"/>
                <w:spacing w:val="-2"/>
                <w:kern w:val="16"/>
                <w:sz w:val="24"/>
              </w:rPr>
              <w:fldChar w:fldCharType="separate"/>
            </w:r>
            <w:r>
              <w:rPr>
                <w:rFonts w:hint="eastAsia" w:eastAsia="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w:t>
            </w:r>
            <w:r>
              <w:rPr>
                <w:rFonts w:hint="eastAsia" w:eastAsia="宋体"/>
                <w:color w:val="000000" w:themeColor="text1"/>
                <w:spacing w:val="-2"/>
                <w:kern w:val="16"/>
                <w:sz w:val="24"/>
              </w:rPr>
              <w:t>由</w:t>
            </w:r>
            <w:r>
              <w:rPr>
                <w:rFonts w:eastAsia="宋体"/>
                <w:color w:val="000000" w:themeColor="text1"/>
                <w:spacing w:val="-2"/>
                <w:kern w:val="16"/>
                <w:sz w:val="24"/>
              </w:rPr>
              <w:t>表4-</w:t>
            </w:r>
            <w:r>
              <w:rPr>
                <w:rFonts w:hint="eastAsia" w:eastAsia="宋体"/>
                <w:color w:val="000000" w:themeColor="text1"/>
                <w:spacing w:val="-2"/>
                <w:kern w:val="16"/>
                <w:sz w:val="24"/>
              </w:rPr>
              <w:t>5可知</w:t>
            </w:r>
            <w:r>
              <w:rPr>
                <w:rFonts w:eastAsia="宋体"/>
                <w:color w:val="000000" w:themeColor="text1"/>
                <w:spacing w:val="-2"/>
                <w:kern w:val="16"/>
                <w:sz w:val="24"/>
              </w:rPr>
              <w:t>，110kV升压站站址处工频磁感应强度范围为0.0</w:t>
            </w:r>
            <w:r>
              <w:rPr>
                <w:rFonts w:hint="eastAsia" w:eastAsia="宋体"/>
                <w:color w:val="000000" w:themeColor="text1"/>
                <w:spacing w:val="-2"/>
                <w:kern w:val="16"/>
                <w:sz w:val="24"/>
              </w:rPr>
              <w:t>071</w:t>
            </w:r>
            <w:r>
              <w:rPr>
                <w:rFonts w:eastAsia="宋体"/>
                <w:color w:val="000000" w:themeColor="text1"/>
                <w:spacing w:val="-2"/>
                <w:kern w:val="16"/>
                <w:sz w:val="24"/>
              </w:rPr>
              <w:t>～0.0</w:t>
            </w:r>
            <w:r>
              <w:rPr>
                <w:rFonts w:hint="eastAsia" w:eastAsia="宋体"/>
                <w:color w:val="000000" w:themeColor="text1"/>
                <w:spacing w:val="-2"/>
                <w:kern w:val="16"/>
                <w:sz w:val="24"/>
              </w:rPr>
              <w:t>023</w:t>
            </w:r>
            <w:r>
              <w:rPr>
                <w:rFonts w:eastAsia="宋体"/>
                <w:color w:val="000000" w:themeColor="text1"/>
                <w:spacing w:val="-2"/>
                <w:kern w:val="16"/>
                <w:sz w:val="24"/>
              </w:rPr>
              <w:t>μT。最大值0.0164μT出现在升压站</w:t>
            </w:r>
            <w:r>
              <w:rPr>
                <w:rFonts w:hint="eastAsia" w:eastAsia="宋体"/>
                <w:color w:val="000000" w:themeColor="text1"/>
                <w:spacing w:val="-2"/>
                <w:kern w:val="16"/>
                <w:sz w:val="24"/>
              </w:rPr>
              <w:t>北</w:t>
            </w:r>
            <w:r>
              <w:rPr>
                <w:rFonts w:eastAsia="宋体"/>
                <w:color w:val="000000" w:themeColor="text1"/>
                <w:spacing w:val="-2"/>
                <w:kern w:val="16"/>
                <w:sz w:val="24"/>
              </w:rPr>
              <w:t>侧，</w:t>
            </w:r>
            <w:r>
              <w:rPr>
                <w:rFonts w:hint="eastAsia" w:eastAsia="宋体"/>
                <w:color w:val="000000" w:themeColor="text1"/>
                <w:spacing w:val="-2"/>
                <w:kern w:val="16"/>
                <w:sz w:val="24"/>
              </w:rPr>
              <w:t>站址</w:t>
            </w:r>
            <w:r>
              <w:rPr>
                <w:rFonts w:eastAsia="宋体"/>
                <w:color w:val="000000" w:themeColor="text1"/>
                <w:spacing w:val="-2"/>
                <w:kern w:val="16"/>
                <w:sz w:val="24"/>
              </w:rPr>
              <w:t>四周工频</w:t>
            </w:r>
            <w:r>
              <w:rPr>
                <w:rFonts w:hint="eastAsia" w:eastAsia="宋体"/>
                <w:color w:val="000000" w:themeColor="text1"/>
                <w:spacing w:val="-2"/>
                <w:kern w:val="16"/>
                <w:sz w:val="24"/>
              </w:rPr>
              <w:t>磁感应强度</w:t>
            </w:r>
            <w:r>
              <w:rPr>
                <w:rFonts w:eastAsia="宋体"/>
                <w:color w:val="000000" w:themeColor="text1"/>
                <w:spacing w:val="-2"/>
                <w:kern w:val="16"/>
                <w:sz w:val="24"/>
              </w:rPr>
              <w:t>现状值</w:t>
            </w:r>
            <w:r>
              <w:rPr>
                <w:rFonts w:hint="eastAsia" w:eastAsia="宋体"/>
                <w:color w:val="000000" w:themeColor="text1"/>
                <w:spacing w:val="-2"/>
                <w:kern w:val="16"/>
                <w:sz w:val="24"/>
              </w:rPr>
              <w:t>满足</w:t>
            </w:r>
            <w:r>
              <w:rPr>
                <w:rFonts w:eastAsia="宋体"/>
                <w:color w:val="000000" w:themeColor="text1"/>
                <w:spacing w:val="-2"/>
                <w:kern w:val="16"/>
                <w:sz w:val="24"/>
              </w:rPr>
              <w:t>0.1mT</w:t>
            </w:r>
            <w:r>
              <w:rPr>
                <w:rFonts w:hint="eastAsia" w:eastAsia="宋体"/>
                <w:color w:val="000000" w:themeColor="text1"/>
                <w:spacing w:val="-2"/>
                <w:kern w:val="16"/>
                <w:sz w:val="24"/>
              </w:rPr>
              <w:t>的</w:t>
            </w:r>
            <w:r>
              <w:rPr>
                <w:rFonts w:eastAsia="宋体"/>
                <w:color w:val="000000" w:themeColor="text1"/>
                <w:spacing w:val="-2"/>
                <w:kern w:val="16"/>
                <w:sz w:val="24"/>
              </w:rPr>
              <w:t>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w:instrText>
            </w:r>
            <w:r>
              <w:rPr>
                <w:rFonts w:hint="eastAsia" w:eastAsia="宋体"/>
                <w:color w:val="000000" w:themeColor="text1"/>
                <w:spacing w:val="-2"/>
                <w:kern w:val="16"/>
                <w:sz w:val="24"/>
              </w:rPr>
              <w:instrText xml:space="preserve">= 2 \* GB3</w:instrText>
            </w:r>
            <w:r>
              <w:rPr>
                <w:rFonts w:eastAsia="宋体"/>
                <w:color w:val="000000" w:themeColor="text1"/>
                <w:spacing w:val="-2"/>
                <w:kern w:val="16"/>
                <w:sz w:val="24"/>
              </w:rPr>
              <w:instrText xml:space="preserve"> </w:instrText>
            </w:r>
            <w:r>
              <w:rPr>
                <w:rFonts w:eastAsia="宋体"/>
                <w:color w:val="000000" w:themeColor="text1"/>
                <w:spacing w:val="-2"/>
                <w:kern w:val="16"/>
                <w:sz w:val="24"/>
              </w:rPr>
              <w:fldChar w:fldCharType="separate"/>
            </w:r>
            <w:r>
              <w:rPr>
                <w:rFonts w:hint="eastAsia" w:eastAsia="宋体"/>
                <w:color w:val="000000" w:themeColor="text1"/>
                <w:spacing w:val="-2"/>
                <w:kern w:val="16"/>
                <w:sz w:val="24"/>
              </w:rPr>
              <w:t>②</w:t>
            </w:r>
            <w:r>
              <w:rPr>
                <w:rFonts w:eastAsia="宋体"/>
                <w:color w:val="000000" w:themeColor="text1"/>
                <w:spacing w:val="-2"/>
                <w:kern w:val="16"/>
                <w:sz w:val="24"/>
              </w:rPr>
              <w:fldChar w:fldCharType="end"/>
            </w:r>
            <w:r>
              <w:rPr>
                <w:rFonts w:hint="eastAsia" w:eastAsia="宋体"/>
                <w:color w:val="000000" w:themeColor="text1"/>
                <w:spacing w:val="-2"/>
                <w:kern w:val="16"/>
                <w:sz w:val="24"/>
              </w:rPr>
              <w:t>敏感点</w:t>
            </w:r>
            <w:r>
              <w:rPr>
                <w:rFonts w:eastAsia="宋体"/>
                <w:color w:val="000000" w:themeColor="text1"/>
                <w:spacing w:val="-2"/>
                <w:kern w:val="16"/>
                <w:sz w:val="24"/>
              </w:rPr>
              <w:t>：表4-</w:t>
            </w:r>
            <w:r>
              <w:rPr>
                <w:rFonts w:hint="eastAsia" w:eastAsia="宋体"/>
                <w:color w:val="000000" w:themeColor="text1"/>
                <w:spacing w:val="-2"/>
                <w:kern w:val="16"/>
                <w:sz w:val="24"/>
              </w:rPr>
              <w:t>5可知</w:t>
            </w:r>
            <w:r>
              <w:rPr>
                <w:rFonts w:eastAsia="宋体"/>
                <w:color w:val="000000" w:themeColor="text1"/>
                <w:spacing w:val="-2"/>
                <w:kern w:val="16"/>
                <w:sz w:val="24"/>
              </w:rPr>
              <w:t>，</w:t>
            </w:r>
            <w:r>
              <w:rPr>
                <w:rFonts w:hint="eastAsia" w:eastAsia="宋体"/>
                <w:color w:val="000000" w:themeColor="text1"/>
                <w:spacing w:val="-2"/>
                <w:kern w:val="16"/>
                <w:sz w:val="24"/>
              </w:rPr>
              <w:t>本工程敏感点</w:t>
            </w:r>
            <w:r>
              <w:rPr>
                <w:rFonts w:eastAsia="宋体"/>
                <w:color w:val="000000" w:themeColor="text1"/>
                <w:spacing w:val="-2"/>
                <w:kern w:val="16"/>
                <w:sz w:val="24"/>
              </w:rPr>
              <w:t>处工频磁感应强度范围为0.</w:t>
            </w:r>
            <w:r>
              <w:rPr>
                <w:rFonts w:hint="eastAsia" w:eastAsia="宋体"/>
                <w:color w:val="000000" w:themeColor="text1"/>
                <w:spacing w:val="-2"/>
                <w:kern w:val="16"/>
                <w:sz w:val="24"/>
              </w:rPr>
              <w:t>4413</w:t>
            </w:r>
            <w:r>
              <w:rPr>
                <w:rFonts w:eastAsia="宋体"/>
                <w:color w:val="000000" w:themeColor="text1"/>
                <w:spacing w:val="-2"/>
                <w:kern w:val="16"/>
                <w:sz w:val="24"/>
              </w:rPr>
              <w:t>～</w:t>
            </w:r>
            <w:r>
              <w:rPr>
                <w:rFonts w:hint="eastAsia" w:eastAsia="宋体"/>
                <w:color w:val="000000" w:themeColor="text1"/>
                <w:spacing w:val="-2"/>
                <w:kern w:val="16"/>
                <w:sz w:val="24"/>
              </w:rPr>
              <w:t>0.0873</w:t>
            </w:r>
            <w:r>
              <w:rPr>
                <w:rFonts w:eastAsia="宋体"/>
                <w:color w:val="000000" w:themeColor="text1"/>
                <w:spacing w:val="-2"/>
                <w:kern w:val="16"/>
                <w:sz w:val="24"/>
              </w:rPr>
              <w:t>μT。敏感点</w:t>
            </w:r>
            <w:r>
              <w:rPr>
                <w:rFonts w:hint="eastAsia" w:eastAsia="宋体"/>
                <w:color w:val="000000" w:themeColor="text1"/>
                <w:spacing w:val="-2"/>
                <w:kern w:val="16"/>
                <w:sz w:val="24"/>
              </w:rPr>
              <w:t>处</w:t>
            </w:r>
            <w:r>
              <w:rPr>
                <w:rFonts w:eastAsia="宋体"/>
                <w:color w:val="000000" w:themeColor="text1"/>
                <w:spacing w:val="-2"/>
                <w:kern w:val="16"/>
                <w:sz w:val="24"/>
              </w:rPr>
              <w:t>的工频磁感应强度现状值</w:t>
            </w:r>
            <w:r>
              <w:rPr>
                <w:rFonts w:hint="eastAsia" w:eastAsia="宋体"/>
                <w:color w:val="000000" w:themeColor="text1"/>
                <w:spacing w:val="-2"/>
                <w:kern w:val="16"/>
                <w:sz w:val="24"/>
              </w:rPr>
              <w:t>满足</w:t>
            </w:r>
            <w:r>
              <w:rPr>
                <w:rFonts w:eastAsia="宋体"/>
                <w:color w:val="000000" w:themeColor="text1"/>
                <w:spacing w:val="-2"/>
                <w:kern w:val="16"/>
                <w:sz w:val="24"/>
              </w:rPr>
              <w:t>0.1mT</w:t>
            </w:r>
            <w:r>
              <w:rPr>
                <w:rFonts w:hint="eastAsia" w:eastAsia="宋体"/>
                <w:color w:val="000000" w:themeColor="text1"/>
                <w:spacing w:val="-2"/>
                <w:kern w:val="16"/>
                <w:sz w:val="24"/>
              </w:rPr>
              <w:t>的</w:t>
            </w:r>
            <w:r>
              <w:rPr>
                <w:rFonts w:eastAsia="宋体"/>
                <w:color w:val="000000" w:themeColor="text1"/>
                <w:spacing w:val="-2"/>
                <w:kern w:val="16"/>
                <w:sz w:val="24"/>
              </w:rPr>
              <w:t>标准限值要求。</w:t>
            </w:r>
          </w:p>
          <w:p>
            <w:pPr>
              <w:adjustRightInd w:val="0"/>
              <w:snapToGrid w:val="0"/>
              <w:spacing w:line="520" w:lineRule="exact"/>
              <w:jc w:val="left"/>
              <w:textAlignment w:val="center"/>
              <w:rPr>
                <w:rFonts w:eastAsia="宋体"/>
                <w:b/>
                <w:bCs/>
                <w:sz w:val="24"/>
              </w:rPr>
            </w:pPr>
            <w:r>
              <w:rPr>
                <w:rFonts w:eastAsia="宋体"/>
                <w:b/>
                <w:bCs/>
                <w:sz w:val="24"/>
              </w:rPr>
              <w:t>4.3声环境质量现状</w:t>
            </w:r>
          </w:p>
          <w:p>
            <w:pPr>
              <w:autoSpaceDE w:val="0"/>
              <w:autoSpaceDN w:val="0"/>
              <w:adjustRightInd w:val="0"/>
              <w:spacing w:line="520" w:lineRule="exact"/>
              <w:jc w:val="left"/>
              <w:rPr>
                <w:rFonts w:eastAsia="宋体"/>
                <w:b/>
                <w:spacing w:val="-2"/>
                <w:kern w:val="16"/>
                <w:sz w:val="24"/>
              </w:rPr>
            </w:pPr>
            <w:r>
              <w:rPr>
                <w:b/>
                <w:sz w:val="24"/>
              </w:rPr>
              <w:t>4.3</w:t>
            </w:r>
            <w:r>
              <w:rPr>
                <w:rFonts w:eastAsia="宋体"/>
                <w:b/>
                <w:spacing w:val="-2"/>
                <w:kern w:val="16"/>
                <w:sz w:val="24"/>
              </w:rPr>
              <w:t>.1监测布点</w:t>
            </w:r>
          </w:p>
          <w:p>
            <w:pPr>
              <w:autoSpaceDE w:val="0"/>
              <w:autoSpaceDN w:val="0"/>
              <w:adjustRightInd w:val="0"/>
              <w:spacing w:line="520" w:lineRule="exact"/>
              <w:ind w:firstLine="590" w:firstLineChars="250"/>
              <w:jc w:val="left"/>
              <w:rPr>
                <w:rFonts w:eastAsia="宋体"/>
                <w:spacing w:val="-2"/>
                <w:kern w:val="16"/>
                <w:sz w:val="24"/>
              </w:rPr>
            </w:pPr>
            <w:r>
              <w:rPr>
                <w:rFonts w:hint="eastAsia" w:eastAsia="宋体"/>
                <w:spacing w:val="-2"/>
                <w:kern w:val="16"/>
                <w:sz w:val="24"/>
              </w:rPr>
              <w:t>噪声</w:t>
            </w:r>
            <w:r>
              <w:rPr>
                <w:rFonts w:eastAsia="宋体"/>
                <w:spacing w:val="-2"/>
                <w:kern w:val="16"/>
                <w:sz w:val="24"/>
              </w:rPr>
              <w:t>环境现状监测布点同声环境，见表4-2。</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4.3.2监测项目</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1min等效连续A声级。</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4.3.3监测时间、监测频率、监测环境和监测单位</w:t>
            </w:r>
          </w:p>
          <w:p>
            <w:pPr>
              <w:autoSpaceDE w:val="0"/>
              <w:autoSpaceDN w:val="0"/>
              <w:adjustRightInd w:val="0"/>
              <w:spacing w:line="520" w:lineRule="exact"/>
              <w:ind w:firstLine="472" w:firstLineChars="200"/>
              <w:rPr>
                <w:rFonts w:eastAsia="宋体"/>
                <w:color w:val="000000" w:themeColor="text1"/>
                <w:spacing w:val="-2"/>
                <w:kern w:val="16"/>
                <w:sz w:val="24"/>
              </w:rPr>
            </w:pPr>
            <w:r>
              <w:rPr>
                <w:rFonts w:eastAsia="宋体"/>
                <w:color w:val="000000" w:themeColor="text1"/>
                <w:spacing w:val="-2"/>
                <w:kern w:val="16"/>
                <w:sz w:val="24"/>
              </w:rPr>
              <w:t>监测时间：20</w:t>
            </w:r>
            <w:r>
              <w:rPr>
                <w:rFonts w:hint="eastAsia" w:eastAsia="宋体"/>
                <w:color w:val="000000" w:themeColor="text1"/>
                <w:spacing w:val="-2"/>
                <w:kern w:val="16"/>
                <w:sz w:val="24"/>
              </w:rPr>
              <w:t>20</w:t>
            </w:r>
            <w:r>
              <w:rPr>
                <w:rFonts w:eastAsia="宋体"/>
                <w:color w:val="000000" w:themeColor="text1"/>
                <w:spacing w:val="-2"/>
                <w:kern w:val="16"/>
                <w:sz w:val="24"/>
              </w:rPr>
              <w:t>年4月</w:t>
            </w:r>
            <w:r>
              <w:rPr>
                <w:rFonts w:hint="eastAsia" w:eastAsia="宋体"/>
                <w:color w:val="000000" w:themeColor="text1"/>
                <w:spacing w:val="-2"/>
                <w:kern w:val="16"/>
                <w:sz w:val="24"/>
              </w:rPr>
              <w:t>15</w:t>
            </w:r>
            <w:r>
              <w:rPr>
                <w:rFonts w:eastAsia="宋体"/>
                <w:color w:val="000000" w:themeColor="text1"/>
                <w:spacing w:val="-2"/>
                <w:kern w:val="16"/>
                <w:sz w:val="24"/>
              </w:rPr>
              <w:t>日</w:t>
            </w:r>
            <w:r>
              <w:rPr>
                <w:rFonts w:hint="eastAsia" w:eastAsia="宋体"/>
                <w:color w:val="000000" w:themeColor="text1"/>
                <w:spacing w:val="-2"/>
                <w:kern w:val="16"/>
                <w:sz w:val="24"/>
              </w:rPr>
              <w:t>-</w:t>
            </w:r>
            <w:r>
              <w:rPr>
                <w:rFonts w:eastAsia="宋体"/>
                <w:color w:val="000000" w:themeColor="text1"/>
                <w:spacing w:val="-2"/>
                <w:kern w:val="16"/>
                <w:sz w:val="24"/>
              </w:rPr>
              <w:t>4月</w:t>
            </w:r>
            <w:r>
              <w:rPr>
                <w:rFonts w:hint="eastAsia" w:eastAsia="宋体"/>
                <w:color w:val="000000" w:themeColor="text1"/>
                <w:spacing w:val="-2"/>
                <w:kern w:val="16"/>
                <w:sz w:val="24"/>
              </w:rPr>
              <w:t>16</w:t>
            </w:r>
            <w:r>
              <w:rPr>
                <w:rFonts w:eastAsia="宋体"/>
                <w:color w:val="000000" w:themeColor="text1"/>
                <w:spacing w:val="-2"/>
                <w:kern w:val="16"/>
                <w:sz w:val="24"/>
              </w:rPr>
              <w:t>日。</w:t>
            </w:r>
          </w:p>
          <w:p>
            <w:pPr>
              <w:autoSpaceDE w:val="0"/>
              <w:autoSpaceDN w:val="0"/>
              <w:adjustRightInd w:val="0"/>
              <w:spacing w:line="520" w:lineRule="exact"/>
              <w:ind w:firstLine="472" w:firstLineChars="200"/>
              <w:rPr>
                <w:rFonts w:eastAsia="宋体"/>
                <w:color w:val="000000" w:themeColor="text1"/>
                <w:spacing w:val="-2"/>
                <w:kern w:val="16"/>
                <w:sz w:val="24"/>
              </w:rPr>
            </w:pPr>
            <w:r>
              <w:rPr>
                <w:rFonts w:eastAsia="宋体"/>
                <w:color w:val="000000" w:themeColor="text1"/>
                <w:spacing w:val="-2"/>
                <w:kern w:val="16"/>
                <w:sz w:val="24"/>
              </w:rPr>
              <w:t>监测频率：每个监测点昼、夜各监测一次；</w:t>
            </w:r>
          </w:p>
          <w:p>
            <w:pPr>
              <w:autoSpaceDE w:val="0"/>
              <w:autoSpaceDN w:val="0"/>
              <w:adjustRightInd w:val="0"/>
              <w:spacing w:line="520" w:lineRule="exact"/>
              <w:ind w:firstLine="472" w:firstLineChars="200"/>
              <w:rPr>
                <w:rFonts w:eastAsia="宋体"/>
                <w:b/>
                <w:color w:val="FF0000"/>
                <w:spacing w:val="-2"/>
                <w:kern w:val="16"/>
                <w:sz w:val="24"/>
              </w:rPr>
            </w:pPr>
            <w:r>
              <w:rPr>
                <w:rFonts w:eastAsia="宋体"/>
                <w:color w:val="000000" w:themeColor="text1"/>
                <w:spacing w:val="-2"/>
                <w:kern w:val="16"/>
                <w:sz w:val="24"/>
              </w:rPr>
              <w:t>监测环境：</w:t>
            </w:r>
            <w:r>
              <w:rPr>
                <w:rFonts w:hint="eastAsia" w:eastAsia="宋体"/>
                <w:color w:val="000000" w:themeColor="text1"/>
                <w:spacing w:val="-2"/>
                <w:kern w:val="16"/>
                <w:sz w:val="24"/>
              </w:rPr>
              <w:t>晴 温度：（</w:t>
            </w:r>
            <w:r>
              <w:rPr>
                <w:rFonts w:eastAsia="宋体"/>
                <w:color w:val="000000" w:themeColor="text1"/>
                <w:spacing w:val="-2"/>
                <w:kern w:val="16"/>
                <w:sz w:val="24"/>
              </w:rPr>
              <w:t>1</w:t>
            </w:r>
            <w:r>
              <w:rPr>
                <w:rFonts w:hint="eastAsia" w:eastAsia="宋体"/>
                <w:color w:val="000000" w:themeColor="text1"/>
                <w:spacing w:val="-2"/>
                <w:kern w:val="16"/>
                <w:sz w:val="24"/>
              </w:rPr>
              <w:t>1</w:t>
            </w:r>
            <w:r>
              <w:rPr>
                <w:rFonts w:eastAsia="宋体"/>
                <w:color w:val="000000" w:themeColor="text1"/>
                <w:spacing w:val="-2"/>
                <w:kern w:val="16"/>
                <w:sz w:val="24"/>
              </w:rPr>
              <w:t>-</w:t>
            </w:r>
            <w:r>
              <w:rPr>
                <w:rFonts w:hint="eastAsia" w:eastAsia="宋体"/>
                <w:color w:val="000000" w:themeColor="text1"/>
                <w:spacing w:val="-2"/>
                <w:kern w:val="16"/>
                <w:sz w:val="24"/>
              </w:rPr>
              <w:t>25）℃ -（13-26）℃</w:t>
            </w:r>
            <w:r>
              <w:rPr>
                <w:rFonts w:eastAsia="宋体"/>
                <w:color w:val="000000" w:themeColor="text1"/>
                <w:spacing w:val="-2"/>
                <w:kern w:val="16"/>
                <w:sz w:val="24"/>
              </w:rPr>
              <w:t xml:space="preserve"> </w:t>
            </w:r>
            <w:r>
              <w:rPr>
                <w:rFonts w:hint="eastAsia" w:eastAsia="宋体"/>
                <w:color w:val="000000" w:themeColor="text1"/>
                <w:spacing w:val="-2"/>
                <w:kern w:val="16"/>
                <w:sz w:val="24"/>
              </w:rPr>
              <w:t>相对湿度：3</w:t>
            </w:r>
            <w:r>
              <w:rPr>
                <w:rFonts w:eastAsia="宋体"/>
                <w:color w:val="000000" w:themeColor="text1"/>
                <w:spacing w:val="-2"/>
                <w:kern w:val="16"/>
                <w:sz w:val="24"/>
              </w:rPr>
              <w:t>6</w:t>
            </w:r>
            <w:r>
              <w:rPr>
                <w:rFonts w:hint="eastAsia" w:eastAsia="宋体"/>
                <w:color w:val="000000" w:themeColor="text1"/>
                <w:spacing w:val="-2"/>
                <w:kern w:val="16"/>
                <w:sz w:val="24"/>
              </w:rPr>
              <w:t xml:space="preserve">%RH 、21 %RH  </w:t>
            </w:r>
            <w:r>
              <w:rPr>
                <w:rFonts w:hint="eastAsia" w:eastAsia="宋体"/>
                <w:b/>
                <w:color w:val="FF0000"/>
                <w:spacing w:val="-2"/>
                <w:kern w:val="16"/>
                <w:sz w:val="24"/>
              </w:rPr>
              <w:t xml:space="preserve">       </w:t>
            </w:r>
          </w:p>
          <w:p>
            <w:pPr>
              <w:autoSpaceDE w:val="0"/>
              <w:autoSpaceDN w:val="0"/>
              <w:adjustRightInd w:val="0"/>
              <w:spacing w:line="520" w:lineRule="exact"/>
              <w:jc w:val="left"/>
              <w:rPr>
                <w:rFonts w:eastAsia="宋体"/>
                <w:color w:val="000000" w:themeColor="text1"/>
                <w:spacing w:val="-2"/>
                <w:kern w:val="16"/>
                <w:sz w:val="24"/>
              </w:rPr>
            </w:pPr>
            <w:r>
              <w:rPr>
                <w:rFonts w:eastAsia="宋体"/>
                <w:color w:val="000000" w:themeColor="text1"/>
                <w:spacing w:val="-2"/>
                <w:kern w:val="16"/>
                <w:sz w:val="24"/>
              </w:rPr>
              <w:t>监测单位：发证日期：</w:t>
            </w:r>
            <w:r>
              <w:rPr>
                <w:rFonts w:hint="eastAsia" w:eastAsia="宋体"/>
                <w:color w:val="000000" w:themeColor="text1"/>
                <w:spacing w:val="-2"/>
                <w:kern w:val="16"/>
                <w:sz w:val="24"/>
              </w:rPr>
              <w:t>20</w:t>
            </w:r>
            <w:r>
              <w:rPr>
                <w:rFonts w:eastAsia="宋体"/>
                <w:color w:val="000000" w:themeColor="text1"/>
                <w:spacing w:val="-2"/>
                <w:kern w:val="16"/>
                <w:sz w:val="24"/>
              </w:rPr>
              <w:t>1</w:t>
            </w:r>
            <w:r>
              <w:rPr>
                <w:rFonts w:hint="eastAsia" w:eastAsia="宋体"/>
                <w:color w:val="000000" w:themeColor="text1"/>
                <w:spacing w:val="-2"/>
                <w:kern w:val="16"/>
                <w:sz w:val="24"/>
              </w:rPr>
              <w:t>8年</w:t>
            </w:r>
            <w:r>
              <w:rPr>
                <w:rFonts w:eastAsia="宋体"/>
                <w:color w:val="000000" w:themeColor="text1"/>
                <w:spacing w:val="-2"/>
                <w:kern w:val="16"/>
                <w:sz w:val="24"/>
              </w:rPr>
              <w:t>1</w:t>
            </w:r>
            <w:r>
              <w:rPr>
                <w:rFonts w:hint="eastAsia" w:eastAsia="宋体"/>
                <w:color w:val="000000" w:themeColor="text1"/>
                <w:spacing w:val="-2"/>
                <w:kern w:val="16"/>
                <w:sz w:val="24"/>
              </w:rPr>
              <w:t>2月</w:t>
            </w:r>
            <w:r>
              <w:rPr>
                <w:rFonts w:eastAsia="宋体"/>
                <w:color w:val="000000" w:themeColor="text1"/>
                <w:spacing w:val="-2"/>
                <w:kern w:val="16"/>
                <w:sz w:val="24"/>
              </w:rPr>
              <w:t>1</w:t>
            </w:r>
            <w:r>
              <w:rPr>
                <w:rFonts w:hint="eastAsia" w:eastAsia="宋体"/>
                <w:color w:val="000000" w:themeColor="text1"/>
                <w:spacing w:val="-2"/>
                <w:kern w:val="16"/>
                <w:sz w:val="24"/>
              </w:rPr>
              <w:t>1日</w:t>
            </w:r>
            <w:r>
              <w:rPr>
                <w:rFonts w:eastAsia="宋体"/>
                <w:color w:val="000000" w:themeColor="text1"/>
                <w:spacing w:val="-2"/>
                <w:kern w:val="16"/>
                <w:sz w:val="24"/>
              </w:rPr>
              <w:t>；</w:t>
            </w:r>
            <w:r>
              <w:rPr>
                <w:rFonts w:hint="eastAsia" w:eastAsia="宋体"/>
                <w:color w:val="000000" w:themeColor="text1"/>
                <w:spacing w:val="-2"/>
                <w:kern w:val="16"/>
                <w:sz w:val="24"/>
              </w:rPr>
              <w:t>有效期至</w:t>
            </w:r>
            <w:r>
              <w:rPr>
                <w:rFonts w:eastAsia="宋体"/>
                <w:color w:val="000000" w:themeColor="text1"/>
                <w:spacing w:val="-2"/>
                <w:kern w:val="16"/>
                <w:sz w:val="24"/>
              </w:rPr>
              <w:t>：20</w:t>
            </w:r>
            <w:r>
              <w:rPr>
                <w:rFonts w:hint="eastAsia" w:eastAsia="宋体"/>
                <w:color w:val="000000" w:themeColor="text1"/>
                <w:spacing w:val="-2"/>
                <w:kern w:val="16"/>
                <w:sz w:val="24"/>
              </w:rPr>
              <w:t>24年</w:t>
            </w:r>
            <w:r>
              <w:rPr>
                <w:rFonts w:eastAsia="宋体"/>
                <w:color w:val="000000" w:themeColor="text1"/>
                <w:spacing w:val="-2"/>
                <w:kern w:val="16"/>
                <w:sz w:val="24"/>
              </w:rPr>
              <w:t>1</w:t>
            </w:r>
            <w:r>
              <w:rPr>
                <w:rFonts w:hint="eastAsia" w:eastAsia="宋体"/>
                <w:color w:val="000000" w:themeColor="text1"/>
                <w:spacing w:val="-2"/>
                <w:kern w:val="16"/>
                <w:sz w:val="24"/>
              </w:rPr>
              <w:t>2月10日</w:t>
            </w:r>
            <w:r>
              <w:rPr>
                <w:rFonts w:eastAsia="宋体"/>
                <w:color w:val="000000" w:themeColor="text1"/>
                <w:spacing w:val="-2"/>
                <w:kern w:val="16"/>
                <w:sz w:val="24"/>
              </w:rPr>
              <w:t>；发证机关</w:t>
            </w:r>
            <w:r>
              <w:rPr>
                <w:rFonts w:hint="eastAsia" w:eastAsia="宋体"/>
                <w:color w:val="000000" w:themeColor="text1"/>
                <w:spacing w:val="-2"/>
                <w:kern w:val="16"/>
                <w:sz w:val="24"/>
              </w:rPr>
              <w:t>：</w:t>
            </w:r>
            <w:r>
              <w:rPr>
                <w:rFonts w:eastAsia="宋体"/>
                <w:color w:val="000000" w:themeColor="text1"/>
                <w:spacing w:val="-2"/>
                <w:kern w:val="16"/>
                <w:sz w:val="24"/>
              </w:rPr>
              <w:t>河南省</w:t>
            </w:r>
            <w:r>
              <w:rPr>
                <w:rFonts w:hint="eastAsia" w:eastAsia="宋体"/>
                <w:color w:val="000000" w:themeColor="text1"/>
                <w:spacing w:val="-2"/>
                <w:kern w:val="16"/>
                <w:sz w:val="24"/>
              </w:rPr>
              <w:t>市场</w:t>
            </w:r>
            <w:r>
              <w:rPr>
                <w:rFonts w:eastAsia="宋体"/>
                <w:color w:val="000000" w:themeColor="text1"/>
                <w:spacing w:val="-2"/>
                <w:kern w:val="16"/>
                <w:sz w:val="24"/>
              </w:rPr>
              <w:t>监督</w:t>
            </w:r>
            <w:r>
              <w:rPr>
                <w:rFonts w:hint="eastAsia" w:eastAsia="宋体"/>
                <w:color w:val="000000" w:themeColor="text1"/>
                <w:spacing w:val="-2"/>
                <w:kern w:val="16"/>
                <w:sz w:val="24"/>
              </w:rPr>
              <w:t>管理局</w:t>
            </w:r>
            <w:r>
              <w:rPr>
                <w:rFonts w:eastAsia="宋体"/>
                <w:color w:val="000000" w:themeColor="text1"/>
                <w:spacing w:val="-2"/>
                <w:kern w:val="16"/>
                <w:sz w:val="24"/>
              </w:rPr>
              <w:t>局）</w:t>
            </w:r>
            <w:r>
              <w:rPr>
                <w:rFonts w:hint="eastAsia" w:eastAsia="宋体"/>
                <w:color w:val="000000" w:themeColor="text1"/>
                <w:spacing w:val="-2"/>
                <w:kern w:val="16"/>
                <w:sz w:val="24"/>
              </w:rPr>
              <w:t>。</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4.3.4监测方法及测量仪器</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监测方法：按《声环境质量标准》（GB3096-2008）中的监测方法进行。</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测量仪器：见表4-</w:t>
            </w:r>
            <w:r>
              <w:rPr>
                <w:rFonts w:hint="eastAsia" w:eastAsia="宋体"/>
                <w:spacing w:val="-2"/>
                <w:kern w:val="16"/>
                <w:sz w:val="24"/>
              </w:rPr>
              <w:t>6</w:t>
            </w:r>
            <w:r>
              <w:rPr>
                <w:rFonts w:eastAsia="宋体"/>
                <w:spacing w:val="-2"/>
                <w:kern w:val="16"/>
                <w:sz w:val="24"/>
              </w:rPr>
              <w:t>。</w:t>
            </w:r>
          </w:p>
          <w:p>
            <w:pPr>
              <w:pStyle w:val="4"/>
              <w:adjustRightInd w:val="0"/>
              <w:snapToGrid w:val="0"/>
              <w:spacing w:line="520" w:lineRule="exact"/>
              <w:ind w:firstLine="480" w:firstLineChars="200"/>
              <w:rPr>
                <w:rFonts w:ascii="Times New Roman" w:hAnsi="Times New Roman"/>
                <w:sz w:val="24"/>
                <w:szCs w:val="21"/>
              </w:rPr>
            </w:pPr>
            <w:r>
              <w:rPr>
                <w:rFonts w:ascii="Times New Roman" w:hAnsi="黑体"/>
                <w:sz w:val="24"/>
                <w:szCs w:val="21"/>
              </w:rPr>
              <w:t>表</w:t>
            </w:r>
            <w:r>
              <w:rPr>
                <w:rFonts w:ascii="Times New Roman" w:hAnsi="Times New Roman"/>
                <w:sz w:val="24"/>
                <w:szCs w:val="21"/>
              </w:rPr>
              <w:t xml:space="preserve">4-6                 </w:t>
            </w:r>
            <w:r>
              <w:rPr>
                <w:rFonts w:ascii="Times New Roman" w:hAnsi="黑体"/>
                <w:sz w:val="24"/>
                <w:szCs w:val="21"/>
              </w:rPr>
              <w:t>噪声环境现状监测仪器</w:t>
            </w:r>
          </w:p>
          <w:tbl>
            <w:tblPr>
              <w:tblStyle w:val="15"/>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83"/>
              <w:gridCol w:w="1352"/>
              <w:gridCol w:w="1418"/>
              <w:gridCol w:w="1938"/>
              <w:gridCol w:w="21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3" w:type="dxa"/>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名</w:t>
                  </w:r>
                  <w:r>
                    <w:rPr>
                      <w:rFonts w:eastAsia="宋体"/>
                      <w:color w:val="000000" w:themeColor="text1"/>
                      <w:sz w:val="21"/>
                      <w:szCs w:val="21"/>
                    </w:rPr>
                    <w:t xml:space="preserve"> </w:t>
                  </w:r>
                  <w:r>
                    <w:rPr>
                      <w:rFonts w:hAnsi="宋体" w:eastAsia="宋体"/>
                      <w:color w:val="000000" w:themeColor="text1"/>
                      <w:sz w:val="21"/>
                      <w:szCs w:val="21"/>
                    </w:rPr>
                    <w:t>称</w:t>
                  </w:r>
                </w:p>
              </w:tc>
              <w:tc>
                <w:tcPr>
                  <w:tcW w:w="1352" w:type="dxa"/>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型号</w:t>
                  </w:r>
                  <w:r>
                    <w:rPr>
                      <w:rFonts w:eastAsia="宋体"/>
                      <w:color w:val="000000" w:themeColor="text1"/>
                      <w:sz w:val="21"/>
                      <w:szCs w:val="21"/>
                    </w:rPr>
                    <w:t>/</w:t>
                  </w:r>
                  <w:r>
                    <w:rPr>
                      <w:rFonts w:hAnsi="宋体" w:eastAsia="宋体"/>
                      <w:color w:val="000000" w:themeColor="text1"/>
                      <w:sz w:val="21"/>
                      <w:szCs w:val="21"/>
                    </w:rPr>
                    <w:t>规格</w:t>
                  </w:r>
                </w:p>
              </w:tc>
              <w:tc>
                <w:tcPr>
                  <w:tcW w:w="1418" w:type="dxa"/>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出厂编号</w:t>
                  </w:r>
                </w:p>
              </w:tc>
              <w:tc>
                <w:tcPr>
                  <w:tcW w:w="1938" w:type="dxa"/>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不确定度</w:t>
                  </w:r>
                  <w:r>
                    <w:rPr>
                      <w:rFonts w:eastAsia="宋体"/>
                      <w:color w:val="000000" w:themeColor="text1"/>
                      <w:sz w:val="21"/>
                      <w:szCs w:val="21"/>
                    </w:rPr>
                    <w:t>/</w:t>
                  </w:r>
                  <w:r>
                    <w:rPr>
                      <w:rFonts w:hAnsi="宋体" w:eastAsia="宋体"/>
                      <w:color w:val="000000" w:themeColor="text1"/>
                      <w:sz w:val="21"/>
                      <w:szCs w:val="21"/>
                    </w:rPr>
                    <w:t>准确度</w:t>
                  </w:r>
                </w:p>
              </w:tc>
              <w:tc>
                <w:tcPr>
                  <w:tcW w:w="2115" w:type="dxa"/>
                  <w:vAlign w:val="center"/>
                </w:tcPr>
                <w:p>
                  <w:pPr>
                    <w:tabs>
                      <w:tab w:val="center" w:pos="650"/>
                    </w:tabs>
                    <w:spacing w:line="360" w:lineRule="exact"/>
                    <w:jc w:val="center"/>
                    <w:rPr>
                      <w:rFonts w:eastAsia="宋体"/>
                      <w:color w:val="000000" w:themeColor="text1"/>
                      <w:sz w:val="21"/>
                      <w:szCs w:val="21"/>
                    </w:rPr>
                  </w:pPr>
                  <w:r>
                    <w:rPr>
                      <w:rFonts w:hAnsi="宋体" w:eastAsia="宋体"/>
                      <w:color w:val="000000" w:themeColor="text1"/>
                      <w:sz w:val="21"/>
                      <w:szCs w:val="21"/>
                    </w:rPr>
                    <w:t>证书编号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trPr>
              <w:tc>
                <w:tcPr>
                  <w:tcW w:w="1483" w:type="dxa"/>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多功能声级计</w:t>
                  </w:r>
                </w:p>
              </w:tc>
              <w:tc>
                <w:tcPr>
                  <w:tcW w:w="1352"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AWA6228</w:t>
                  </w:r>
                  <w:r>
                    <w:rPr>
                      <w:rFonts w:hint="eastAsia" w:eastAsia="宋体"/>
                      <w:color w:val="000000" w:themeColor="text1"/>
                      <w:sz w:val="21"/>
                      <w:szCs w:val="21"/>
                      <w:vertAlign w:val="superscript"/>
                    </w:rPr>
                    <w:t>+</w:t>
                  </w:r>
                </w:p>
              </w:tc>
              <w:tc>
                <w:tcPr>
                  <w:tcW w:w="1418" w:type="dxa"/>
                  <w:vAlign w:val="center"/>
                </w:tcPr>
                <w:p>
                  <w:pPr>
                    <w:spacing w:line="360" w:lineRule="exact"/>
                    <w:jc w:val="center"/>
                    <w:rPr>
                      <w:rFonts w:eastAsia="宋体"/>
                      <w:color w:val="000000" w:themeColor="text1"/>
                      <w:sz w:val="21"/>
                      <w:szCs w:val="21"/>
                    </w:rPr>
                  </w:pPr>
                  <w:r>
                    <w:rPr>
                      <w:rFonts w:hint="eastAsia" w:eastAsia="宋体"/>
                      <w:color w:val="000000" w:themeColor="text1"/>
                      <w:sz w:val="21"/>
                      <w:szCs w:val="21"/>
                    </w:rPr>
                    <w:t>00316175</w:t>
                  </w:r>
                </w:p>
              </w:tc>
              <w:tc>
                <w:tcPr>
                  <w:tcW w:w="1938" w:type="dxa"/>
                  <w:vAlign w:val="center"/>
                </w:tcPr>
                <w:p>
                  <w:pPr>
                    <w:spacing w:line="360" w:lineRule="exact"/>
                    <w:jc w:val="center"/>
                    <w:rPr>
                      <w:rFonts w:eastAsia="宋体"/>
                      <w:color w:val="000000" w:themeColor="text1"/>
                      <w:sz w:val="21"/>
                      <w:szCs w:val="21"/>
                    </w:rPr>
                  </w:pPr>
                  <w:r>
                    <w:rPr>
                      <w:rFonts w:eastAsia="宋体"/>
                      <w:color w:val="000000" w:themeColor="text1"/>
                      <w:kern w:val="0"/>
                      <w:sz w:val="21"/>
                      <w:szCs w:val="21"/>
                    </w:rPr>
                    <w:t>U=</w:t>
                  </w:r>
                  <w:r>
                    <w:rPr>
                      <w:rFonts w:hint="eastAsia" w:eastAsia="宋体"/>
                      <w:color w:val="000000" w:themeColor="text1"/>
                      <w:kern w:val="0"/>
                      <w:sz w:val="21"/>
                      <w:szCs w:val="21"/>
                    </w:rPr>
                    <w:t>0.4</w:t>
                  </w:r>
                  <w:r>
                    <w:rPr>
                      <w:rFonts w:eastAsia="宋体"/>
                      <w:color w:val="000000" w:themeColor="text1"/>
                      <w:kern w:val="0"/>
                      <w:sz w:val="21"/>
                      <w:szCs w:val="21"/>
                    </w:rPr>
                    <w:t>%</w:t>
                  </w:r>
                  <w:r>
                    <w:rPr>
                      <w:rFonts w:eastAsia="宋体"/>
                      <w:color w:val="000000" w:themeColor="text1"/>
                      <w:sz w:val="21"/>
                      <w:szCs w:val="21"/>
                    </w:rPr>
                    <w:t>dB</w:t>
                  </w:r>
                  <w:r>
                    <w:rPr>
                      <w:rFonts w:hint="eastAsia" w:eastAsia="宋体"/>
                      <w:color w:val="000000" w:themeColor="text1"/>
                      <w:sz w:val="21"/>
                      <w:szCs w:val="21"/>
                    </w:rPr>
                    <w:t>-1.0</w:t>
                  </w:r>
                  <w:r>
                    <w:rPr>
                      <w:rFonts w:eastAsia="宋体"/>
                      <w:color w:val="000000" w:themeColor="text1"/>
                      <w:sz w:val="21"/>
                      <w:szCs w:val="21"/>
                    </w:rPr>
                    <w:t xml:space="preserve"> dB</w:t>
                  </w:r>
                </w:p>
              </w:tc>
              <w:tc>
                <w:tcPr>
                  <w:tcW w:w="2115" w:type="dxa"/>
                  <w:vAlign w:val="center"/>
                </w:tcPr>
                <w:p>
                  <w:pPr>
                    <w:spacing w:line="360" w:lineRule="exact"/>
                    <w:jc w:val="center"/>
                    <w:rPr>
                      <w:rFonts w:eastAsia="宋体"/>
                      <w:color w:val="000000" w:themeColor="text1"/>
                      <w:sz w:val="21"/>
                      <w:szCs w:val="21"/>
                    </w:rPr>
                  </w:pPr>
                  <w:r>
                    <w:rPr>
                      <w:rFonts w:hAnsi="宋体" w:eastAsia="宋体"/>
                      <w:color w:val="000000" w:themeColor="text1"/>
                      <w:sz w:val="21"/>
                      <w:szCs w:val="21"/>
                    </w:rPr>
                    <w:t>声字</w:t>
                  </w:r>
                  <w:r>
                    <w:rPr>
                      <w:rFonts w:eastAsia="宋体"/>
                      <w:color w:val="000000" w:themeColor="text1"/>
                      <w:sz w:val="21"/>
                      <w:szCs w:val="21"/>
                    </w:rPr>
                    <w:t>20190801</w:t>
                  </w:r>
                  <w:r>
                    <w:rPr>
                      <w:rFonts w:hint="eastAsia" w:eastAsia="宋体"/>
                      <w:color w:val="000000" w:themeColor="text1"/>
                      <w:sz w:val="21"/>
                      <w:szCs w:val="21"/>
                    </w:rPr>
                    <w:t>-1291</w:t>
                  </w:r>
                </w:p>
              </w:tc>
            </w:tr>
          </w:tbl>
          <w:p>
            <w:pPr>
              <w:pStyle w:val="28"/>
              <w:spacing w:line="520" w:lineRule="exact"/>
              <w:rPr>
                <w:color w:val="000000" w:themeColor="text1"/>
              </w:rPr>
            </w:pPr>
            <w:r>
              <w:rPr>
                <w:color w:val="000000" w:themeColor="text1"/>
              </w:rPr>
              <w:t>4.3.5</w:t>
            </w:r>
            <w:r>
              <w:rPr>
                <w:rFonts w:hAnsi="宋体"/>
                <w:color w:val="000000" w:themeColor="text1"/>
              </w:rPr>
              <w:t>监测结果</w:t>
            </w:r>
          </w:p>
          <w:p>
            <w:pPr>
              <w:autoSpaceDE w:val="0"/>
              <w:autoSpaceDN w:val="0"/>
              <w:adjustRightInd w:val="0"/>
              <w:spacing w:line="520" w:lineRule="exact"/>
              <w:ind w:firstLine="590" w:firstLineChars="250"/>
              <w:jc w:val="left"/>
              <w:rPr>
                <w:rFonts w:eastAsia="宋体"/>
                <w:color w:val="000000" w:themeColor="text1"/>
                <w:spacing w:val="-2"/>
                <w:kern w:val="16"/>
                <w:sz w:val="24"/>
              </w:rPr>
            </w:pPr>
            <w:r>
              <w:rPr>
                <w:rFonts w:hint="eastAsia" w:hAnsi="宋体" w:eastAsia="宋体"/>
                <w:color w:val="000000" w:themeColor="text1"/>
                <w:spacing w:val="-2"/>
                <w:kern w:val="16"/>
                <w:sz w:val="24"/>
              </w:rPr>
              <w:t>本次监测为风机未运转和运转时的对比监测数据，升压站及敏感点</w:t>
            </w:r>
            <w:r>
              <w:rPr>
                <w:rFonts w:hAnsi="宋体" w:eastAsia="宋体"/>
                <w:color w:val="000000" w:themeColor="text1"/>
                <w:spacing w:val="-2"/>
                <w:kern w:val="16"/>
                <w:sz w:val="24"/>
              </w:rPr>
              <w:t>监测结果见表</w:t>
            </w:r>
            <w:r>
              <w:rPr>
                <w:rFonts w:eastAsia="宋体"/>
                <w:color w:val="000000" w:themeColor="text1"/>
                <w:spacing w:val="-2"/>
                <w:kern w:val="16"/>
                <w:sz w:val="24"/>
              </w:rPr>
              <w:t>4-</w:t>
            </w:r>
            <w:r>
              <w:rPr>
                <w:rFonts w:hint="eastAsia" w:eastAsia="宋体"/>
                <w:color w:val="000000" w:themeColor="text1"/>
                <w:spacing w:val="-2"/>
                <w:kern w:val="16"/>
                <w:sz w:val="24"/>
              </w:rPr>
              <w:t>7</w:t>
            </w:r>
            <w:r>
              <w:rPr>
                <w:rFonts w:hAnsi="宋体" w:eastAsia="宋体"/>
                <w:color w:val="000000" w:themeColor="text1"/>
                <w:spacing w:val="-2"/>
                <w:kern w:val="16"/>
                <w:sz w:val="24"/>
              </w:rPr>
              <w:t>。</w:t>
            </w:r>
          </w:p>
          <w:p>
            <w:pPr>
              <w:pStyle w:val="4"/>
              <w:adjustRightInd w:val="0"/>
              <w:snapToGrid w:val="0"/>
              <w:spacing w:line="520" w:lineRule="exact"/>
              <w:ind w:firstLine="480" w:firstLineChars="200"/>
              <w:rPr>
                <w:rFonts w:ascii="Times New Roman" w:hAnsi="宋体" w:eastAsia="宋体"/>
                <w:color w:val="000000" w:themeColor="text1"/>
                <w:sz w:val="24"/>
                <w:szCs w:val="21"/>
              </w:rPr>
            </w:pPr>
            <w:bookmarkStart w:id="26" w:name="_Ref152575482"/>
            <w:bookmarkStart w:id="27" w:name="_Ref148521074"/>
          </w:p>
          <w:p>
            <w:pPr>
              <w:pStyle w:val="4"/>
              <w:adjustRightInd w:val="0"/>
              <w:snapToGrid w:val="0"/>
              <w:spacing w:line="520" w:lineRule="exact"/>
              <w:ind w:firstLine="480" w:firstLineChars="200"/>
              <w:rPr>
                <w:rFonts w:ascii="Times New Roman" w:hAnsi="宋体" w:eastAsia="宋体"/>
                <w:color w:val="000000" w:themeColor="text1"/>
                <w:sz w:val="24"/>
                <w:szCs w:val="21"/>
              </w:rPr>
            </w:pPr>
          </w:p>
          <w:p>
            <w:pPr>
              <w:pStyle w:val="4"/>
              <w:adjustRightInd w:val="0"/>
              <w:snapToGrid w:val="0"/>
              <w:spacing w:line="520" w:lineRule="exact"/>
              <w:ind w:firstLine="480" w:firstLineChars="200"/>
              <w:rPr>
                <w:rFonts w:ascii="Times New Roman" w:hAnsi="宋体" w:eastAsia="宋体"/>
                <w:color w:val="000000" w:themeColor="text1"/>
                <w:sz w:val="24"/>
                <w:szCs w:val="21"/>
              </w:rPr>
            </w:pPr>
          </w:p>
          <w:p>
            <w:pPr>
              <w:pStyle w:val="4"/>
              <w:adjustRightInd w:val="0"/>
              <w:snapToGrid w:val="0"/>
              <w:spacing w:line="520" w:lineRule="exact"/>
              <w:ind w:firstLine="480" w:firstLineChars="200"/>
              <w:rPr>
                <w:rFonts w:ascii="Times New Roman" w:hAnsi="宋体" w:eastAsia="宋体"/>
                <w:color w:val="000000" w:themeColor="text1"/>
                <w:sz w:val="24"/>
                <w:szCs w:val="21"/>
              </w:rPr>
            </w:pPr>
          </w:p>
          <w:p>
            <w:pPr>
              <w:pStyle w:val="4"/>
              <w:adjustRightInd w:val="0"/>
              <w:snapToGrid w:val="0"/>
              <w:spacing w:line="520" w:lineRule="exact"/>
              <w:ind w:firstLine="480" w:firstLineChars="200"/>
              <w:rPr>
                <w:rFonts w:ascii="Times New Roman" w:hAnsi="宋体" w:eastAsia="宋体"/>
                <w:color w:val="000000" w:themeColor="text1"/>
                <w:sz w:val="24"/>
                <w:szCs w:val="21"/>
              </w:rPr>
            </w:pPr>
          </w:p>
          <w:p>
            <w:pPr>
              <w:pStyle w:val="4"/>
              <w:adjustRightInd w:val="0"/>
              <w:snapToGrid w:val="0"/>
              <w:spacing w:line="520" w:lineRule="exact"/>
              <w:ind w:firstLine="480" w:firstLineChars="200"/>
              <w:rPr>
                <w:rFonts w:ascii="Times New Roman" w:hAnsi="宋体" w:eastAsia="宋体"/>
                <w:color w:val="000000" w:themeColor="text1"/>
                <w:sz w:val="24"/>
                <w:szCs w:val="21"/>
              </w:rPr>
            </w:pPr>
          </w:p>
          <w:p>
            <w:pPr>
              <w:pStyle w:val="4"/>
              <w:adjustRightInd w:val="0"/>
              <w:snapToGrid w:val="0"/>
              <w:spacing w:line="520" w:lineRule="exact"/>
              <w:ind w:firstLine="480" w:firstLineChars="200"/>
              <w:rPr>
                <w:rFonts w:ascii="Times New Roman" w:hAnsi="Times New Roman"/>
                <w:b/>
                <w:color w:val="FF0000"/>
                <w:sz w:val="24"/>
                <w:szCs w:val="21"/>
              </w:rPr>
            </w:pPr>
            <w:r>
              <w:rPr>
                <w:rFonts w:ascii="Times New Roman" w:hAnsi="黑体"/>
                <w:color w:val="000000" w:themeColor="text1"/>
                <w:sz w:val="24"/>
                <w:szCs w:val="21"/>
              </w:rPr>
              <w:t>表</w:t>
            </w:r>
            <w:bookmarkEnd w:id="26"/>
            <w:bookmarkEnd w:id="27"/>
            <w:r>
              <w:rPr>
                <w:rFonts w:ascii="Times New Roman" w:hAnsi="Times New Roman"/>
                <w:color w:val="000000" w:themeColor="text1"/>
                <w:sz w:val="24"/>
                <w:szCs w:val="21"/>
              </w:rPr>
              <w:t xml:space="preserve">4-7               </w:t>
            </w:r>
            <w:r>
              <w:rPr>
                <w:rFonts w:ascii="Times New Roman" w:hAnsi="黑体"/>
                <w:color w:val="000000" w:themeColor="text1"/>
                <w:sz w:val="24"/>
                <w:szCs w:val="21"/>
              </w:rPr>
              <w:t>噪声环境现状监测结果</w:t>
            </w:r>
            <w:r>
              <w:rPr>
                <w:rFonts w:ascii="Times New Roman" w:hAnsi="Times New Roman"/>
                <w:color w:val="000000" w:themeColor="text1"/>
                <w:sz w:val="24"/>
                <w:szCs w:val="21"/>
              </w:rPr>
              <w:t xml:space="preserve">             </w:t>
            </w:r>
            <w:r>
              <w:rPr>
                <w:rFonts w:ascii="Times New Roman" w:hAnsi="黑体"/>
                <w:color w:val="000000" w:themeColor="text1"/>
                <w:sz w:val="24"/>
                <w:szCs w:val="21"/>
              </w:rPr>
              <w:t>单位：</w:t>
            </w:r>
            <w:r>
              <w:rPr>
                <w:rFonts w:ascii="Times New Roman" w:hAnsi="Times New Roman"/>
                <w:color w:val="000000" w:themeColor="text1"/>
                <w:sz w:val="24"/>
                <w:szCs w:val="21"/>
              </w:rPr>
              <w:t>dB</w:t>
            </w:r>
            <w:r>
              <w:rPr>
                <w:rFonts w:ascii="Times New Roman" w:hAnsi="黑体"/>
                <w:color w:val="000000" w:themeColor="text1"/>
                <w:sz w:val="24"/>
                <w:szCs w:val="21"/>
              </w:rPr>
              <w:t>（</w:t>
            </w:r>
            <w:r>
              <w:rPr>
                <w:rFonts w:ascii="Times New Roman" w:hAnsi="Times New Roman"/>
                <w:color w:val="000000" w:themeColor="text1"/>
                <w:sz w:val="24"/>
                <w:szCs w:val="21"/>
              </w:rPr>
              <w:t>A</w:t>
            </w:r>
            <w:r>
              <w:rPr>
                <w:rFonts w:ascii="Times New Roman" w:hAnsi="黑体"/>
                <w:color w:val="000000" w:themeColor="text1"/>
                <w:sz w:val="24"/>
                <w:szCs w:val="21"/>
              </w:rPr>
              <w:t>）</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86"/>
              <w:gridCol w:w="3374"/>
              <w:gridCol w:w="987"/>
              <w:gridCol w:w="987"/>
              <w:gridCol w:w="987"/>
              <w:gridCol w:w="9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jc w:val="center"/>
                    <w:rPr>
                      <w:rFonts w:eastAsia="宋体"/>
                      <w:color w:val="000000" w:themeColor="text1"/>
                      <w:sz w:val="21"/>
                      <w:szCs w:val="21"/>
                    </w:rPr>
                  </w:pPr>
                  <w:r>
                    <w:rPr>
                      <w:rFonts w:eastAsia="宋体"/>
                      <w:color w:val="000000" w:themeColor="text1"/>
                      <w:sz w:val="21"/>
                      <w:szCs w:val="21"/>
                    </w:rPr>
                    <w:t>序号</w:t>
                  </w:r>
                </w:p>
              </w:tc>
              <w:tc>
                <w:tcPr>
                  <w:tcW w:w="2031" w:type="pct"/>
                  <w:vAlign w:val="center"/>
                </w:tcPr>
                <w:p>
                  <w:pPr>
                    <w:jc w:val="center"/>
                    <w:rPr>
                      <w:rFonts w:eastAsia="宋体"/>
                      <w:color w:val="000000" w:themeColor="text1"/>
                      <w:sz w:val="21"/>
                      <w:szCs w:val="21"/>
                    </w:rPr>
                  </w:pPr>
                  <w:r>
                    <w:rPr>
                      <w:rFonts w:eastAsia="宋体"/>
                      <w:color w:val="000000" w:themeColor="text1"/>
                      <w:sz w:val="21"/>
                      <w:szCs w:val="21"/>
                    </w:rPr>
                    <w:t>测点位置</w:t>
                  </w:r>
                </w:p>
              </w:tc>
              <w:tc>
                <w:tcPr>
                  <w:tcW w:w="594" w:type="pct"/>
                  <w:vAlign w:val="center"/>
                </w:tcPr>
                <w:p>
                  <w:pPr>
                    <w:jc w:val="center"/>
                    <w:rPr>
                      <w:rFonts w:eastAsia="宋体"/>
                      <w:color w:val="000000" w:themeColor="text1"/>
                      <w:sz w:val="21"/>
                      <w:szCs w:val="21"/>
                    </w:rPr>
                  </w:pPr>
                  <w:r>
                    <w:rPr>
                      <w:rFonts w:eastAsia="宋体"/>
                      <w:color w:val="000000" w:themeColor="text1"/>
                      <w:sz w:val="21"/>
                      <w:szCs w:val="21"/>
                    </w:rPr>
                    <w:t>昼间</w:t>
                  </w:r>
                </w:p>
              </w:tc>
              <w:tc>
                <w:tcPr>
                  <w:tcW w:w="594" w:type="pct"/>
                  <w:vAlign w:val="center"/>
                </w:tcPr>
                <w:p>
                  <w:pPr>
                    <w:jc w:val="center"/>
                    <w:rPr>
                      <w:rFonts w:eastAsia="宋体"/>
                      <w:color w:val="000000" w:themeColor="text1"/>
                      <w:sz w:val="21"/>
                      <w:szCs w:val="21"/>
                    </w:rPr>
                  </w:pPr>
                  <w:r>
                    <w:rPr>
                      <w:rFonts w:eastAsia="宋体"/>
                      <w:color w:val="000000" w:themeColor="text1"/>
                      <w:sz w:val="21"/>
                      <w:szCs w:val="21"/>
                    </w:rPr>
                    <w:t>夜间</w:t>
                  </w:r>
                </w:p>
              </w:tc>
              <w:tc>
                <w:tcPr>
                  <w:tcW w:w="594" w:type="pct"/>
                  <w:vAlign w:val="center"/>
                </w:tcPr>
                <w:p>
                  <w:pPr>
                    <w:jc w:val="center"/>
                    <w:rPr>
                      <w:rFonts w:eastAsia="宋体"/>
                      <w:color w:val="000000" w:themeColor="text1"/>
                      <w:sz w:val="21"/>
                      <w:szCs w:val="21"/>
                    </w:rPr>
                  </w:pPr>
                  <w:r>
                    <w:rPr>
                      <w:rFonts w:eastAsia="宋体"/>
                      <w:color w:val="000000" w:themeColor="text1"/>
                      <w:sz w:val="21"/>
                      <w:szCs w:val="21"/>
                    </w:rPr>
                    <w:t>昼间</w:t>
                  </w:r>
                </w:p>
              </w:tc>
              <w:tc>
                <w:tcPr>
                  <w:tcW w:w="593" w:type="pct"/>
                  <w:vAlign w:val="center"/>
                </w:tcPr>
                <w:p>
                  <w:pPr>
                    <w:jc w:val="center"/>
                    <w:rPr>
                      <w:rFonts w:eastAsia="宋体"/>
                      <w:color w:val="000000" w:themeColor="text1"/>
                      <w:sz w:val="21"/>
                      <w:szCs w:val="21"/>
                    </w:rPr>
                  </w:pPr>
                  <w:r>
                    <w:rPr>
                      <w:rFonts w:eastAsia="宋体"/>
                      <w:color w:val="000000" w:themeColor="text1"/>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813" w:type="pct"/>
                  <w:gridSpan w:val="4"/>
                  <w:vAlign w:val="center"/>
                </w:tcPr>
                <w:p>
                  <w:pPr>
                    <w:jc w:val="center"/>
                    <w:rPr>
                      <w:rFonts w:eastAsia="宋体"/>
                      <w:color w:val="000000" w:themeColor="text1"/>
                      <w:sz w:val="21"/>
                      <w:szCs w:val="21"/>
                    </w:rPr>
                  </w:pPr>
                  <w:r>
                    <w:rPr>
                      <w:rFonts w:eastAsia="宋体"/>
                      <w:color w:val="000000" w:themeColor="text1"/>
                      <w:sz w:val="21"/>
                      <w:szCs w:val="21"/>
                    </w:rPr>
                    <w:t>一、升压站厂界</w:t>
                  </w:r>
                </w:p>
              </w:tc>
              <w:tc>
                <w:tcPr>
                  <w:tcW w:w="594" w:type="pct"/>
                </w:tcPr>
                <w:p>
                  <w:pPr>
                    <w:jc w:val="center"/>
                    <w:rPr>
                      <w:rFonts w:eastAsia="宋体"/>
                      <w:color w:val="000000" w:themeColor="text1"/>
                      <w:sz w:val="21"/>
                      <w:szCs w:val="21"/>
                    </w:rPr>
                  </w:pPr>
                </w:p>
              </w:tc>
              <w:tc>
                <w:tcPr>
                  <w:tcW w:w="593" w:type="pct"/>
                </w:tcPr>
                <w:p>
                  <w:pPr>
                    <w:jc w:val="center"/>
                    <w:rPr>
                      <w:rFonts w:eastAsia="宋体"/>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1</w:t>
                  </w:r>
                </w:p>
              </w:tc>
              <w:tc>
                <w:tcPr>
                  <w:tcW w:w="2031" w:type="pct"/>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升压站东侧</w:t>
                  </w:r>
                  <w:r>
                    <w:rPr>
                      <w:rFonts w:hint="eastAsia" w:ascii="Times New Roman" w:hAnsi="Times New Roman"/>
                      <w:color w:val="000000" w:themeColor="text1"/>
                      <w:szCs w:val="21"/>
                    </w:rPr>
                    <w:t>围墙外1m</w:t>
                  </w:r>
                </w:p>
              </w:tc>
              <w:tc>
                <w:tcPr>
                  <w:tcW w:w="594" w:type="pct"/>
                  <w:vAlign w:val="bottom"/>
                </w:tcPr>
                <w:p>
                  <w:pPr>
                    <w:widowControl/>
                    <w:jc w:val="center"/>
                    <w:rPr>
                      <w:rFonts w:eastAsia="宋体"/>
                      <w:color w:val="000000" w:themeColor="text1"/>
                      <w:kern w:val="0"/>
                      <w:sz w:val="22"/>
                      <w:szCs w:val="22"/>
                    </w:rPr>
                  </w:pPr>
                  <w:r>
                    <w:rPr>
                      <w:rFonts w:hint="eastAsia" w:eastAsia="宋体"/>
                      <w:color w:val="000000" w:themeColor="text1"/>
                      <w:kern w:val="0"/>
                      <w:sz w:val="22"/>
                      <w:szCs w:val="22"/>
                    </w:rPr>
                    <w:t>40.4</w:t>
                  </w:r>
                </w:p>
              </w:tc>
              <w:tc>
                <w:tcPr>
                  <w:tcW w:w="594" w:type="pct"/>
                  <w:vAlign w:val="bottom"/>
                </w:tcPr>
                <w:p>
                  <w:pPr>
                    <w:jc w:val="center"/>
                    <w:rPr>
                      <w:color w:val="000000" w:themeColor="text1"/>
                      <w:sz w:val="22"/>
                      <w:szCs w:val="22"/>
                    </w:rPr>
                  </w:pPr>
                  <w:r>
                    <w:rPr>
                      <w:rFonts w:hint="eastAsia"/>
                      <w:color w:val="000000" w:themeColor="text1"/>
                      <w:sz w:val="22"/>
                      <w:szCs w:val="22"/>
                    </w:rPr>
                    <w:t>40.3</w:t>
                  </w:r>
                </w:p>
              </w:tc>
              <w:tc>
                <w:tcPr>
                  <w:tcW w:w="594" w:type="pct"/>
                </w:tcPr>
                <w:p>
                  <w:pPr>
                    <w:jc w:val="center"/>
                    <w:rPr>
                      <w:color w:val="000000" w:themeColor="text1"/>
                      <w:sz w:val="22"/>
                      <w:szCs w:val="22"/>
                    </w:rPr>
                  </w:pPr>
                  <w:r>
                    <w:rPr>
                      <w:rFonts w:hint="eastAsia"/>
                      <w:color w:val="000000" w:themeColor="text1"/>
                      <w:sz w:val="22"/>
                      <w:szCs w:val="22"/>
                    </w:rPr>
                    <w:t>41.3</w:t>
                  </w:r>
                </w:p>
              </w:tc>
              <w:tc>
                <w:tcPr>
                  <w:tcW w:w="593" w:type="pct"/>
                </w:tcPr>
                <w:p>
                  <w:pPr>
                    <w:jc w:val="center"/>
                    <w:rPr>
                      <w:color w:val="000000" w:themeColor="text1"/>
                      <w:sz w:val="22"/>
                      <w:szCs w:val="22"/>
                    </w:rPr>
                  </w:pPr>
                  <w:r>
                    <w:rPr>
                      <w:rFonts w:hint="eastAsia"/>
                      <w:color w:val="000000" w:themeColor="text1"/>
                      <w:sz w:val="22"/>
                      <w:szCs w:val="22"/>
                    </w:rPr>
                    <w:t>41.0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2</w:t>
                  </w:r>
                </w:p>
              </w:tc>
              <w:tc>
                <w:tcPr>
                  <w:tcW w:w="2031" w:type="pct"/>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升压站南侧</w:t>
                  </w:r>
                  <w:r>
                    <w:rPr>
                      <w:rFonts w:hint="eastAsia" w:ascii="Times New Roman" w:hAnsi="Times New Roman"/>
                      <w:color w:val="000000" w:themeColor="text1"/>
                      <w:szCs w:val="21"/>
                    </w:rPr>
                    <w:t>围墙外1m</w:t>
                  </w:r>
                </w:p>
              </w:tc>
              <w:tc>
                <w:tcPr>
                  <w:tcW w:w="594" w:type="pct"/>
                  <w:vAlign w:val="bottom"/>
                </w:tcPr>
                <w:p>
                  <w:pPr>
                    <w:jc w:val="center"/>
                    <w:rPr>
                      <w:color w:val="000000" w:themeColor="text1"/>
                      <w:sz w:val="22"/>
                      <w:szCs w:val="22"/>
                    </w:rPr>
                  </w:pPr>
                  <w:r>
                    <w:rPr>
                      <w:rFonts w:hint="eastAsia"/>
                      <w:color w:val="000000" w:themeColor="text1"/>
                      <w:sz w:val="22"/>
                      <w:szCs w:val="22"/>
                    </w:rPr>
                    <w:t>41.8</w:t>
                  </w:r>
                </w:p>
              </w:tc>
              <w:tc>
                <w:tcPr>
                  <w:tcW w:w="594" w:type="pct"/>
                  <w:vAlign w:val="bottom"/>
                </w:tcPr>
                <w:p>
                  <w:pPr>
                    <w:jc w:val="center"/>
                    <w:rPr>
                      <w:color w:val="000000" w:themeColor="text1"/>
                      <w:sz w:val="22"/>
                      <w:szCs w:val="22"/>
                    </w:rPr>
                  </w:pPr>
                  <w:r>
                    <w:rPr>
                      <w:rFonts w:hint="eastAsia"/>
                      <w:color w:val="000000" w:themeColor="text1"/>
                      <w:sz w:val="22"/>
                      <w:szCs w:val="22"/>
                    </w:rPr>
                    <w:t>40.9</w:t>
                  </w:r>
                </w:p>
              </w:tc>
              <w:tc>
                <w:tcPr>
                  <w:tcW w:w="594" w:type="pct"/>
                </w:tcPr>
                <w:p>
                  <w:pPr>
                    <w:jc w:val="center"/>
                    <w:rPr>
                      <w:color w:val="000000" w:themeColor="text1"/>
                      <w:sz w:val="22"/>
                      <w:szCs w:val="22"/>
                    </w:rPr>
                  </w:pPr>
                  <w:r>
                    <w:rPr>
                      <w:rFonts w:hint="eastAsia"/>
                      <w:color w:val="000000" w:themeColor="text1"/>
                      <w:sz w:val="22"/>
                      <w:szCs w:val="22"/>
                    </w:rPr>
                    <w:t>42.5</w:t>
                  </w:r>
                </w:p>
              </w:tc>
              <w:tc>
                <w:tcPr>
                  <w:tcW w:w="593" w:type="pct"/>
                </w:tcPr>
                <w:p>
                  <w:pPr>
                    <w:jc w:val="center"/>
                    <w:rPr>
                      <w:color w:val="000000" w:themeColor="text1"/>
                      <w:sz w:val="22"/>
                      <w:szCs w:val="22"/>
                    </w:rPr>
                  </w:pPr>
                  <w:r>
                    <w:rPr>
                      <w:rFonts w:hint="eastAsia"/>
                      <w:color w:val="000000" w:themeColor="text1"/>
                      <w:sz w:val="22"/>
                      <w:szCs w:val="22"/>
                    </w:rPr>
                    <w:t>40.9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3</w:t>
                  </w:r>
                </w:p>
              </w:tc>
              <w:tc>
                <w:tcPr>
                  <w:tcW w:w="2031" w:type="pct"/>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升压站西侧</w:t>
                  </w:r>
                  <w:r>
                    <w:rPr>
                      <w:rFonts w:hint="eastAsia" w:ascii="Times New Roman" w:hAnsi="Times New Roman"/>
                      <w:color w:val="000000" w:themeColor="text1"/>
                      <w:szCs w:val="21"/>
                    </w:rPr>
                    <w:t>围墙外1m</w:t>
                  </w:r>
                </w:p>
              </w:tc>
              <w:tc>
                <w:tcPr>
                  <w:tcW w:w="594" w:type="pct"/>
                  <w:vAlign w:val="bottom"/>
                </w:tcPr>
                <w:p>
                  <w:pPr>
                    <w:jc w:val="center"/>
                    <w:rPr>
                      <w:color w:val="000000" w:themeColor="text1"/>
                      <w:sz w:val="22"/>
                      <w:szCs w:val="22"/>
                    </w:rPr>
                  </w:pPr>
                  <w:r>
                    <w:rPr>
                      <w:rFonts w:hint="eastAsia"/>
                      <w:color w:val="000000" w:themeColor="text1"/>
                      <w:sz w:val="22"/>
                      <w:szCs w:val="22"/>
                    </w:rPr>
                    <w:t>49.5</w:t>
                  </w:r>
                </w:p>
              </w:tc>
              <w:tc>
                <w:tcPr>
                  <w:tcW w:w="594" w:type="pct"/>
                  <w:vAlign w:val="bottom"/>
                </w:tcPr>
                <w:p>
                  <w:pPr>
                    <w:jc w:val="center"/>
                    <w:rPr>
                      <w:color w:val="000000" w:themeColor="text1"/>
                      <w:sz w:val="22"/>
                      <w:szCs w:val="22"/>
                    </w:rPr>
                  </w:pPr>
                  <w:r>
                    <w:rPr>
                      <w:rFonts w:hint="eastAsia"/>
                      <w:color w:val="000000" w:themeColor="text1"/>
                      <w:sz w:val="22"/>
                      <w:szCs w:val="22"/>
                    </w:rPr>
                    <w:t>43.8</w:t>
                  </w:r>
                </w:p>
              </w:tc>
              <w:tc>
                <w:tcPr>
                  <w:tcW w:w="594" w:type="pct"/>
                </w:tcPr>
                <w:p>
                  <w:pPr>
                    <w:jc w:val="center"/>
                    <w:rPr>
                      <w:color w:val="000000" w:themeColor="text1"/>
                      <w:sz w:val="22"/>
                      <w:szCs w:val="22"/>
                    </w:rPr>
                  </w:pPr>
                  <w:r>
                    <w:rPr>
                      <w:rFonts w:hint="eastAsia"/>
                      <w:color w:val="000000" w:themeColor="text1"/>
                      <w:sz w:val="22"/>
                      <w:szCs w:val="22"/>
                    </w:rPr>
                    <w:t>49.8</w:t>
                  </w:r>
                </w:p>
              </w:tc>
              <w:tc>
                <w:tcPr>
                  <w:tcW w:w="593" w:type="pct"/>
                </w:tcPr>
                <w:p>
                  <w:pPr>
                    <w:jc w:val="center"/>
                    <w:rPr>
                      <w:color w:val="000000" w:themeColor="text1"/>
                      <w:sz w:val="22"/>
                      <w:szCs w:val="22"/>
                    </w:rPr>
                  </w:pPr>
                  <w:r>
                    <w:rPr>
                      <w:rFonts w:hint="eastAsia"/>
                      <w:color w:val="000000" w:themeColor="text1"/>
                      <w:sz w:val="22"/>
                      <w:szCs w:val="22"/>
                    </w:rPr>
                    <w:t>44.1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4</w:t>
                  </w:r>
                </w:p>
              </w:tc>
              <w:tc>
                <w:tcPr>
                  <w:tcW w:w="2031" w:type="pct"/>
                  <w:vAlign w:val="center"/>
                </w:tcPr>
                <w:p>
                  <w:pPr>
                    <w:pStyle w:val="25"/>
                    <w:spacing w:line="240" w:lineRule="auto"/>
                    <w:rPr>
                      <w:rFonts w:ascii="Times New Roman" w:hAnsi="Times New Roman"/>
                      <w:color w:val="000000" w:themeColor="text1"/>
                      <w:szCs w:val="21"/>
                    </w:rPr>
                  </w:pPr>
                  <w:r>
                    <w:rPr>
                      <w:rFonts w:ascii="Times New Roman" w:hAnsi="Times New Roman"/>
                      <w:color w:val="000000" w:themeColor="text1"/>
                      <w:szCs w:val="21"/>
                    </w:rPr>
                    <w:t>升压站北侧</w:t>
                  </w:r>
                  <w:r>
                    <w:rPr>
                      <w:rFonts w:hint="eastAsia" w:ascii="Times New Roman" w:hAnsi="Times New Roman"/>
                      <w:color w:val="000000" w:themeColor="text1"/>
                      <w:szCs w:val="21"/>
                    </w:rPr>
                    <w:t>围墙外1m</w:t>
                  </w:r>
                </w:p>
              </w:tc>
              <w:tc>
                <w:tcPr>
                  <w:tcW w:w="594" w:type="pct"/>
                  <w:vAlign w:val="bottom"/>
                </w:tcPr>
                <w:p>
                  <w:pPr>
                    <w:jc w:val="center"/>
                    <w:rPr>
                      <w:color w:val="000000" w:themeColor="text1"/>
                      <w:sz w:val="22"/>
                      <w:szCs w:val="22"/>
                    </w:rPr>
                  </w:pPr>
                  <w:r>
                    <w:rPr>
                      <w:rFonts w:hint="eastAsia"/>
                      <w:color w:val="000000" w:themeColor="text1"/>
                      <w:sz w:val="22"/>
                      <w:szCs w:val="22"/>
                    </w:rPr>
                    <w:t>49.8</w:t>
                  </w:r>
                </w:p>
              </w:tc>
              <w:tc>
                <w:tcPr>
                  <w:tcW w:w="594" w:type="pct"/>
                  <w:vAlign w:val="bottom"/>
                </w:tcPr>
                <w:p>
                  <w:pPr>
                    <w:jc w:val="center"/>
                    <w:rPr>
                      <w:color w:val="000000" w:themeColor="text1"/>
                      <w:sz w:val="22"/>
                      <w:szCs w:val="22"/>
                    </w:rPr>
                  </w:pPr>
                  <w:r>
                    <w:rPr>
                      <w:rFonts w:hint="eastAsia"/>
                      <w:color w:val="000000" w:themeColor="text1"/>
                      <w:sz w:val="22"/>
                      <w:szCs w:val="22"/>
                    </w:rPr>
                    <w:t>44.4</w:t>
                  </w:r>
                </w:p>
              </w:tc>
              <w:tc>
                <w:tcPr>
                  <w:tcW w:w="594" w:type="pct"/>
                </w:tcPr>
                <w:p>
                  <w:pPr>
                    <w:jc w:val="center"/>
                    <w:rPr>
                      <w:color w:val="000000" w:themeColor="text1"/>
                      <w:sz w:val="22"/>
                      <w:szCs w:val="22"/>
                    </w:rPr>
                  </w:pPr>
                  <w:r>
                    <w:rPr>
                      <w:rFonts w:hint="eastAsia"/>
                      <w:color w:val="000000" w:themeColor="text1"/>
                      <w:sz w:val="22"/>
                      <w:szCs w:val="22"/>
                    </w:rPr>
                    <w:t>48.5</w:t>
                  </w:r>
                </w:p>
              </w:tc>
              <w:tc>
                <w:tcPr>
                  <w:tcW w:w="593" w:type="pct"/>
                </w:tcPr>
                <w:p>
                  <w:pPr>
                    <w:jc w:val="center"/>
                    <w:rPr>
                      <w:color w:val="000000" w:themeColor="text1"/>
                      <w:sz w:val="22"/>
                      <w:szCs w:val="22"/>
                    </w:rPr>
                  </w:pPr>
                  <w:r>
                    <w:rPr>
                      <w:rFonts w:hint="eastAsia"/>
                      <w:color w:val="000000" w:themeColor="text1"/>
                      <w:sz w:val="22"/>
                      <w:szCs w:val="22"/>
                    </w:rPr>
                    <w:t>44.9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813" w:type="pct"/>
                  <w:gridSpan w:val="4"/>
                  <w:vAlign w:val="center"/>
                </w:tcPr>
                <w:p>
                  <w:pPr>
                    <w:spacing w:line="320" w:lineRule="exact"/>
                    <w:jc w:val="center"/>
                    <w:rPr>
                      <w:rFonts w:eastAsia="宋体"/>
                      <w:bCs/>
                      <w:color w:val="000000" w:themeColor="text1"/>
                      <w:spacing w:val="-2"/>
                      <w:sz w:val="21"/>
                      <w:szCs w:val="21"/>
                    </w:rPr>
                  </w:pPr>
                  <w:r>
                    <w:rPr>
                      <w:rFonts w:eastAsia="宋体"/>
                      <w:bCs/>
                      <w:color w:val="000000" w:themeColor="text1"/>
                      <w:spacing w:val="-2"/>
                      <w:sz w:val="21"/>
                      <w:szCs w:val="21"/>
                    </w:rPr>
                    <w:t>二、线路敏感点</w:t>
                  </w:r>
                </w:p>
              </w:tc>
              <w:tc>
                <w:tcPr>
                  <w:tcW w:w="594" w:type="pct"/>
                </w:tcPr>
                <w:p>
                  <w:pPr>
                    <w:spacing w:line="320" w:lineRule="exact"/>
                    <w:jc w:val="center"/>
                    <w:rPr>
                      <w:rFonts w:eastAsia="宋体"/>
                      <w:bCs/>
                      <w:color w:val="000000" w:themeColor="text1"/>
                      <w:spacing w:val="-2"/>
                      <w:sz w:val="21"/>
                      <w:szCs w:val="21"/>
                    </w:rPr>
                  </w:pPr>
                </w:p>
              </w:tc>
              <w:tc>
                <w:tcPr>
                  <w:tcW w:w="593" w:type="pct"/>
                </w:tcPr>
                <w:p>
                  <w:pPr>
                    <w:spacing w:line="320" w:lineRule="exact"/>
                    <w:jc w:val="center"/>
                    <w:rPr>
                      <w:rFonts w:eastAsia="宋体"/>
                      <w:bCs/>
                      <w:color w:val="000000" w:themeColor="text1"/>
                      <w:spacing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5</w:t>
                  </w:r>
                </w:p>
              </w:tc>
              <w:tc>
                <w:tcPr>
                  <w:tcW w:w="2031" w:type="pct"/>
                  <w:vAlign w:val="center"/>
                </w:tcPr>
                <w:p>
                  <w:pPr>
                    <w:widowControl/>
                    <w:jc w:val="center"/>
                    <w:rPr>
                      <w:rFonts w:eastAsia="宋体"/>
                      <w:color w:val="000000" w:themeColor="text1"/>
                      <w:kern w:val="0"/>
                      <w:sz w:val="21"/>
                      <w:szCs w:val="21"/>
                    </w:rPr>
                  </w:pPr>
                  <w:r>
                    <w:rPr>
                      <w:rFonts w:hint="eastAsia" w:eastAsia="宋体"/>
                      <w:color w:val="000000" w:themeColor="text1"/>
                      <w:kern w:val="0"/>
                      <w:sz w:val="21"/>
                      <w:szCs w:val="21"/>
                    </w:rPr>
                    <w:t>白坡头</w:t>
                  </w:r>
                </w:p>
              </w:tc>
              <w:tc>
                <w:tcPr>
                  <w:tcW w:w="594" w:type="pct"/>
                  <w:vAlign w:val="bottom"/>
                </w:tcPr>
                <w:p>
                  <w:pPr>
                    <w:widowControl/>
                    <w:jc w:val="center"/>
                    <w:rPr>
                      <w:rFonts w:eastAsia="宋体"/>
                      <w:color w:val="000000" w:themeColor="text1"/>
                      <w:kern w:val="0"/>
                      <w:sz w:val="22"/>
                      <w:szCs w:val="22"/>
                    </w:rPr>
                  </w:pPr>
                  <w:r>
                    <w:rPr>
                      <w:rFonts w:hint="eastAsia" w:eastAsia="宋体"/>
                      <w:color w:val="000000" w:themeColor="text1"/>
                      <w:kern w:val="0"/>
                      <w:sz w:val="22"/>
                      <w:szCs w:val="22"/>
                    </w:rPr>
                    <w:t>42.6</w:t>
                  </w:r>
                </w:p>
              </w:tc>
              <w:tc>
                <w:tcPr>
                  <w:tcW w:w="594" w:type="pct"/>
                  <w:vAlign w:val="bottom"/>
                </w:tcPr>
                <w:p>
                  <w:pPr>
                    <w:jc w:val="center"/>
                    <w:rPr>
                      <w:color w:val="000000" w:themeColor="text1"/>
                      <w:sz w:val="22"/>
                      <w:szCs w:val="22"/>
                    </w:rPr>
                  </w:pPr>
                  <w:r>
                    <w:rPr>
                      <w:rFonts w:hint="eastAsia"/>
                      <w:color w:val="000000" w:themeColor="text1"/>
                      <w:sz w:val="22"/>
                      <w:szCs w:val="22"/>
                    </w:rPr>
                    <w:t>40.0</w:t>
                  </w:r>
                </w:p>
              </w:tc>
              <w:tc>
                <w:tcPr>
                  <w:tcW w:w="594" w:type="pct"/>
                </w:tcPr>
                <w:p>
                  <w:pPr>
                    <w:jc w:val="center"/>
                    <w:rPr>
                      <w:color w:val="000000" w:themeColor="text1"/>
                      <w:sz w:val="22"/>
                      <w:szCs w:val="22"/>
                    </w:rPr>
                  </w:pPr>
                  <w:r>
                    <w:rPr>
                      <w:rFonts w:hint="eastAsia"/>
                      <w:color w:val="000000" w:themeColor="text1"/>
                      <w:sz w:val="22"/>
                      <w:szCs w:val="22"/>
                    </w:rPr>
                    <w:t>41.1</w:t>
                  </w:r>
                </w:p>
              </w:tc>
              <w:tc>
                <w:tcPr>
                  <w:tcW w:w="593" w:type="pct"/>
                </w:tcPr>
                <w:p>
                  <w:pPr>
                    <w:jc w:val="center"/>
                    <w:rPr>
                      <w:color w:val="000000" w:themeColor="text1"/>
                      <w:sz w:val="22"/>
                      <w:szCs w:val="22"/>
                    </w:rPr>
                  </w:pPr>
                  <w:r>
                    <w:rPr>
                      <w:rFonts w:hint="eastAsia"/>
                      <w:color w:val="000000" w:themeColor="text1"/>
                      <w:sz w:val="22"/>
                      <w:szCs w:val="22"/>
                    </w:rPr>
                    <w:t>39.9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6</w:t>
                  </w:r>
                </w:p>
              </w:tc>
              <w:tc>
                <w:tcPr>
                  <w:tcW w:w="2031" w:type="pct"/>
                  <w:vAlign w:val="center"/>
                </w:tcPr>
                <w:p>
                  <w:pPr>
                    <w:widowControl/>
                    <w:jc w:val="center"/>
                    <w:rPr>
                      <w:rFonts w:eastAsia="宋体"/>
                      <w:color w:val="000000" w:themeColor="text1"/>
                      <w:kern w:val="0"/>
                      <w:sz w:val="21"/>
                      <w:szCs w:val="21"/>
                    </w:rPr>
                  </w:pPr>
                  <w:r>
                    <w:rPr>
                      <w:rFonts w:eastAsia="宋体"/>
                      <w:color w:val="000000" w:themeColor="text1"/>
                      <w:kern w:val="0"/>
                      <w:sz w:val="21"/>
                      <w:szCs w:val="21"/>
                    </w:rPr>
                    <w:t>杨桥村常海超家</w:t>
                  </w:r>
                </w:p>
              </w:tc>
              <w:tc>
                <w:tcPr>
                  <w:tcW w:w="594" w:type="pct"/>
                  <w:vAlign w:val="bottom"/>
                </w:tcPr>
                <w:p>
                  <w:pPr>
                    <w:widowControl/>
                    <w:jc w:val="center"/>
                    <w:rPr>
                      <w:rFonts w:eastAsia="宋体"/>
                      <w:color w:val="000000" w:themeColor="text1"/>
                      <w:kern w:val="0"/>
                      <w:sz w:val="22"/>
                      <w:szCs w:val="22"/>
                    </w:rPr>
                  </w:pPr>
                  <w:r>
                    <w:rPr>
                      <w:rFonts w:hint="eastAsia" w:eastAsia="宋体"/>
                      <w:color w:val="000000" w:themeColor="text1"/>
                      <w:kern w:val="0"/>
                      <w:sz w:val="22"/>
                      <w:szCs w:val="22"/>
                    </w:rPr>
                    <w:t>50.0</w:t>
                  </w:r>
                </w:p>
              </w:tc>
              <w:tc>
                <w:tcPr>
                  <w:tcW w:w="594" w:type="pct"/>
                  <w:vAlign w:val="bottom"/>
                </w:tcPr>
                <w:p>
                  <w:pPr>
                    <w:jc w:val="center"/>
                    <w:rPr>
                      <w:color w:val="000000" w:themeColor="text1"/>
                      <w:sz w:val="22"/>
                      <w:szCs w:val="22"/>
                    </w:rPr>
                  </w:pPr>
                  <w:r>
                    <w:rPr>
                      <w:rFonts w:hint="eastAsia"/>
                      <w:color w:val="000000" w:themeColor="text1"/>
                      <w:sz w:val="22"/>
                      <w:szCs w:val="22"/>
                    </w:rPr>
                    <w:t>41.7</w:t>
                  </w:r>
                </w:p>
              </w:tc>
              <w:tc>
                <w:tcPr>
                  <w:tcW w:w="594" w:type="pct"/>
                </w:tcPr>
                <w:p>
                  <w:pPr>
                    <w:jc w:val="center"/>
                    <w:rPr>
                      <w:color w:val="000000" w:themeColor="text1"/>
                      <w:sz w:val="22"/>
                      <w:szCs w:val="22"/>
                    </w:rPr>
                  </w:pPr>
                  <w:r>
                    <w:rPr>
                      <w:rFonts w:hint="eastAsia"/>
                      <w:color w:val="000000" w:themeColor="text1"/>
                      <w:sz w:val="22"/>
                      <w:szCs w:val="22"/>
                    </w:rPr>
                    <w:t>49.1</w:t>
                  </w:r>
                </w:p>
              </w:tc>
              <w:tc>
                <w:tcPr>
                  <w:tcW w:w="593" w:type="pct"/>
                </w:tcPr>
                <w:p>
                  <w:pPr>
                    <w:jc w:val="center"/>
                    <w:rPr>
                      <w:color w:val="000000" w:themeColor="text1"/>
                      <w:sz w:val="22"/>
                      <w:szCs w:val="22"/>
                    </w:rPr>
                  </w:pPr>
                  <w:r>
                    <w:rPr>
                      <w:rFonts w:hint="eastAsia"/>
                      <w:color w:val="000000" w:themeColor="text1"/>
                      <w:sz w:val="22"/>
                      <w:szCs w:val="22"/>
                    </w:rPr>
                    <w:t>41.3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ascii="Times New Roman" w:hAnsi="Times New Roman"/>
                      <w:color w:val="000000" w:themeColor="text1"/>
                    </w:rPr>
                    <w:t>7</w:t>
                  </w:r>
                </w:p>
              </w:tc>
              <w:tc>
                <w:tcPr>
                  <w:tcW w:w="2031" w:type="pct"/>
                  <w:vAlign w:val="center"/>
                </w:tcPr>
                <w:p>
                  <w:pPr>
                    <w:jc w:val="center"/>
                    <w:rPr>
                      <w:rFonts w:eastAsia="宋体"/>
                      <w:color w:val="000000" w:themeColor="text1"/>
                      <w:sz w:val="21"/>
                      <w:szCs w:val="21"/>
                    </w:rPr>
                  </w:pPr>
                  <w:r>
                    <w:rPr>
                      <w:rFonts w:eastAsia="宋体"/>
                      <w:color w:val="000000" w:themeColor="text1"/>
                      <w:sz w:val="21"/>
                      <w:szCs w:val="21"/>
                    </w:rPr>
                    <w:t>张垌村王娟家</w:t>
                  </w:r>
                </w:p>
              </w:tc>
              <w:tc>
                <w:tcPr>
                  <w:tcW w:w="594" w:type="pct"/>
                  <w:vAlign w:val="bottom"/>
                </w:tcPr>
                <w:p>
                  <w:pPr>
                    <w:jc w:val="center"/>
                    <w:rPr>
                      <w:color w:val="000000" w:themeColor="text1"/>
                      <w:sz w:val="22"/>
                      <w:szCs w:val="22"/>
                    </w:rPr>
                  </w:pPr>
                  <w:r>
                    <w:rPr>
                      <w:rFonts w:hint="eastAsia"/>
                      <w:color w:val="000000" w:themeColor="text1"/>
                      <w:sz w:val="22"/>
                      <w:szCs w:val="22"/>
                    </w:rPr>
                    <w:t>45.3</w:t>
                  </w:r>
                </w:p>
              </w:tc>
              <w:tc>
                <w:tcPr>
                  <w:tcW w:w="594" w:type="pct"/>
                  <w:vAlign w:val="bottom"/>
                </w:tcPr>
                <w:p>
                  <w:pPr>
                    <w:jc w:val="center"/>
                    <w:rPr>
                      <w:color w:val="000000" w:themeColor="text1"/>
                      <w:sz w:val="22"/>
                      <w:szCs w:val="22"/>
                    </w:rPr>
                  </w:pPr>
                  <w:r>
                    <w:rPr>
                      <w:rFonts w:hint="eastAsia"/>
                      <w:color w:val="000000" w:themeColor="text1"/>
                      <w:sz w:val="22"/>
                      <w:szCs w:val="22"/>
                    </w:rPr>
                    <w:t>40.3</w:t>
                  </w:r>
                </w:p>
              </w:tc>
              <w:tc>
                <w:tcPr>
                  <w:tcW w:w="594" w:type="pct"/>
                </w:tcPr>
                <w:p>
                  <w:pPr>
                    <w:jc w:val="center"/>
                    <w:rPr>
                      <w:color w:val="000000" w:themeColor="text1"/>
                      <w:sz w:val="22"/>
                      <w:szCs w:val="22"/>
                    </w:rPr>
                  </w:pPr>
                  <w:r>
                    <w:rPr>
                      <w:rFonts w:hint="eastAsia"/>
                      <w:color w:val="000000" w:themeColor="text1"/>
                      <w:sz w:val="22"/>
                      <w:szCs w:val="22"/>
                    </w:rPr>
                    <w:t>46.7</w:t>
                  </w:r>
                </w:p>
              </w:tc>
              <w:tc>
                <w:tcPr>
                  <w:tcW w:w="593" w:type="pct"/>
                </w:tcPr>
                <w:p>
                  <w:pPr>
                    <w:jc w:val="center"/>
                    <w:rPr>
                      <w:color w:val="000000" w:themeColor="text1"/>
                      <w:sz w:val="22"/>
                      <w:szCs w:val="22"/>
                    </w:rPr>
                  </w:pPr>
                  <w:r>
                    <w:rPr>
                      <w:rFonts w:hint="eastAsia"/>
                      <w:color w:val="000000" w:themeColor="text1"/>
                      <w:sz w:val="22"/>
                      <w:szCs w:val="22"/>
                    </w:rPr>
                    <w:t>40.5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hint="eastAsia" w:ascii="Times New Roman" w:hAnsi="Times New Roman"/>
                      <w:color w:val="000000" w:themeColor="text1"/>
                    </w:rPr>
                    <w:t>8</w:t>
                  </w:r>
                </w:p>
              </w:tc>
              <w:tc>
                <w:tcPr>
                  <w:tcW w:w="2031" w:type="pct"/>
                  <w:vAlign w:val="center"/>
                </w:tcPr>
                <w:p>
                  <w:pPr>
                    <w:jc w:val="center"/>
                    <w:rPr>
                      <w:rFonts w:eastAsia="宋体"/>
                      <w:color w:val="000000" w:themeColor="text1"/>
                      <w:sz w:val="21"/>
                      <w:szCs w:val="21"/>
                    </w:rPr>
                  </w:pPr>
                  <w:r>
                    <w:rPr>
                      <w:rFonts w:eastAsia="宋体"/>
                      <w:color w:val="000000" w:themeColor="text1"/>
                      <w:sz w:val="21"/>
                      <w:szCs w:val="21"/>
                    </w:rPr>
                    <w:t>张垌村范国明家</w:t>
                  </w:r>
                </w:p>
              </w:tc>
              <w:tc>
                <w:tcPr>
                  <w:tcW w:w="594" w:type="pct"/>
                  <w:vAlign w:val="bottom"/>
                </w:tcPr>
                <w:p>
                  <w:pPr>
                    <w:jc w:val="center"/>
                    <w:rPr>
                      <w:color w:val="000000" w:themeColor="text1"/>
                      <w:sz w:val="22"/>
                      <w:szCs w:val="22"/>
                    </w:rPr>
                  </w:pPr>
                  <w:r>
                    <w:rPr>
                      <w:rFonts w:hint="eastAsia"/>
                      <w:color w:val="000000" w:themeColor="text1"/>
                      <w:sz w:val="22"/>
                      <w:szCs w:val="22"/>
                    </w:rPr>
                    <w:t>37.4</w:t>
                  </w:r>
                </w:p>
              </w:tc>
              <w:tc>
                <w:tcPr>
                  <w:tcW w:w="594" w:type="pct"/>
                  <w:vAlign w:val="bottom"/>
                </w:tcPr>
                <w:p>
                  <w:pPr>
                    <w:jc w:val="center"/>
                    <w:rPr>
                      <w:color w:val="000000" w:themeColor="text1"/>
                      <w:sz w:val="22"/>
                      <w:szCs w:val="22"/>
                    </w:rPr>
                  </w:pPr>
                  <w:r>
                    <w:rPr>
                      <w:rFonts w:hint="eastAsia"/>
                      <w:color w:val="000000" w:themeColor="text1"/>
                      <w:sz w:val="22"/>
                      <w:szCs w:val="22"/>
                    </w:rPr>
                    <w:t>36.5</w:t>
                  </w:r>
                </w:p>
              </w:tc>
              <w:tc>
                <w:tcPr>
                  <w:tcW w:w="594" w:type="pct"/>
                </w:tcPr>
                <w:p>
                  <w:pPr>
                    <w:jc w:val="center"/>
                    <w:rPr>
                      <w:color w:val="000000" w:themeColor="text1"/>
                      <w:sz w:val="22"/>
                      <w:szCs w:val="22"/>
                    </w:rPr>
                  </w:pPr>
                  <w:r>
                    <w:rPr>
                      <w:rFonts w:hint="eastAsia"/>
                      <w:color w:val="000000" w:themeColor="text1"/>
                      <w:sz w:val="22"/>
                      <w:szCs w:val="22"/>
                    </w:rPr>
                    <w:t>38.5</w:t>
                  </w:r>
                </w:p>
              </w:tc>
              <w:tc>
                <w:tcPr>
                  <w:tcW w:w="593" w:type="pct"/>
                </w:tcPr>
                <w:p>
                  <w:pPr>
                    <w:jc w:val="center"/>
                    <w:rPr>
                      <w:color w:val="000000" w:themeColor="text1"/>
                      <w:sz w:val="22"/>
                      <w:szCs w:val="22"/>
                    </w:rPr>
                  </w:pPr>
                  <w:r>
                    <w:rPr>
                      <w:rFonts w:hint="eastAsia"/>
                      <w:color w:val="000000" w:themeColor="text1"/>
                      <w:sz w:val="22"/>
                      <w:szCs w:val="22"/>
                    </w:rPr>
                    <w:t>36.1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hint="eastAsia" w:ascii="Times New Roman" w:hAnsi="Times New Roman"/>
                      <w:color w:val="000000" w:themeColor="text1"/>
                    </w:rPr>
                    <w:t>9</w:t>
                  </w:r>
                </w:p>
              </w:tc>
              <w:tc>
                <w:tcPr>
                  <w:tcW w:w="2031" w:type="pct"/>
                  <w:vAlign w:val="center"/>
                </w:tcPr>
                <w:p>
                  <w:pPr>
                    <w:jc w:val="center"/>
                    <w:rPr>
                      <w:rFonts w:eastAsia="宋体"/>
                      <w:color w:val="000000" w:themeColor="text1"/>
                      <w:sz w:val="21"/>
                      <w:szCs w:val="21"/>
                    </w:rPr>
                  </w:pPr>
                  <w:r>
                    <w:rPr>
                      <w:rFonts w:eastAsia="宋体"/>
                      <w:color w:val="000000" w:themeColor="text1"/>
                      <w:sz w:val="21"/>
                      <w:szCs w:val="21"/>
                    </w:rPr>
                    <w:t>黑龙沟于发海家</w:t>
                  </w:r>
                </w:p>
              </w:tc>
              <w:tc>
                <w:tcPr>
                  <w:tcW w:w="594" w:type="pct"/>
                  <w:vAlign w:val="bottom"/>
                </w:tcPr>
                <w:p>
                  <w:pPr>
                    <w:jc w:val="center"/>
                    <w:rPr>
                      <w:color w:val="000000" w:themeColor="text1"/>
                      <w:sz w:val="22"/>
                      <w:szCs w:val="22"/>
                    </w:rPr>
                  </w:pPr>
                  <w:r>
                    <w:rPr>
                      <w:rFonts w:hint="eastAsia"/>
                      <w:color w:val="000000" w:themeColor="text1"/>
                      <w:sz w:val="22"/>
                      <w:szCs w:val="22"/>
                    </w:rPr>
                    <w:t>40.5</w:t>
                  </w:r>
                </w:p>
              </w:tc>
              <w:tc>
                <w:tcPr>
                  <w:tcW w:w="594" w:type="pct"/>
                  <w:vAlign w:val="bottom"/>
                </w:tcPr>
                <w:p>
                  <w:pPr>
                    <w:jc w:val="center"/>
                    <w:rPr>
                      <w:color w:val="000000" w:themeColor="text1"/>
                      <w:sz w:val="22"/>
                      <w:szCs w:val="22"/>
                    </w:rPr>
                  </w:pPr>
                  <w:r>
                    <w:rPr>
                      <w:rFonts w:hint="eastAsia"/>
                      <w:color w:val="000000" w:themeColor="text1"/>
                      <w:sz w:val="22"/>
                      <w:szCs w:val="22"/>
                    </w:rPr>
                    <w:t>38.9</w:t>
                  </w:r>
                </w:p>
              </w:tc>
              <w:tc>
                <w:tcPr>
                  <w:tcW w:w="594" w:type="pct"/>
                </w:tcPr>
                <w:p>
                  <w:pPr>
                    <w:jc w:val="center"/>
                    <w:rPr>
                      <w:color w:val="000000" w:themeColor="text1"/>
                      <w:sz w:val="22"/>
                      <w:szCs w:val="22"/>
                    </w:rPr>
                  </w:pPr>
                  <w:r>
                    <w:rPr>
                      <w:rFonts w:hint="eastAsia"/>
                      <w:color w:val="000000" w:themeColor="text1"/>
                      <w:sz w:val="22"/>
                      <w:szCs w:val="22"/>
                    </w:rPr>
                    <w:t>40.9</w:t>
                  </w:r>
                </w:p>
              </w:tc>
              <w:tc>
                <w:tcPr>
                  <w:tcW w:w="593" w:type="pct"/>
                </w:tcPr>
                <w:p>
                  <w:pPr>
                    <w:jc w:val="center"/>
                    <w:rPr>
                      <w:color w:val="000000" w:themeColor="text1"/>
                      <w:sz w:val="22"/>
                      <w:szCs w:val="22"/>
                    </w:rPr>
                  </w:pPr>
                  <w:r>
                    <w:rPr>
                      <w:rFonts w:hint="eastAsia"/>
                      <w:color w:val="000000" w:themeColor="text1"/>
                      <w:sz w:val="22"/>
                      <w:szCs w:val="22"/>
                    </w:rPr>
                    <w:t>39.6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4" w:type="pct"/>
                  <w:vAlign w:val="center"/>
                </w:tcPr>
                <w:p>
                  <w:pPr>
                    <w:pStyle w:val="19"/>
                    <w:spacing w:before="0" w:beforeAutospacing="0" w:after="0" w:afterAutospacing="0" w:line="240" w:lineRule="auto"/>
                    <w:rPr>
                      <w:rFonts w:ascii="Times New Roman" w:hAnsi="Times New Roman"/>
                      <w:color w:val="000000" w:themeColor="text1"/>
                    </w:rPr>
                  </w:pPr>
                  <w:r>
                    <w:rPr>
                      <w:rFonts w:hint="eastAsia" w:ascii="Times New Roman" w:hAnsi="Times New Roman"/>
                      <w:color w:val="000000" w:themeColor="text1"/>
                    </w:rPr>
                    <w:t>10</w:t>
                  </w:r>
                </w:p>
              </w:tc>
              <w:tc>
                <w:tcPr>
                  <w:tcW w:w="2031" w:type="pct"/>
                  <w:vAlign w:val="center"/>
                </w:tcPr>
                <w:p>
                  <w:pPr>
                    <w:jc w:val="center"/>
                    <w:rPr>
                      <w:rFonts w:eastAsia="宋体"/>
                      <w:color w:val="000000" w:themeColor="text1"/>
                      <w:sz w:val="21"/>
                      <w:szCs w:val="21"/>
                    </w:rPr>
                  </w:pPr>
                  <w:r>
                    <w:rPr>
                      <w:rFonts w:eastAsia="宋体"/>
                      <w:color w:val="000000" w:themeColor="text1"/>
                      <w:sz w:val="21"/>
                      <w:szCs w:val="21"/>
                    </w:rPr>
                    <w:t>黑龙沟于保成家</w:t>
                  </w:r>
                </w:p>
              </w:tc>
              <w:tc>
                <w:tcPr>
                  <w:tcW w:w="594" w:type="pct"/>
                  <w:vAlign w:val="bottom"/>
                </w:tcPr>
                <w:p>
                  <w:pPr>
                    <w:jc w:val="center"/>
                    <w:rPr>
                      <w:color w:val="000000" w:themeColor="text1"/>
                      <w:sz w:val="22"/>
                      <w:szCs w:val="22"/>
                    </w:rPr>
                  </w:pPr>
                  <w:r>
                    <w:rPr>
                      <w:rFonts w:hint="eastAsia"/>
                      <w:color w:val="000000" w:themeColor="text1"/>
                      <w:sz w:val="22"/>
                      <w:szCs w:val="22"/>
                    </w:rPr>
                    <w:t>40.4</w:t>
                  </w:r>
                </w:p>
              </w:tc>
              <w:tc>
                <w:tcPr>
                  <w:tcW w:w="594" w:type="pct"/>
                  <w:vAlign w:val="bottom"/>
                </w:tcPr>
                <w:p>
                  <w:pPr>
                    <w:jc w:val="center"/>
                    <w:rPr>
                      <w:color w:val="000000" w:themeColor="text1"/>
                      <w:sz w:val="22"/>
                      <w:szCs w:val="22"/>
                    </w:rPr>
                  </w:pPr>
                  <w:r>
                    <w:rPr>
                      <w:rFonts w:hint="eastAsia"/>
                      <w:color w:val="000000" w:themeColor="text1"/>
                      <w:sz w:val="22"/>
                      <w:szCs w:val="22"/>
                    </w:rPr>
                    <w:t>38.7</w:t>
                  </w:r>
                </w:p>
              </w:tc>
              <w:tc>
                <w:tcPr>
                  <w:tcW w:w="594" w:type="pct"/>
                </w:tcPr>
                <w:p>
                  <w:pPr>
                    <w:jc w:val="center"/>
                    <w:rPr>
                      <w:color w:val="000000" w:themeColor="text1"/>
                      <w:sz w:val="22"/>
                      <w:szCs w:val="22"/>
                    </w:rPr>
                  </w:pPr>
                  <w:r>
                    <w:rPr>
                      <w:rFonts w:hint="eastAsia"/>
                      <w:color w:val="000000" w:themeColor="text1"/>
                      <w:sz w:val="22"/>
                      <w:szCs w:val="22"/>
                    </w:rPr>
                    <w:t>40.3</w:t>
                  </w:r>
                </w:p>
              </w:tc>
              <w:tc>
                <w:tcPr>
                  <w:tcW w:w="593" w:type="pct"/>
                </w:tcPr>
                <w:p>
                  <w:pPr>
                    <w:jc w:val="center"/>
                    <w:rPr>
                      <w:color w:val="000000" w:themeColor="text1"/>
                      <w:sz w:val="22"/>
                      <w:szCs w:val="22"/>
                    </w:rPr>
                  </w:pPr>
                  <w:r>
                    <w:rPr>
                      <w:rFonts w:hint="eastAsia"/>
                      <w:color w:val="000000" w:themeColor="text1"/>
                      <w:sz w:val="22"/>
                      <w:szCs w:val="22"/>
                    </w:rPr>
                    <w:t>39.0</w:t>
                  </w:r>
                </w:p>
              </w:tc>
            </w:tr>
          </w:tbl>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1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由表4-</w:t>
            </w:r>
            <w:r>
              <w:rPr>
                <w:rFonts w:hint="eastAsia" w:eastAsia="宋体"/>
                <w:color w:val="000000" w:themeColor="text1"/>
                <w:spacing w:val="-2"/>
                <w:kern w:val="16"/>
                <w:sz w:val="24"/>
              </w:rPr>
              <w:t>7</w:t>
            </w:r>
            <w:r>
              <w:rPr>
                <w:rFonts w:eastAsia="宋体"/>
                <w:color w:val="000000" w:themeColor="text1"/>
                <w:spacing w:val="-2"/>
                <w:kern w:val="16"/>
                <w:sz w:val="24"/>
              </w:rPr>
              <w:t>可知，110kV升压站站址四周噪声现状昼间值在40.3~49.5dB（A）之间，夜间值在40.9~44.9dB（A）之间，满足《工业企业厂界环境噪声排放标准》（GB 12348-2008）1类区标准要求。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2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②</w:t>
            </w:r>
            <w:r>
              <w:rPr>
                <w:rFonts w:eastAsia="宋体"/>
                <w:color w:val="000000" w:themeColor="text1"/>
                <w:spacing w:val="-2"/>
                <w:kern w:val="16"/>
                <w:sz w:val="24"/>
              </w:rPr>
              <w:fldChar w:fldCharType="end"/>
            </w:r>
            <w:r>
              <w:rPr>
                <w:rFonts w:eastAsia="宋体"/>
                <w:color w:val="000000" w:themeColor="text1"/>
                <w:spacing w:val="-2"/>
                <w:kern w:val="16"/>
                <w:sz w:val="24"/>
              </w:rPr>
              <w:t>敏感点</w:t>
            </w:r>
          </w:p>
          <w:p>
            <w:pPr>
              <w:spacing w:line="520" w:lineRule="exact"/>
              <w:ind w:firstLine="472" w:firstLineChars="200"/>
              <w:rPr>
                <w:rFonts w:eastAsia="宋体"/>
                <w:color w:val="000000" w:themeColor="text1"/>
                <w:sz w:val="24"/>
                <w:szCs w:val="28"/>
              </w:rPr>
            </w:pPr>
            <w:r>
              <w:rPr>
                <w:rFonts w:eastAsia="宋体"/>
                <w:color w:val="000000" w:themeColor="text1"/>
                <w:spacing w:val="-2"/>
                <w:kern w:val="16"/>
                <w:sz w:val="24"/>
              </w:rPr>
              <w:t>由表4-</w:t>
            </w:r>
            <w:r>
              <w:rPr>
                <w:rFonts w:hint="eastAsia" w:eastAsia="宋体"/>
                <w:color w:val="000000" w:themeColor="text1"/>
                <w:spacing w:val="-2"/>
                <w:kern w:val="16"/>
                <w:sz w:val="24"/>
              </w:rPr>
              <w:t>7</w:t>
            </w:r>
            <w:r>
              <w:rPr>
                <w:rFonts w:eastAsia="宋体"/>
                <w:color w:val="000000" w:themeColor="text1"/>
                <w:spacing w:val="-2"/>
                <w:kern w:val="16"/>
                <w:sz w:val="24"/>
              </w:rPr>
              <w:t>可知，敏感点噪声昼间值在37.4~50.0dB（A）之间，夜间噪声值在36.5~41.7dB（A）之间，满足《声环境质量标准》（GB3096-2008）1类标准。</w:t>
            </w: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tc>
      </w:tr>
    </w:tbl>
    <w:p>
      <w:pPr>
        <w:outlineLvl w:val="0"/>
        <w:rPr>
          <w:rFonts w:eastAsia="宋体"/>
          <w:b/>
          <w:bCs/>
          <w:sz w:val="30"/>
          <w:szCs w:val="30"/>
        </w:rPr>
      </w:pPr>
      <w:bookmarkStart w:id="28" w:name="_Toc37923284"/>
      <w:r>
        <w:rPr>
          <w:rFonts w:hint="eastAsia" w:eastAsia="宋体"/>
          <w:b/>
          <w:bCs/>
          <w:sz w:val="30"/>
          <w:szCs w:val="30"/>
        </w:rPr>
        <w:t>五、建设项目工程分析</w:t>
      </w:r>
      <w:bookmarkEnd w:id="28"/>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522" w:type="dxa"/>
          </w:tcPr>
          <w:p>
            <w:pPr>
              <w:adjustRightInd w:val="0"/>
              <w:snapToGrid w:val="0"/>
              <w:spacing w:line="520" w:lineRule="exact"/>
              <w:jc w:val="left"/>
              <w:rPr>
                <w:rFonts w:eastAsia="宋体"/>
                <w:b/>
                <w:bCs/>
                <w:sz w:val="24"/>
              </w:rPr>
            </w:pPr>
            <w:r>
              <w:rPr>
                <w:rFonts w:eastAsia="宋体"/>
                <w:b/>
                <w:sz w:val="24"/>
              </w:rPr>
              <w:t>5.1</w:t>
            </w:r>
            <w:r>
              <w:rPr>
                <w:rFonts w:hint="eastAsia" w:eastAsia="宋体"/>
                <w:b/>
                <w:sz w:val="24"/>
              </w:rPr>
              <w:t>工艺流程简述（图示）：</w:t>
            </w:r>
          </w:p>
          <w:p>
            <w:pPr>
              <w:autoSpaceDE w:val="0"/>
              <w:autoSpaceDN w:val="0"/>
              <w:adjustRightInd w:val="0"/>
              <w:spacing w:line="520" w:lineRule="exact"/>
              <w:ind w:firstLine="590" w:firstLineChars="250"/>
              <w:jc w:val="left"/>
              <w:rPr>
                <w:rFonts w:eastAsia="宋体"/>
                <w:spacing w:val="-2"/>
                <w:kern w:val="16"/>
                <w:sz w:val="24"/>
              </w:rPr>
            </w:pPr>
            <w:r>
              <w:rPr>
                <w:rFonts w:hint="eastAsia" w:eastAsia="宋体"/>
                <w:spacing w:val="-2"/>
                <w:kern w:val="16"/>
                <w:sz w:val="24"/>
              </w:rPr>
              <w:t>输变电工程为建设类项目。在运行期，输变电工程的作用为变电和输电。在升压站内通过变压器将电能调变至一定电压等级，然后通过导线输送至其他升压站。在变电和输电的过程中只是存在电压的变化和电流的传输现象，没有其他生产活动存在，整个过程中无原材料、中间产品、副产品、产品存在，也不存在产品的生产过程。根据物理常识，电荷或者带电导体周围存在着电场，有规则地运动的电荷或者流过电流的导体周围存在着磁场，因此输变电工程在运行期由于电能的存在将会产生工频电场、工频磁场及电晕噪声（对于升压站由于主变冷却风扇冷却时以及断路器开合时也会有机械性噪声存在）。</w:t>
            </w:r>
          </w:p>
          <w:p>
            <w:pPr>
              <w:snapToGrid w:val="0"/>
              <w:spacing w:line="360" w:lineRule="auto"/>
              <w:ind w:firstLine="560" w:firstLineChars="200"/>
              <w:rPr>
                <w:rFonts w:eastAsia="宋体"/>
                <w:szCs w:val="18"/>
              </w:rPr>
            </w:pPr>
            <w:r>
              <w:pict>
                <v:group id="Group 3966" o:spid="_x0000_s2166" o:spt="203" style="position:absolute;left:0pt;margin-left:63pt;margin-top:11pt;height:238.3pt;width:334.5pt;z-index:251664384;mso-width-relative:page;mso-height-relative:page;" coordorigin="2490,6411" coordsize="6393,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">
                  <o:lock v:ext="edit"/>
                  <v:rect id="Rectangle 1163" o:spid="_x0000_s2167" o:spt="1" style="position:absolute;left:2679;top:6713;height:1648;width:1728;"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Zv8YA&#10;AADdAAAADwAAAGRycy9kb3ducmV2LnhtbESPwW7CMBBE70j8g7VIvYHdgGibYlBVRAVHSC69beNt&#10;kjZeR7GBwNdjpEo9jmbmjWax6m0jTtT52rGGx4kCQVw4U3OpIc8242cQPiAbbByThgt5WC2HgwWm&#10;xp15T6dDKEWEsE9RQxVCm0rpi4os+olriaP37TqLIcqulKbDc4TbRiZKzaXFmuNChS29V1T8Ho5W&#10;w1ed5HjdZx/KvmymYddnP8fPtdYPo/7tFUSgPvyH/9pbo2Gmnh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XZv8YAAADdAAAADwAAAAAAAAAAAAAAAACYAgAAZHJz&#10;L2Rvd25yZXYueG1sUEsFBgAAAAAEAAQA9QAAAIsDAAAAAA==&#10;">
                    <v:path/>
                    <v:fill on="f" focussize="0,0"/>
                    <v:stroke/>
                    <v:imagedata o:title=""/>
                    <o:lock v:ext="edit"/>
                  </v:rect>
                  <v:rect id="Rectangle 1164" o:spid="_x0000_s2168" o:spt="1" style="position:absolute;left:2835;top:6903;height:1318;width:345;"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8JMUA&#10;AADdAAAADwAAAGRycy9kb3ducmV2LnhtbESPwW7CMBBE70j9B2sr9QZ2AVFIMagCUcERwoXbEm+T&#10;tPE6ig0Evh4jIfU4mpk3mum8tZU4U+NLxxreewoEceZMybmGfbrqjkH4gGywckwaruRhPnvpTDEx&#10;7sJbOu9CLiKEfYIaihDqREqfFWTR91xNHL0f11gMUTa5NA1eItxWsq/USFosOS4UWNOioOxvd7Ia&#10;jmV/j7dt+q3sZDUImzb9PR2WWr+9tl+fIAK14T/8bK+NhqH6GM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XwkxQAAAN0AAAAPAAAAAAAAAAAAAAAAAJgCAABkcnMv&#10;ZG93bnJldi54bWxQSwUGAAAAAAQABAD1AAAAigMAAAAA&#10;">
                    <v:path/>
                    <v:fill on="f" focussize="0,0"/>
                    <v:stroke/>
                    <v:imagedata o:title=""/>
                    <o:lock v:ext="edit"/>
                  </v:rect>
                  <v:rect id="Rectangle 1165" o:spid="_x0000_s2169" o:spt="1" style="position:absolute;left:3705;top:6903;height:1312;width:51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kUMUA&#10;AADdAAAADwAAAGRycy9kb3ducmV2LnhtbESPwW7CMBBE75X4B2srcSt2AUGbYhACgcoRwqW3bbxN&#10;AvE6ig2Efj1GQuI4mpk3msmstZU4U+NLxxreewoEceZMybmGfbp6+wDhA7LByjFpuJKH2bTzMsHE&#10;uAtv6bwLuYgQ9glqKEKoEyl9VpBF33M1cfT+XGMxRNnk0jR4iXBbyb5SI2mx5LhQYE2LgrLj7mQ1&#10;/Jb9Pf5v07Wyn6tB2LTp4fSz1Lr72s6/QARqwzP8aH8bDUM1HsL9TX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ORQxQAAAN0AAAAPAAAAAAAAAAAAAAAAAJgCAABkcnMv&#10;ZG93bnJldi54bWxQSwUGAAAAAAQABAD1AAAAigMAAAAA&#10;">
                    <v:path/>
                    <v:fill on="f" focussize="0,0"/>
                    <v:stroke on="f"/>
                    <v:imagedata o:title=""/>
                    <o:lock v:ext="edit"/>
                  </v:rect>
                  <v:rect id="Rectangle 1166" o:spid="_x0000_s2170" o:spt="1" style="position:absolute;left:3353;top:7397;height:269;width:17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By8YA&#10;AADdAAAADwAAAGRycy9kb3ducmV2LnhtbESPwW7CMBBE70j9B2uRegMbCm0JGIRAVHCEcOltGy9J&#10;aLyOYgNpv75GQupxNDNvNLNFaytxpcaXjjUM+goEceZMybmGY7rpvYPwAdlg5Zg0/JCHxfypM8PE&#10;uBvv6XoIuYgQ9glqKEKoEyl9VpBF33c1cfROrrEYomxyaRq8Rbit5FCpV2mx5LhQYE2rgrLvw8Vq&#10;+CqHR/zdpx/KTjYvYdem58vnWuvnbrucggjUhv/wo701GkbqbQz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xBy8YAAADdAAAADwAAAAAAAAAAAAAAAACYAgAAZHJz&#10;L2Rvd25yZXYueG1sUEsFBgAAAAAEAAQA9QAAAIsDAAAAAA==&#10;">
                    <v:path/>
                    <v:fill on="f" focussize="0,0"/>
                    <v:stroke/>
                    <v:imagedata o:title=""/>
                    <o:lock v:ext="edit"/>
                  </v:rect>
                  <v:line id="Line 1167" o:spid="_x0000_s2171" o:spt="20" style="position:absolute;left:4407;top:7601;height:0;width:259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AOsgAAADdAAAADwAAAGRycy9kb3ducmV2LnhtbESPQWvCQBSE74L/YXlCb7ppK2lJXUVa&#10;CtqDqC20x2f2NYlm34bdNUn/vSsIPQ4z8w0zW/SmFi05X1lWcD9JQBDnVldcKPj6fB8/g/ABWWNt&#10;mRT8kYfFfDiYYaZtxztq96EQEcI+QwVlCE0mpc9LMugntiGO3q91BkOUrpDaYRfhppYPSZJKgxXH&#10;hRIbei0pP+3PRsHmcZu2y/XHqv9ep4f8bXf4OXZOqbtRv3wBEagP/+Fbe6UVTJOn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NAOsgAAADdAAAADwAAAAAA&#10;AAAAAAAAAAChAgAAZHJzL2Rvd25yZXYueG1sUEsFBgAAAAAEAAQA+QAAAJYDAAAAAA==&#10;">
                    <v:path arrowok="t"/>
                    <v:fill focussize="0,0"/>
                    <v:stroke/>
                    <v:imagedata o:title=""/>
                    <o:lock v:ext="edit"/>
                  </v:line>
                  <v:rect id="Rectangle 1169" o:spid="_x0000_s2172" o:spt="1" style="position:absolute;left:6988;top:6732;height:1648;width:1728;"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uVcIA&#10;AADdAAAADwAAAGRycy9kb3ducmV2LnhtbERPPW/CMBDdkfgP1iGxgV2K2hIwCFGB6AhhYTviIwmN&#10;z1FsIPDr66ES49P7ni1aW4kbNb50rOFtqEAQZ86UnGs4pOvBFwgfkA1WjknDgzws5t3ODBPj7ryj&#10;2z7kIoawT1BDEUKdSOmzgiz6oauJI3d2jcUQYZNL0+A9httKjpT6kBZLjg0F1rQqKPvdX62GUzk6&#10;4HOXbpSdrN/DT5tersdvrfu9djkFEagNL/G/e2s0jNVnnBv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e5VwgAAAN0AAAAPAAAAAAAAAAAAAAAAAJgCAABkcnMvZG93&#10;bnJldi54bWxQSwUGAAAAAAQABAD1AAAAhwMAAAAA&#10;">
                    <v:path/>
                    <v:fill on="f" focussize="0,0"/>
                    <v:stroke/>
                    <v:imagedata o:title=""/>
                    <o:lock v:ext="edit"/>
                  </v:rect>
                  <v:rect id="Rectangle 1170" o:spid="_x0000_s2173" o:spt="1" style="position:absolute;left:7142;top:6909;height:1318;width:345;"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zsUA&#10;AADdAAAADwAAAGRycy9kb3ducmV2LnhtbESPwW7CMBBE70j8g7VIvYFdQFBSDEIgqnKEcOltG2+T&#10;tPE6ig2Efj1GQuI4mpk3mvmytZU4U+NLxxpeBwoEceZMybmGY7rtv4HwAdlg5Zg0XMnDctHtzDEx&#10;7sJ7Oh9CLiKEfYIaihDqREqfFWTRD1xNHL0f11gMUTa5NA1eItxWcqjURFosOS4UWNO6oOzvcLIa&#10;vsvhEf/36Yeys+0o7Nr09/S10fql167eQQRqwzP8aH8aDWM1nc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UvOxQAAAN0AAAAPAAAAAAAAAAAAAAAAAJgCAABkcnMv&#10;ZG93bnJldi54bWxQSwUGAAAAAAQABAD1AAAAigMAAAAA&#10;">
                    <v:path/>
                    <v:fill on="f" focussize="0,0"/>
                    <v:stroke/>
                    <v:imagedata o:title=""/>
                    <o:lock v:ext="edit"/>
                  </v:rect>
                  <v:rect id="Rectangle 1171" o:spid="_x0000_s2174" o:spt="1" style="position:absolute;left:8012;top:6909;height:1312;width:51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SdMMA&#10;AADdAAAADwAAAGRycy9kb3ducmV2LnhtbERPPW/CMBDdK/EfrEPqVmzSqqIBgxBVqnaEsHQ74iMJ&#10;xOcodkLaX18PlRif3vdqM9pGDNT52rGG+UyBIC6cqbnUcMyzpwUIH5ANNo5Jww952KwnDytMjbvx&#10;noZDKEUMYZ+ihiqENpXSFxVZ9DPXEkfu7DqLIcKulKbDWwy3jUyUepUWa44NFba0q6i4Hnqr4VQn&#10;R/zd5x/KvmXP4WvML/33u9aP03G7BBFoDHfxv/vTaHhRi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6SdMMAAADdAAAADwAAAAAAAAAAAAAAAACYAgAAZHJzL2Rv&#10;d25yZXYueG1sUEsFBgAAAAAEAAQA9QAAAIgDAAAAAA==&#10;">
                    <v:path/>
                    <v:fill on="f" focussize="0,0"/>
                    <v:stroke/>
                    <v:imagedata o:title=""/>
                    <o:lock v:ext="edit"/>
                  </v:rect>
                  <v:rect id="Rectangle 1172" o:spid="_x0000_s2175" o:spt="1" style="position:absolute;left:7660;top:7404;height:268;width:17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378UA&#10;AADdAAAADwAAAGRycy9kb3ducmV2LnhtbESPQWvCQBSE74L/YXlCb7qrFrGpq4hiqUdNLr29Zl+T&#10;aPZtyK6a9te7gtDjMDPfMItVZ2txpdZXjjWMRwoEce5MxYWGLN0N5yB8QDZYOyYNv+Rhtez3FpgY&#10;d+MDXY+hEBHCPkENZQhNIqXPS7LoR64hjt6Pay2GKNtCmhZvEW5rOVFqJi1WHBdKbGhTUn4+XqyG&#10;72qS4d8h/VD2bTcN+y49Xb62Wr8MuvU7iEBd+A8/259Gw6uaj+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jfvxQAAAN0AAAAPAAAAAAAAAAAAAAAAAJgCAABkcnMv&#10;ZG93bnJldi54bWxQSwUGAAAAAAQABAD1AAAAigMAAAAA&#10;">
                    <v:path/>
                    <v:fill on="f" focussize="0,0"/>
                    <v:stroke/>
                    <v:imagedata o:title=""/>
                    <o:lock v:ext="edit"/>
                  </v:rect>
                  <v:shape id="Text Box 1173" o:spid="_x0000_s2176" o:spt="202" type="#_x0000_t202" style="position:absolute;left:3705;top:6829;height:1392;width:519;"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oqMYA&#10;AADdAAAADwAAAGRycy9kb3ducmV2LnhtbESPQWvCQBSE74X+h+UVvJS6qYqN0VVEaLE3m5Z6fWSf&#10;STD7Nt1dY/z3rlDwOMzMN8xi1ZtGdOR8bVnB6zABQVxYXXOp4Of7/SUF4QOyxsYyKbiQh9Xy8WGB&#10;mbZn/qIuD6WIEPYZKqhCaDMpfVGRQT+0LXH0DtYZDFG6UmqH5wg3jRwlyVQarDkuVNjSpqLimJ+M&#10;gnSy7fb+c7z7LaaHZhae37qPP6fU4Klfz0EE6sM9/N/eagWTJB3B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oqMYAAADdAAAADwAAAAAAAAAAAAAAAACYAgAAZHJz&#10;L2Rvd25yZXYueG1sUEsFBgAAAAAEAAQA9QAAAIsDAAAAAA==&#10;">
                    <v:path/>
                    <v:fill on="f" focussize="0,0"/>
                    <v:stroke joinstyle="miter"/>
                    <v:imagedata o:title=""/>
                    <o:lock v:ext="edit"/>
                    <v:textbox>
                      <w:txbxContent>
                        <w:p>
                          <w:pPr>
                            <w:rPr>
                              <w:rFonts w:eastAsia="宋体"/>
                              <w:spacing w:val="-20"/>
                              <w:sz w:val="18"/>
                              <w:szCs w:val="18"/>
                            </w:rPr>
                          </w:pPr>
                          <w:r>
                            <w:rPr>
                              <w:rFonts w:hint="eastAsia" w:eastAsia="宋体"/>
                              <w:spacing w:val="-20"/>
                              <w:sz w:val="18"/>
                              <w:szCs w:val="18"/>
                            </w:rPr>
                            <w:t>配电装置</w:t>
                          </w:r>
                        </w:p>
                      </w:txbxContent>
                    </v:textbox>
                  </v:shape>
                  <v:shape id="Text Box 1174" o:spid="_x0000_s2177" o:spt="202" type="#_x0000_t202" style="position:absolute;left:2818;top:6869;height:1392;width:51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9NcUA&#10;AADdAAAADwAAAGRycy9kb3ducmV2LnhtbESPW4vCMBSE34X9D+Es7NuarJdFq1EWRfBJWW/g26E5&#10;tsXmpDRZW/+9ERZ8HGbmG2Y6b20pblT7wrGGr64CQZw6U3Cm4bBffY5A+IBssHRMGu7kYT5760wx&#10;Ma7hX7rtQiYihH2CGvIQqkRKn+Zk0XddRRy9i6sthijrTJoamwi3pewp9S0tFhwXcqxokVN63f1Z&#10;DcfN5XwaqG22tMOqca2SbMdS64/39mcCIlAbXuH/9tpoGKhRH5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n01xQAAAN0AAAAPAAAAAAAAAAAAAAAAAJgCAABkcnMv&#10;ZG93bnJldi54bWxQSwUGAAAAAAQABAD1AAAAigMAAAAA&#10;">
                    <v:path/>
                    <v:fill on="f" focussize="0,0"/>
                    <v:stroke on="f" joinstyle="miter"/>
                    <v:imagedata o:title=""/>
                    <o:lock v:ext="edit"/>
                    <v:textbox>
                      <w:txbxContent>
                        <w:p>
                          <w:pPr>
                            <w:rPr>
                              <w:rFonts w:eastAsia="宋体"/>
                              <w:spacing w:val="-20"/>
                              <w:sz w:val="18"/>
                              <w:szCs w:val="18"/>
                            </w:rPr>
                          </w:pPr>
                          <w:r>
                            <w:rPr>
                              <w:rFonts w:hint="eastAsia" w:eastAsia="宋体"/>
                              <w:spacing w:val="-20"/>
                              <w:sz w:val="18"/>
                              <w:szCs w:val="18"/>
                            </w:rPr>
                            <w:t>配电装置</w:t>
                          </w:r>
                        </w:p>
                      </w:txbxContent>
                    </v:textbox>
                  </v:shape>
                  <v:shape id="Text Box 1175" o:spid="_x0000_s2178" o:spt="202" type="#_x0000_t202" style="position:absolute;left:7077;top:6829;height:1392;width:51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cQA&#10;AADdAAAADwAAAGRycy9kb3ducmV2LnhtbESPT4vCMBTE74LfITzBmyYuXdFqFFkR9rSLf8Hbo3m2&#10;xealNNF2v/1mYcHjMDO/YZbrzlbiSY0vHWuYjBUI4syZknMNp+NuNAPhA7LByjFp+CEP61W/t8TU&#10;uJb39DyEXEQI+xQ1FCHUqZQ+K8iiH7uaOHo311gMUTa5NA22EW4r+abUVFosOS4UWNNHQdn98LAa&#10;zl+36yVR3/nWvtet65RkO5daDwfdZgEiUBde4f/2p9GQqFk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UHEAAAA3QAAAA8AAAAAAAAAAAAAAAAAmAIAAGRycy9k&#10;b3ducmV2LnhtbFBLBQYAAAAABAAEAPUAAACJAwAAAAA=&#10;">
                    <v:path/>
                    <v:fill on="f" focussize="0,0"/>
                    <v:stroke on="f" joinstyle="miter"/>
                    <v:imagedata o:title=""/>
                    <o:lock v:ext="edit"/>
                    <v:textbox>
                      <w:txbxContent>
                        <w:p>
                          <w:pPr>
                            <w:rPr>
                              <w:rFonts w:eastAsia="宋体"/>
                              <w:spacing w:val="-20"/>
                              <w:sz w:val="18"/>
                              <w:szCs w:val="18"/>
                            </w:rPr>
                          </w:pPr>
                          <w:r>
                            <w:rPr>
                              <w:rFonts w:hint="eastAsia" w:eastAsia="宋体"/>
                              <w:spacing w:val="-20"/>
                              <w:sz w:val="18"/>
                              <w:szCs w:val="18"/>
                            </w:rPr>
                            <w:t>配电装置</w:t>
                          </w:r>
                        </w:p>
                      </w:txbxContent>
                    </v:textbox>
                  </v:shape>
                  <v:shape id="Text Box 1176" o:spid="_x0000_s2179" o:spt="202" type="#_x0000_t202" style="position:absolute;left:8025;top:6814;height:1392;width:51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A2sMA&#10;AADdAAAADwAAAGRycy9kb3ducmV2LnhtbESPQYvCMBSE78L+h/AWvGmyoqJdo4gieFLUXWFvj+bZ&#10;lm1eShNt/fdGEDwOM/MNM1u0thQ3qn3hWMNXX4EgTp0pONPwc9r0JiB8QDZYOiYNd/KwmH90ZpgY&#10;1/CBbseQiQhhn6CGPIQqkdKnOVn0fVcRR+/iaoshyjqTpsYmwm0pB0qNpcWC40KOFa1ySv+PV6vh&#10;d3f5Ow/VPlvbUdW4Vkm2U6l197NdfoMI1IZ3+NXeGg1DNRnB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A2sMAAADdAAAADwAAAAAAAAAAAAAAAACYAgAAZHJzL2Rv&#10;d25yZXYueG1sUEsFBgAAAAAEAAQA9QAAAIgDAAAAAA==&#10;">
                    <v:path/>
                    <v:fill on="f" focussize="0,0"/>
                    <v:stroke on="f" joinstyle="miter"/>
                    <v:imagedata o:title=""/>
                    <o:lock v:ext="edit"/>
                    <v:textbox>
                      <w:txbxContent>
                        <w:p>
                          <w:pPr>
                            <w:rPr>
                              <w:rFonts w:eastAsia="宋体"/>
                              <w:spacing w:val="-20"/>
                              <w:sz w:val="18"/>
                              <w:szCs w:val="18"/>
                            </w:rPr>
                          </w:pPr>
                          <w:r>
                            <w:rPr>
                              <w:rFonts w:hint="eastAsia" w:eastAsia="宋体"/>
                              <w:spacing w:val="-20"/>
                              <w:sz w:val="18"/>
                              <w:szCs w:val="18"/>
                            </w:rPr>
                            <w:t>配电装置</w:t>
                          </w:r>
                        </w:p>
                      </w:txbxContent>
                    </v:textbox>
                  </v:shape>
                  <v:shape id="Text Box 1177" o:spid="_x0000_s2180" o:spt="202" type="#_x0000_t202" style="position:absolute;left:5159;top:7107;height:494;width:120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ercUA&#10;AADdAAAADwAAAGRycy9kb3ducmV2LnhtbESPQWvCQBSE70L/w/IKveluiw2augliKfSkGFuht0f2&#10;mYRm34bs1sR/3xUEj8PMfMOs8tG24ky9bxxreJ4pEMSlMw1XGr4OH9MFCB+QDbaOScOFPOTZw2SF&#10;qXED7+lchEpECPsUNdQhdKmUvqzJop+5jjh6J9dbDFH2lTQ9DhFuW/miVCItNhwXauxoU1P5W/xZ&#10;Dd/b089xrnbVu33tBjcqyXYptX56HNdvIAKN4R6+tT+NhrlaJH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d6txQAAAN0AAAAPAAAAAAAAAAAAAAAAAJgCAABkcnMv&#10;ZG93bnJldi54bWxQSwUGAAAAAAQABAD1AAAAigMAAAAA&#10;">
                    <v:path/>
                    <v:fill on="f" focussize="0,0"/>
                    <v:stroke on="f" joinstyle="miter"/>
                    <v:imagedata o:title=""/>
                    <o:lock v:ext="edit"/>
                    <v:textbox>
                      <w:txbxContent>
                        <w:p>
                          <w:r>
                            <w:rPr>
                              <w:rFonts w:hint="eastAsia" w:eastAsia="宋体"/>
                              <w:sz w:val="21"/>
                            </w:rPr>
                            <w:t>输电线路</w:t>
                          </w:r>
                        </w:p>
                      </w:txbxContent>
                    </v:textbox>
                  </v:shape>
                  <v:rect id="Rectangle 1178" o:spid="_x0000_s2181" o:spt="1" style="position:absolute;left:2490;top:6411;height:2307;width:6393;"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l9cMA&#10;AADdAAAADwAAAGRycy9kb3ducmV2LnhtbESPzWoCMRSF94W+Q7iFboomFpkOo1FKUXBVqArdXpLr&#10;zGByMyRRx7dvCoUuD+fn4yzXo3fiSjH1gTXMpgoEsQm251bD8bCd1CBSRrboApOGOyVYrx4fltjY&#10;cOMvuu5zK8oIpwY1dDkPjZTJdOQxTcNAXLxTiB5zkbGVNuKtjHsnX5WqpMeeC6HDgT46Muf9xReI&#10;2VyU27nPLd+/q1zNTXzhWuvnp/F9ASLTmP/Df+2d1TBX9Rv8vi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Ll9cMAAADdAAAADwAAAAAAAAAAAAAAAACYAgAAZHJzL2Rv&#10;d25yZXYueG1sUEsFBgAAAAAEAAQA9QAAAIgDAAAAAA==&#10;">
                    <v:path/>
                    <v:fill on="f" focussize="0,0"/>
                    <v:stroke dashstyle="dash"/>
                    <v:imagedata o:title=""/>
                    <o:lock v:ext="edit"/>
                  </v:rect>
                  <v:line id="Line 1179" o:spid="_x0000_s2182" o:spt="20" style="position:absolute;left:4217;top:8715;height:82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U4MIAAADdAAAADwAAAGRycy9kb3ducmV2LnhtbERPy2oCMRTdC/5DuEJ3mlHEx2iU0kHo&#10;ohbU0vV1cjsZOrkZJnFM/94shC4P573dR9uInjpfO1YwnWQgiEuna64UfF0O4xUIH5A1No5JwR95&#10;2O+Ggy3m2t35RP05VCKFsM9RgQmhzaX0pSGLfuJa4sT9uM5iSLCrpO7wnsJtI2dZtpAWa04NBlt6&#10;M1T+nm9WwdIUJ7mUxcfls+jr6Toe4/d1rdTLKL5uQASK4V/8dL9rBfNsleamN+kJ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mU4MIAAADdAAAADwAAAAAAAAAAAAAA&#10;AAChAgAAZHJzL2Rvd25yZXYueG1sUEsFBgAAAAAEAAQA+QAAAJADAAAAAA==&#10;">
                    <v:path arrowok="t"/>
                    <v:fill focussize="0,0"/>
                    <v:stroke endarrow="block"/>
                    <v:imagedata o:title=""/>
                    <o:lock v:ext="edit"/>
                  </v:line>
                  <v:line id="Line 1180" o:spid="_x0000_s2183" o:spt="20" style="position:absolute;left:5260;top:8709;height:82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xe8YAAADdAAAADwAAAGRycy9kb3ducmV2LnhtbESPzWrDMBCE74W8g9hAb42cUprYiRJC&#10;TKGHtpAfct5YG8vEWhlLddS3rwqFHIeZ+YZZrqNtxUC9bxwrmE4yEMSV0w3XCo6Ht6c5CB+QNbaO&#10;ScEPeVivRg9LLLS78Y6GfahFgrAvUIEJoSuk9JUhi37iOuLkXVxvMSTZ11L3eEtw28rnLHuVFhtO&#10;CwY72hqqrvtvq2Bmyp2cyfLj8FUOzTSPn/F0zpV6HMfNAkSgGO7h//a7VvCSzX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1MXvGAAAA3QAAAA8AAAAAAAAA&#10;AAAAAAAAoQIAAGRycy9kb3ducmV2LnhtbFBLBQYAAAAABAAEAPkAAACUAwAAAAA=&#10;">
                    <v:path arrowok="t"/>
                    <v:fill focussize="0,0"/>
                    <v:stroke endarrow="block"/>
                    <v:imagedata o:title=""/>
                    <o:lock v:ext="edit"/>
                  </v:line>
                  <v:line id="Line 1181" o:spid="_x0000_s2184" o:spt="20" style="position:absolute;left:6297;top:8709;height:82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OO8MAAADdAAAADwAAAGRycy9kb3ducmV2LnhtbERPW2vCMBR+H+w/hDPY20yVobYaRSyD&#10;PWwDL/h8bI5NsTkpTazZvzcPgz1+fPflOtpWDNT7xrGC8SgDQVw53XCt4Hj4eJuD8AFZY+uYFPyS&#10;h/Xq+WmJhXZ33tGwD7VIIewLVGBC6AopfWXIoh+5jjhxF9dbDAn2tdQ93lO4beUky6bSYsOpwWBH&#10;W0PVdX+zCmam3MmZLL8OP+XQjPP4HU/nXKnXl7hZgAgUw7/4z/2pFbxnedqf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DjvDAAAA3QAAAA8AAAAAAAAAAAAA&#10;AAAAoQIAAGRycy9kb3ducmV2LnhtbFBLBQYAAAAABAAEAPkAAACRAwAAAAA=&#10;">
                    <v:path arrowok="t"/>
                    <v:fill focussize="0,0"/>
                    <v:stroke endarrow="block"/>
                    <v:imagedata o:title=""/>
                    <o:lock v:ext="edit"/>
                  </v:line>
                  <v:shape id="Text Box 1183" o:spid="_x0000_s2185" o:spt="202" type="#_x0000_t202" style="position:absolute;left:3794;top:9488;height:1166;width:69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abMcA&#10;AADdAAAADwAAAGRycy9kb3ducmV2LnhtbESPQWvCQBSE70L/w/IKvelGEdHUVdKCID0Eanvw+JJ9&#10;TUKzb9PdjUZ/vVsQPA4z8w2z3g6mFSdyvrGsYDpJQBCXVjdcKfj+2o2XIHxA1thaJgUX8rDdPI3W&#10;mGp75k86HUIlIoR9igrqELpUSl/WZNBPbEccvR/rDIYoXSW1w3OEm1bOkmQhDTYcF2rs6L2m8vfQ&#10;GwX77Nj/9S6fr67Ha5YXxUf+ViyUenkeslcQgYbwCN/be61gnqym8P8mPg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mmzHAAAA3QAAAA8AAAAAAAAAAAAAAAAAmAIAAGRy&#10;cy9kb3ducmV2LnhtbFBLBQYAAAAABAAEAPUAAACMAwAAAAA=&#10;">
                    <v:path/>
                    <v:fill on="f" focussize="0,0"/>
                    <v:stroke on="f" joinstyle="miter"/>
                    <v:imagedata o:title=""/>
                    <o:lock v:ext="edit"/>
                    <v:textbox style="layout-flow:vertical-ideographic;">
                      <w:txbxContent>
                        <w:p>
                          <w:r>
                            <w:rPr>
                              <w:rFonts w:hint="eastAsia" w:eastAsia="宋体"/>
                              <w:sz w:val="21"/>
                            </w:rPr>
                            <w:t>工频电场</w:t>
                          </w:r>
                        </w:p>
                      </w:txbxContent>
                    </v:textbox>
                  </v:shape>
                  <v:shape id="Text Box 1184" o:spid="_x0000_s2186" o:spt="202" type="#_x0000_t202" style="position:absolute;left:4859;top:9526;height:1166;width:69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EG8cA&#10;AADdAAAADwAAAGRycy9kb3ducmV2LnhtbESPQWvCQBSE7wX/w/KE3uqmImKiq6SFgvQQqO3B40v2&#10;mYRm36a7G0399d2C4HGYmW+YzW40nTiT861lBc+zBARxZXXLtYKvz7enFQgfkDV2lknBL3nYbScP&#10;G8y0vfAHnQ+hFhHCPkMFTQh9JqWvGjLoZ7Ynjt7JOoMhSldL7fAS4aaT8yRZSoMtx4UGe3ptqPo+&#10;DEbBPj8OP4MrFun1eM2LsnwvXsqlUo/TMV+DCDSGe/jW3msFiySdw/+b+AT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BBvHAAAA3QAAAA8AAAAAAAAAAAAAAAAAmAIAAGRy&#10;cy9kb3ducmV2LnhtbFBLBQYAAAAABAAEAPUAAACMAwAAAAA=&#10;">
                    <v:path/>
                    <v:fill on="f" focussize="0,0"/>
                    <v:stroke on="f" joinstyle="miter"/>
                    <v:imagedata o:title=""/>
                    <o:lock v:ext="edit"/>
                    <v:textbox style="layout-flow:vertical-ideographic;">
                      <w:txbxContent>
                        <w:p>
                          <w:pPr>
                            <w:rPr>
                              <w:rFonts w:eastAsia="宋体"/>
                              <w:sz w:val="21"/>
                            </w:rPr>
                          </w:pPr>
                          <w:r>
                            <w:rPr>
                              <w:rFonts w:hint="eastAsia" w:eastAsia="宋体"/>
                              <w:sz w:val="21"/>
                            </w:rPr>
                            <w:t>工频磁场</w:t>
                          </w:r>
                        </w:p>
                      </w:txbxContent>
                    </v:textbox>
                  </v:shape>
                  <v:shape id="Text Box 1185" o:spid="_x0000_s2187" o:spt="202" type="#_x0000_t202" style="position:absolute;left:5877;top:9526;height:1661;width:69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hgMgA&#10;AADdAAAADwAAAGRycy9kb3ducmV2LnhtbESPQWvCQBSE74X+h+UVequbWpGaukoUBPEQ0Pbg8SX7&#10;moRm36a7G43++m5B8DjMzDfMfDmYVpzI+caygtdRAoK4tLrhSsHX5+blHYQPyBpby6TgQh6Wi8eH&#10;OabannlPp0OoRISwT1FBHUKXSunLmgz6ke2Io/dtncEQpaukdniOcNPKcZJMpcGG40KNHa1rKn8O&#10;vVGwzY79b+/yyex6vGZ5UezyVTFV6vlpyD5ABBrCPXxrb7WCSTJ7g/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qGAyAAAAN0AAAAPAAAAAAAAAAAAAAAAAJgCAABk&#10;cnMvZG93bnJldi54bWxQSwUGAAAAAAQABAD1AAAAjQMAAAAA&#10;">
                    <v:path/>
                    <v:fill on="f" focussize="0,0"/>
                    <v:stroke on="f" joinstyle="miter"/>
                    <v:imagedata o:title=""/>
                    <o:lock v:ext="edit"/>
                    <v:textbox style="layout-flow:vertical-ideographic;">
                      <w:txbxContent>
                        <w:p>
                          <w:pPr>
                            <w:rPr>
                              <w:rFonts w:eastAsia="宋体"/>
                              <w:sz w:val="21"/>
                            </w:rPr>
                          </w:pPr>
                        </w:p>
                      </w:txbxContent>
                    </v:textbox>
                  </v:shape>
                  <v:shape id="Text Box 1186" o:spid="_x0000_s2188" o:spt="202" type="#_x0000_t202" style="position:absolute;left:5908;top:9462;height:1660;width:69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59McA&#10;AADdAAAADwAAAGRycy9kb3ducmV2LnhtbESPQWvCQBSE74X+h+UVequbShBNXSUVBOkhUNuDx5fs&#10;axKafRt3Nxr99W5B6HGYmW+Y5Xo0nTiR861lBa+TBARxZXXLtYLvr+3LHIQPyBo7y6TgQh7Wq8eH&#10;JWbanvmTTvtQiwhhn6GCJoQ+k9JXDRn0E9sTR+/HOoMhSldL7fAc4aaT0ySZSYMtx4UGe9o0VP3u&#10;B6Nglx+G4+CKdHE9XPOiLD+K93Km1PPTmL+BCDSG//C9vdMK0mSRwt+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OfTHAAAA3QAAAA8AAAAAAAAAAAAAAAAAmAIAAGRy&#10;cy9kb3ducmV2LnhtbFBLBQYAAAAABAAEAPUAAACMAwAAAAA=&#10;">
                    <v:path/>
                    <v:fill on="f" focussize="0,0"/>
                    <v:stroke on="f" joinstyle="miter"/>
                    <v:imagedata o:title=""/>
                    <o:lock v:ext="edit"/>
                    <v:textbox style="layout-flow:vertical-ideographic;">
                      <w:txbxContent>
                        <w:p>
                          <w:pPr>
                            <w:rPr>
                              <w:rFonts w:eastAsia="宋体"/>
                              <w:sz w:val="21"/>
                            </w:rPr>
                          </w:pPr>
                          <w:r>
                            <w:rPr>
                              <w:rFonts w:hint="eastAsia" w:eastAsia="宋体"/>
                              <w:sz w:val="21"/>
                            </w:rPr>
                            <w:t>电磁性噪声</w:t>
                          </w:r>
                        </w:p>
                      </w:txbxContent>
                    </v:textbox>
                  </v:shape>
                  <v:line id="Line 1187" o:spid="_x0000_s2189" o:spt="20" style="position:absolute;left:3526;top:7549;height:0;width:17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bxW8QAAADdAAAADwAAAGRycy9kb3ducmV2LnhtbESPQWsCMRSE74L/ITzBmyYWLXU1igiF&#10;PejBtbTXx+Z1s3Tzsm6ibv99Iwg9DjPfDLPe9q4RN+pC7VnDbKpAEJfe1Fxp+Di/T95AhIhssPFM&#10;Gn4pwHYzHKwxM/7OJ7oVsRKphEOGGmyMbSZlKC05DFPfEifv23cOY5JdJU2H91TuGvmi1Kt0WHNa&#10;sNjS3lL5U1ydhvkxt+arP4TDSeWfVF/m+0vhtR6P+t0KRKQ+/oefdG4Sp5YLeLx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VvFbxAAAAN0AAAAPAAAAAAAAAAAA&#10;AAAAAKECAABkcnMvZG93bnJldi54bWxQSwUGAAAAAAQABAD5AAAAkgMAAAAA&#10;">
                    <v:path arrowok="t"/>
                    <v:fill focussize="0,0"/>
                    <v:stroke weight="2.25pt"/>
                    <v:imagedata o:title=""/>
                    <o:lock v:ext="edit"/>
                  </v:line>
                  <v:line id="Line 1188" o:spid="_x0000_s2190" o:spt="20" style="position:absolute;left:3187;top:7556;height:0;width:17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path arrowok="t"/>
                    <v:fill focussize="0,0"/>
                    <v:stroke/>
                    <v:imagedata o:title=""/>
                    <o:lock v:ext="edit"/>
                  </v:line>
                  <v:line id="Line 1189" o:spid="_x0000_s2191" o:spt="20" style="position:absolute;left:7506;top:7556;height:0;width:17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Bi8UAAADdAAAADwAAAGRycy9kb3ducmV2LnhtbESPQWvCQBCF7wX/wzJCb3WjqEjqKkUQ&#10;ctCDsdTrkJ1mQ7OzMbvV+O+dQ6G3Gd6b975Zbwffqhv1sQlsYDrJQBFXwTZcG/g8799WoGJCttgG&#10;JgMPirDdjF7WmNtw5xPdylQrCeGYowGXUpdrHStHHuMkdMSifYfeY5K1r7Xt8S7hvtWzLFtqjw1L&#10;g8OOdo6qn/LXG5gfC2cvwyEeTlnxRc11vruWwZjX8fDxDirRkP7Nf9eFFfzZQvjlGxlBb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IBi8UAAADdAAAADwAAAAAAAAAA&#10;AAAAAAChAgAAZHJzL2Rvd25yZXYueG1sUEsFBgAAAAAEAAQA+QAAAJMDAAAAAA==&#10;">
                    <v:path arrowok="t"/>
                    <v:fill focussize="0,0"/>
                    <v:stroke weight="2.25pt"/>
                    <v:imagedata o:title=""/>
                    <o:lock v:ext="edit"/>
                  </v:line>
                  <v:line id="Line 1190" o:spid="_x0000_s2192" o:spt="20" style="position:absolute;left:7852;top:7556;height:0;width:17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path arrowok="t"/>
                    <v:fill focussize="0,0"/>
                    <v:stroke/>
                    <v:imagedata o:title=""/>
                    <o:lock v:ext="edit"/>
                  </v:line>
                  <v:shape id="Text Box 1191" o:spid="_x0000_s2193" o:spt="202" type="#_x0000_t202" style="position:absolute;left:3197;top:7643;height:802;width:53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XU8YA&#10;AADdAAAADwAAAGRycy9kb3ducmV2LnhtbERPTWvCQBC9F/oflil4q5sGlTZ1lbQgiIeAtgePk+w0&#10;Cc3Oprsbjf76bkHobR7vc5br0XTiRM63lhU8TRMQxJXVLdcKPj82j88gfEDW2FkmBRfysF7d3y0x&#10;0/bMezodQi1iCPsMFTQh9JmUvmrIoJ/anjhyX9YZDBG6WmqH5xhuOpkmyUIabDk2NNjTe0PV92Ew&#10;Crb5cfgZXDF7uR6veVGWu+KtXCg1eRjzVxCBxvAvvrm3Os5P5yn8fRN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VXU8YAAADdAAAADwAAAAAAAAAAAAAAAACYAgAAZHJz&#10;L2Rvd25yZXYueG1sUEsFBgAAAAAEAAQA9QAAAIsDAAAAAA==&#10;">
                    <v:path/>
                    <v:fill on="f" focussize="0,0"/>
                    <v:stroke on="f" joinstyle="miter"/>
                    <v:imagedata o:title=""/>
                    <o:lock v:ext="edit"/>
                    <v:textbox style="layout-flow:vertical-ideographic;">
                      <w:txbxContent>
                        <w:p>
                          <w:pPr>
                            <w:rPr>
                              <w:rFonts w:eastAsia="宋体"/>
                              <w:sz w:val="21"/>
                            </w:rPr>
                          </w:pPr>
                          <w:r>
                            <w:rPr>
                              <w:rFonts w:hint="eastAsia" w:eastAsia="宋体"/>
                              <w:sz w:val="21"/>
                            </w:rPr>
                            <w:t>主变</w:t>
                          </w:r>
                        </w:p>
                      </w:txbxContent>
                    </v:textbox>
                  </v:shape>
                  <v:shape id="Text Box 1195" o:spid="_x0000_s2194" o:spt="202" type="#_x0000_t202" style="position:absolute;left:7490;top:7628;height:801;width:53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PJ8UA&#10;AADdAAAADwAAAGRycy9kb3ducmV2LnhtbERPTWvCQBC9C/0PyxR6002lSpu6SioI0kNA24PHSXaa&#10;hGZn092Npv56VxC8zeN9zmI1mFYcyfnGsoLnSQKCuLS64UrB99dm/ArCB2SNrWVS8E8eVsuH0QJT&#10;bU+8o+M+VCKGsE9RQR1Cl0rpy5oM+ontiCP3Y53BEKGrpHZ4iuGmldMkmUuDDceGGjta11T+7nuj&#10;YJsd+r/e5S9v58M5y4viM/8o5ko9PQ7ZO4hAQ7iLb+6tjvOnsxlcv4kn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M8nxQAAAN0AAAAPAAAAAAAAAAAAAAAAAJgCAABkcnMv&#10;ZG93bnJldi54bWxQSwUGAAAAAAQABAD1AAAAigMAAAAA&#10;">
                    <v:path/>
                    <v:fill on="f" focussize="0,0"/>
                    <v:stroke on="f" joinstyle="miter"/>
                    <v:imagedata o:title=""/>
                    <o:lock v:ext="edit"/>
                    <v:textbox style="layout-flow:vertical-ideographic;">
                      <w:txbxContent>
                        <w:p>
                          <w:pPr>
                            <w:rPr>
                              <w:rFonts w:eastAsia="宋体"/>
                              <w:sz w:val="21"/>
                            </w:rPr>
                          </w:pPr>
                          <w:r>
                            <w:rPr>
                              <w:rFonts w:hint="eastAsia" w:eastAsia="宋体"/>
                              <w:sz w:val="21"/>
                            </w:rPr>
                            <w:t>主变</w:t>
                          </w:r>
                        </w:p>
                      </w:txbxContent>
                    </v:textbox>
                  </v:shape>
                </v:group>
              </w:pict>
            </w:r>
          </w:p>
          <w:p>
            <w:pPr>
              <w:pStyle w:val="7"/>
              <w:spacing w:line="360" w:lineRule="auto"/>
              <w:ind w:left="560" w:leftChars="0" w:firstLine="562"/>
              <w:rPr>
                <w:rFonts w:eastAsia="宋体"/>
                <w:szCs w:val="18"/>
              </w:rPr>
            </w:pPr>
          </w:p>
          <w:p>
            <w:pPr>
              <w:pStyle w:val="7"/>
              <w:spacing w:line="360" w:lineRule="auto"/>
              <w:ind w:left="560" w:leftChars="0" w:firstLine="562"/>
              <w:rPr>
                <w:rFonts w:eastAsia="宋体"/>
                <w:szCs w:val="18"/>
              </w:rPr>
            </w:pPr>
          </w:p>
          <w:p>
            <w:pPr>
              <w:rPr>
                <w:rFonts w:eastAsia="宋体"/>
                <w:b/>
                <w:bCs/>
              </w:rPr>
            </w:pPr>
          </w:p>
          <w:p>
            <w:pPr>
              <w:rPr>
                <w:rFonts w:eastAsia="宋体"/>
                <w:b/>
                <w:bCs/>
              </w:rPr>
            </w:pPr>
          </w:p>
          <w:p>
            <w:pPr>
              <w:rPr>
                <w:rFonts w:eastAsia="宋体"/>
                <w:b/>
                <w:bCs/>
              </w:rPr>
            </w:pPr>
          </w:p>
          <w:p>
            <w:pPr>
              <w:pStyle w:val="4"/>
              <w:jc w:val="center"/>
              <w:rPr>
                <w:rFonts w:ascii="黑体" w:hAnsi="黑体"/>
                <w:sz w:val="24"/>
                <w:szCs w:val="21"/>
              </w:rPr>
            </w:pPr>
          </w:p>
          <w:p>
            <w:pPr>
              <w:pStyle w:val="4"/>
              <w:jc w:val="center"/>
              <w:rPr>
                <w:rFonts w:ascii="Times New Roman" w:hAnsi="Times New Roman"/>
                <w:sz w:val="24"/>
                <w:szCs w:val="21"/>
              </w:rPr>
            </w:pPr>
          </w:p>
          <w:p>
            <w:pPr>
              <w:pStyle w:val="4"/>
              <w:spacing w:line="520" w:lineRule="exact"/>
              <w:jc w:val="center"/>
              <w:rPr>
                <w:rFonts w:ascii="Times New Roman" w:hAnsi="Times New Roman"/>
                <w:sz w:val="24"/>
                <w:szCs w:val="21"/>
              </w:rPr>
            </w:pPr>
            <w:r>
              <w:rPr>
                <w:rFonts w:ascii="Times New Roman" w:hAnsi="黑体"/>
                <w:sz w:val="24"/>
                <w:szCs w:val="21"/>
              </w:rPr>
              <w:t>图</w:t>
            </w:r>
            <w:r>
              <w:rPr>
                <w:rFonts w:ascii="Times New Roman" w:hAnsi="Times New Roman"/>
                <w:sz w:val="24"/>
                <w:szCs w:val="21"/>
              </w:rPr>
              <w:t xml:space="preserve">5-1    </w:t>
            </w:r>
            <w:r>
              <w:rPr>
                <w:rFonts w:ascii="Times New Roman" w:hAnsi="黑体"/>
                <w:sz w:val="24"/>
                <w:szCs w:val="21"/>
              </w:rPr>
              <w:t>输变电工程工艺流程及产污图</w:t>
            </w:r>
          </w:p>
          <w:p>
            <w:pPr>
              <w:adjustRightInd w:val="0"/>
              <w:snapToGrid w:val="0"/>
              <w:spacing w:line="520" w:lineRule="exact"/>
              <w:jc w:val="left"/>
              <w:rPr>
                <w:rFonts w:eastAsia="宋体"/>
                <w:b/>
                <w:sz w:val="24"/>
              </w:rPr>
            </w:pPr>
            <w:r>
              <w:rPr>
                <w:rFonts w:hint="eastAsia" w:eastAsia="宋体"/>
                <w:b/>
                <w:sz w:val="24"/>
              </w:rPr>
              <w:t>5.2</w:t>
            </w:r>
            <w:r>
              <w:rPr>
                <w:rFonts w:eastAsia="宋体"/>
                <w:b/>
                <w:sz w:val="24"/>
              </w:rPr>
              <w:t>产污环节分析</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t>输变电工程运行期进行电能电压的转变和电能的输送，其产生的污染因子主要为工频电场、工频磁场及电晕噪声。</w:t>
            </w:r>
            <w:r>
              <w:rPr>
                <w:rFonts w:hint="eastAsia" w:eastAsia="宋体"/>
                <w:spacing w:val="-2"/>
                <w:kern w:val="16"/>
                <w:sz w:val="24"/>
              </w:rPr>
              <w:t>本项目架空线路接入月湾变，因此在月湾变扩建出线间隔，其</w:t>
            </w:r>
            <w:r>
              <w:rPr>
                <w:rFonts w:eastAsia="宋体"/>
                <w:spacing w:val="-2"/>
                <w:kern w:val="16"/>
                <w:sz w:val="24"/>
              </w:rPr>
              <w:t>产生的污染因子主要为工频电场、工频磁场及噪声</w:t>
            </w:r>
            <w:r>
              <w:rPr>
                <w:rFonts w:hint="eastAsia" w:eastAsia="宋体"/>
                <w:spacing w:val="-2"/>
                <w:kern w:val="16"/>
                <w:sz w:val="24"/>
              </w:rPr>
              <w:t>。</w:t>
            </w:r>
          </w:p>
          <w:p>
            <w:pPr>
              <w:pStyle w:val="22"/>
              <w:spacing w:line="520" w:lineRule="exact"/>
              <w:ind w:firstLine="480" w:firstLineChars="200"/>
            </w:pPr>
            <w:r>
              <w:t>因本项目已建设并投入运行，</w:t>
            </w:r>
            <w:r>
              <w:rPr>
                <w:rFonts w:hint="eastAsia"/>
              </w:rPr>
              <w:t>故</w:t>
            </w:r>
            <w:r>
              <w:t>只考虑</w:t>
            </w:r>
            <w:r>
              <w:rPr>
                <w:rFonts w:hint="eastAsia"/>
              </w:rPr>
              <w:t>营运</w:t>
            </w:r>
            <w:r>
              <w:t>期对环境所造成的污染。</w:t>
            </w:r>
          </w:p>
          <w:p>
            <w:pPr>
              <w:pStyle w:val="22"/>
              <w:spacing w:line="520" w:lineRule="exact"/>
              <w:ind w:firstLine="480" w:firstLineChars="200"/>
            </w:pPr>
            <w:r>
              <w:t>本工程运行期的产污环节参见图5-1～图5-</w:t>
            </w:r>
            <w:r>
              <w:rPr>
                <w:rFonts w:hint="eastAsia"/>
              </w:rPr>
              <w:t>4</w:t>
            </w:r>
            <w:r>
              <w:t>。</w:t>
            </w:r>
          </w:p>
          <w:p>
            <w:pPr>
              <w:adjustRightInd w:val="0"/>
              <w:snapToGrid w:val="0"/>
              <w:spacing w:beforeLines="50" w:line="360" w:lineRule="auto"/>
              <w:jc w:val="left"/>
              <w:rPr>
                <w:rFonts w:eastAsia="宋体"/>
                <w:b/>
                <w:bCs/>
                <w:sz w:val="24"/>
              </w:rPr>
            </w:pPr>
          </w:p>
          <w:p>
            <w:pPr>
              <w:adjustRightInd w:val="0"/>
              <w:snapToGrid w:val="0"/>
              <w:spacing w:beforeLines="50" w:line="360" w:lineRule="auto"/>
              <w:jc w:val="left"/>
              <w:rPr>
                <w:rFonts w:eastAsia="宋体"/>
                <w:b/>
                <w:bCs/>
                <w:sz w:val="24"/>
              </w:rPr>
            </w:pPr>
            <w:r>
              <w:rPr>
                <w:rFonts w:eastAsia="宋体"/>
                <w:b/>
                <w:bCs/>
                <w:sz w:val="24"/>
              </w:rPr>
              <w:pict>
                <v:group id="_x0000_s2270" o:spid="_x0000_s2270" o:spt="203" style="position:absolute;left:0pt;margin-left:87.95pt;margin-top:5.7pt;height:151.65pt;width:232.25pt;z-index:251666432;mso-width-relative:page;mso-height-relative:page;" coordorigin="3853,3393" coordsize="4550,2908">
                  <o:lock v:ext="edit"/>
                  <v:line id="Line 1305" o:spid="_x0000_s2254" o:spt="20" style="position:absolute;left:5914;top:4498;height:1;width:143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dp8YAAADdAAAADwAAAGRycy9kb3ducmV2LnhtbESP0WrCQBRE34X+w3ILfZG6sYiG1FVa&#10;oRBf1KgfcMlek9Ddu2l2q/HvXUHwcZiZM8x82VsjztT5xrGC8SgBQVw63XCl4Hj4eU9B+ICs0Tgm&#10;BVfysFy8DOaYaXfhgs77UIkIYZ+hgjqENpPSlzVZ9CPXEkfv5DqLIcqukrrDS4RbIz+SZCotNhwX&#10;amxpVVP5u/+3CoZpcdzm5bc9pZvD+m9n8pkzuVJvr/3XJ4hAfXiGH+1cK5gkkxnc38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MHafGAAAA3QAAAA8AAAAAAAAA&#10;AAAAAAAAoQIAAGRycy9kb3ducmV2LnhtbFBLBQYAAAAABAAEAPkAAACUAwAAAAA=&#10;">
                    <v:path arrowok="t"/>
                    <v:fill focussize="0,0"/>
                    <v:stroke weight="0.7pt"/>
                    <v:imagedata o:title=""/>
                    <o:lock v:ext="edit"/>
                  </v:line>
                  <v:group id="_x0000_s2269" o:spid="_x0000_s2269" o:spt="203" style="position:absolute;left:3853;top:3393;height:2908;width:4550;" coordorigin="3853,3393" coordsize="4550,2908">
                    <o:lock v:ext="edit"/>
                    <v:rect id="Rectangle 1298" o:spid="_x0000_s2233" o:spt="1" style="position:absolute;left:4083;top:3393;height:2880;width:183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DycQA&#10;AADdAAAADwAAAGRycy9kb3ducmV2LnhtbERPy2rCQBTdF/yH4Qpuik58ItFRbFAJFAo+wO0lc02C&#10;mTtpZtTYr+8sCl0eznu5bk0lHtS40rKC4SACQZxZXXKu4Hza9ecgnEfWWFkmBS9ysF513pYYa/vk&#10;Az2OPhchhF2MCgrv61hKlxVk0A1sTRy4q20M+gCbXOoGnyHcVHIURTNpsOTQUGBNSUHZ7Xg3Cr7e&#10;Z+l0q3ObXvYfo+9PmezHP4lSvW67WYDw1Pp/8Z871Qom0STsD2/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A8nEAAAA3QAAAA8AAAAAAAAAAAAAAAAAmAIAAGRycy9k&#10;b3ducmV2LnhtbFBLBQYAAAAABAAEAPUAAACJAwAAAAA=&#10;">
                      <v:path/>
                      <v:fill on="f" focussize="0,0"/>
                      <v:stroke weight="0.7pt"/>
                      <v:imagedata o:title=""/>
                      <o:lock v:ext="edit"/>
                    </v:rect>
                    <v:rect id="Rectangle 1302" o:spid="_x0000_s2234" o:spt="1" style="position:absolute;left:7353;top:3891;height:327;width:103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FysgA&#10;AADdAAAADwAAAGRycy9kb3ducmV2LnhtbESP3WrCQBSE7wt9h+UUeiO6UdNQUldpg0pAKPgDvT1k&#10;T5PQ7NmYXTX69N2C0MthZr5hZoveNOJMnastKxiPIhDEhdU1lwoO+9XwFYTzyBoby6TgSg4W88eH&#10;GabaXnhL550vRYCwS1FB5X2bSumKigy6kW2Jg/dtO4M+yK6UusNLgJtGTqIokQZrDgsVtpRVVPzs&#10;TkbB5yDJX5a6tPnX+mNy3MhsPb1lSj0/9e9vIDz1/j98b+daQRzFMf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OQXKyAAAAN0AAAAPAAAAAAAAAAAAAAAAAJgCAABk&#10;cnMvZG93bnJldi54bWxQSwUGAAAAAAQABAD1AAAAjQMAAAAA&#10;">
                      <v:path/>
                      <v:fill on="f" focussize="0,0"/>
                      <v:stroke weight="0.7pt"/>
                      <v:imagedata o:title=""/>
                      <o:lock v:ext="edit"/>
                      <v:textbox>
                        <w:txbxContent>
                          <w:p>
                            <w:pPr>
                              <w:spacing w:line="180" w:lineRule="exact"/>
                              <w:rPr>
                                <w:rFonts w:ascii="宋体" w:hAnsi="宋体" w:eastAsia="宋体" w:cs="宋体"/>
                                <w:color w:val="000000"/>
                                <w:sz w:val="18"/>
                                <w:szCs w:val="18"/>
                              </w:rPr>
                            </w:pPr>
                            <w:r>
                              <w:rPr>
                                <w:rFonts w:hint="eastAsia" w:ascii="宋体" w:hAnsi="宋体" w:eastAsia="宋体" w:cs="宋体"/>
                                <w:color w:val="000000"/>
                                <w:sz w:val="18"/>
                                <w:szCs w:val="18"/>
                              </w:rPr>
                              <w:t>工频电场</w:t>
                            </w:r>
                          </w:p>
                          <w:p/>
                        </w:txbxContent>
                      </v:textbox>
                    </v:rect>
                    <v:rect id="Rectangle 1307" o:spid="_x0000_s2235" o:spt="1" style="position:absolute;left:7353;top:4344;height:332;width:103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qVMgA&#10;AADdAAAADwAAAGRycy9kb3ducmV2LnhtbESPQWvCQBSE74X+h+UJXkrd1GrQ6CptqBIQhGqh10f2&#10;mYRm36bZVaO/3hUKPQ4z8w0zX3amFidqXWVZwcsgAkGcW11xoeBrv3qegHAeWWNtmRRcyMFy8fgw&#10;x0TbM3/SaecLESDsElRQet8kUrq8JINuYBvi4B1sa9AH2RZSt3gOcFPLYRTF0mDFYaHEhtKS8p/d&#10;0SjYPsXZ+EMXNvtevw9/NzJdv15Tpfq97m0GwlPn/8N/7UwrGEWjK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KpUyAAAAN0AAAAPAAAAAAAAAAAAAAAAAJgCAABk&#10;cnMvZG93bnJldi54bWxQSwUGAAAAAAQABAD1AAAAjQMAAAAA&#10;">
                      <v:path/>
                      <v:fill on="f" focussize="0,0"/>
                      <v:stroke weight="0.7pt"/>
                      <v:imagedata o:title=""/>
                      <o:lock v:ext="edit"/>
                      <v:textbox>
                        <w:txbxContent>
                          <w:p>
                            <w:pPr>
                              <w:spacing w:line="180" w:lineRule="exact"/>
                              <w:rPr>
                                <w:rFonts w:ascii="宋体" w:hAnsi="宋体" w:eastAsia="宋体" w:cs="宋体"/>
                                <w:color w:val="000000"/>
                                <w:sz w:val="18"/>
                                <w:szCs w:val="18"/>
                              </w:rPr>
                            </w:pPr>
                            <w:r>
                              <w:rPr>
                                <w:rFonts w:hint="eastAsia" w:ascii="宋体" w:hAnsi="宋体" w:eastAsia="宋体" w:cs="宋体"/>
                                <w:color w:val="000000"/>
                                <w:sz w:val="18"/>
                                <w:szCs w:val="18"/>
                              </w:rPr>
                              <w:t>工频磁场</w:t>
                            </w:r>
                          </w:p>
                          <w:p/>
                        </w:txbxContent>
                      </v:textbox>
                    </v:rect>
                    <v:rect id="Rectangle 1312" o:spid="_x0000_s2236" o:spt="1" style="position:absolute;left:7353;top:4801;height:328;width:1050;"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LY8gA&#10;AADdAAAADwAAAGRycy9kb3ducmV2LnhtbESP3WrCQBSE74W+w3IK3ohu/EVSN2JDK4FCoSr09pA9&#10;JsHs2TS7xrRP3y0IvRxm5htms+1NLTpqXWVZwXQSgSDOra64UHA6vo7XIJxH1lhbJgXf5GCbPAw2&#10;GGt74w/qDr4QAcIuRgWl900spctLMugmtiEO3tm2Bn2QbSF1i7cAN7WcRdFKGqw4LJTYUFpSfjlc&#10;jYL30SpbvujCZp/759nXm0z3859UqeFjv3sC4an3/+F7O9MKFtFyDn9vwhOQ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QtjyAAAAN0AAAAPAAAAAAAAAAAAAAAAAJgCAABk&#10;cnMvZG93bnJldi54bWxQSwUGAAAAAAQABAD1AAAAjQMAAAAA&#10;">
                      <v:path/>
                      <v:fill on="f" focussize="0,0"/>
                      <v:stroke weight="0.7pt"/>
                      <v:imagedata o:title=""/>
                      <o:lock v:ext="edit"/>
                      <v:textbox>
                        <w:txbxContent>
                          <w:p>
                            <w:pPr>
                              <w:spacing w:line="18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噪声</w:t>
                            </w:r>
                          </w:p>
                          <w:p/>
                        </w:txbxContent>
                      </v:textbox>
                    </v:rect>
                    <v:rect id="Rectangle 1322" o:spid="_x0000_s2237" o:spt="1" style="position:absolute;left:7353;top:5517;height:326;width:103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8icgA&#10;AADdAAAADwAAAGRycy9kb3ducmV2LnhtbESP3WrCQBSE7wu+w3KE3hTd1FbR6Co1tBIQBH/A20P2&#10;mASzZ2N2q6lP3xUKvRxm5htmtmhNJa7UuNKygtd+BII4s7rkXMFh/9Ubg3AeWWNlmRT8kIPFvPM0&#10;w1jbG2/puvO5CBB2MSoovK9jKV1WkEHXtzVx8E62MeiDbHKpG7wFuKnkIIpG0mDJYaHAmpKCsvPu&#10;2yjYvIzS4afObXpcLQeXtUxWb/dEqedu+zEF4an1/+G/dqoVvEfDCTz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4TyJyAAAAN0AAAAPAAAAAAAAAAAAAAAAAJgCAABk&#10;cnMvZG93bnJldi54bWxQSwUGAAAAAAQABAD1AAAAjQMAAAAA&#10;">
                      <v:path/>
                      <v:fill on="f" focussize="0,0"/>
                      <v:stroke weight="0.7pt"/>
                      <v:imagedata o:title=""/>
                      <o:lock v:ext="edit"/>
                      <v:textbox>
                        <w:txbxContent>
                          <w:p>
                            <w:pPr>
                              <w:spacing w:line="180" w:lineRule="exact"/>
                              <w:rPr>
                                <w:rFonts w:ascii="宋体" w:hAnsi="宋体" w:eastAsia="宋体" w:cs="宋体"/>
                                <w:color w:val="000000"/>
                                <w:sz w:val="18"/>
                                <w:szCs w:val="18"/>
                              </w:rPr>
                            </w:pPr>
                            <w:r>
                              <w:rPr>
                                <w:rFonts w:hint="eastAsia" w:ascii="宋体" w:hAnsi="宋体" w:eastAsia="宋体" w:cs="宋体"/>
                                <w:color w:val="000000"/>
                                <w:sz w:val="18"/>
                                <w:szCs w:val="18"/>
                              </w:rPr>
                              <w:t>生活垃圾</w:t>
                            </w:r>
                          </w:p>
                          <w:p/>
                        </w:txbxContent>
                      </v:textbox>
                    </v:rect>
                    <v:rect id="Rectangle 1327" o:spid="_x0000_s2238" o:spt="1" style="position:absolute;left:7353;top:5970;height:331;width:1031;"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ZqsgA&#10;AADdAAAADwAAAGRycy9kb3ducmV2LnhtbESP3WrCQBSE7wt9h+UUeiN140+DpK7SBpWAUGgUvD1k&#10;T5PQ7NmYXTX69N2C0MthZr5h5sveNOJMnastKxgNIxDEhdU1lwr2u/XLDITzyBoby6TgSg6Wi8eH&#10;OSbaXviLzrkvRYCwS1BB5X2bSOmKigy6oW2Jg/dtO4M+yK6UusNLgJtGjqMolgZrDgsVtpRWVPzk&#10;J6PgcxBnrytd2uyw+RgftzLdTG6pUs9P/fsbCE+9/w/f25lWMI3iK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jFmqyAAAAN0AAAAPAAAAAAAAAAAAAAAAAJgCAABk&#10;cnMvZG93bnJldi54bWxQSwUGAAAAAAQABAD1AAAAjQMAAAAA&#10;">
                      <v:path/>
                      <v:fill on="f" focussize="0,0"/>
                      <v:stroke weight="0.7pt"/>
                      <v:imagedata o:title=""/>
                      <o:lock v:ext="edit"/>
                      <v:textbox>
                        <w:txbxContent>
                          <w:p>
                            <w:pPr>
                              <w:spacing w:line="180" w:lineRule="exact"/>
                              <w:rPr>
                                <w:rFonts w:ascii="宋体" w:hAnsi="宋体" w:eastAsia="宋体" w:cs="宋体"/>
                                <w:color w:val="000000"/>
                                <w:sz w:val="18"/>
                                <w:szCs w:val="18"/>
                              </w:rPr>
                            </w:pPr>
                            <w:r>
                              <w:rPr>
                                <w:rFonts w:hint="eastAsia" w:ascii="宋体" w:hAnsi="宋体" w:eastAsia="宋体" w:cs="宋体"/>
                                <w:color w:val="000000"/>
                                <w:sz w:val="18"/>
                                <w:szCs w:val="18"/>
                              </w:rPr>
                              <w:t>生活污水</w:t>
                            </w:r>
                          </w:p>
                          <w:p/>
                        </w:txbxContent>
                      </v:textbox>
                    </v:rect>
                    <v:rect id="Rectangle 1333" o:spid="_x0000_s2240" o:spt="1" style="position:absolute;left:4561;top:5452;height:759;width:1260;"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dE8YA&#10;AADdAAAADwAAAGRycy9kb3ducmV2LnhtbESPzW7CMBCE70h9B2sr9QY2P0IlxSAEooIjJJfetvE2&#10;SYnXUWwg8PS4UiWOo5n5RjNfdrYWF2p95VjDcKBAEOfOVFxoyNJt/x2ED8gGa8ek4UYelouX3hwT&#10;4658oMsxFCJC2CeooQyhSaT0eUkW/cA1xNH7ca3FEGVbSNPiNcJtLUdKTaXFiuNCiQ2tS8pPx7PV&#10;8F2NMrwf0k9lZ9tx2Hfp7/lro/Xba7f6ABGoC8/wf3tnNEzUdAZ/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jdE8YAAADdAAAADwAAAAAAAAAAAAAAAACYAgAAZHJz&#10;L2Rvd25yZXYueG1sUEsFBgAAAAAEAAQA9QAAAIsDAAAAAA==&#10;">
                      <v:path/>
                      <v:fill on="f" focussize="0,0"/>
                      <v:stroke/>
                      <v:imagedata o:title=""/>
                      <o:lock v:ext="edit"/>
                      <v:textbox>
                        <w:txbxContent>
                          <w:p>
                            <w:pPr>
                              <w:jc w:val="center"/>
                              <w:rPr>
                                <w:rFonts w:ascii="宋体" w:eastAsia="宋体" w:cs="宋体"/>
                                <w:color w:val="000000"/>
                                <w:sz w:val="22"/>
                                <w:szCs w:val="22"/>
                              </w:rPr>
                            </w:pPr>
                            <w:r>
                              <w:rPr>
                                <w:rFonts w:hint="eastAsia" w:ascii="宋体" w:eastAsia="宋体" w:cs="宋体"/>
                                <w:color w:val="000000"/>
                                <w:sz w:val="22"/>
                                <w:szCs w:val="22"/>
                              </w:rPr>
                              <w:t>值班人</w:t>
                            </w:r>
                          </w:p>
                          <w:p>
                            <w:pPr>
                              <w:jc w:val="center"/>
                            </w:pPr>
                            <w:r>
                              <w:rPr>
                                <w:rFonts w:hint="eastAsia" w:ascii="宋体" w:eastAsia="宋体" w:cs="宋体"/>
                                <w:color w:val="000000"/>
                                <w:sz w:val="22"/>
                                <w:szCs w:val="22"/>
                              </w:rPr>
                              <w:t>员生活</w:t>
                            </w:r>
                          </w:p>
                        </w:txbxContent>
                      </v:textbox>
                    </v:rect>
                    <v:rect id="Rectangle 1334" o:spid="_x0000_s2241" o:spt="1" style="position:absolute;left:4504;top:3756;height:1547;width:133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iU8IA&#10;AADdAAAADwAAAGRycy9kb3ducmV2LnhtbERPPW/CMBDdkfgP1iGxgV2K2hIwCFGB6AhhYTviIwmN&#10;z1FsIPDr66ES49P7ni1aW4kbNb50rOFtqEAQZ86UnGs4pOvBFwgfkA1WjknDgzws5t3ODBPj7ryj&#10;2z7kIoawT1BDEUKdSOmzgiz6oauJI3d2jcUQYZNL0+A9httKjpT6kBZLjg0F1rQqKPvdX62GUzk6&#10;4HOXbpSdrN/DT5tersdvrfu9djkFEagNL/G/e2s0jNVn3B/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JTwgAAAN0AAAAPAAAAAAAAAAAAAAAAAJgCAABkcnMvZG93&#10;bnJldi54bWxQSwUGAAAAAAQABAD1AAAAhwMAAAAA&#10;">
                      <v:path/>
                      <v:fill on="f" focussize="0,0"/>
                      <v:stroke/>
                      <v:imagedata o:title=""/>
                      <o:lock v:ext="edit"/>
                      <v:textbox>
                        <w:txbxContent>
                          <w:p>
                            <w:pPr>
                              <w:jc w:val="center"/>
                              <w:rPr>
                                <w:rFonts w:ascii="宋体" w:eastAsia="宋体" w:cs="宋体"/>
                                <w:color w:val="000000"/>
                                <w:sz w:val="22"/>
                                <w:szCs w:val="22"/>
                              </w:rPr>
                            </w:pPr>
                          </w:p>
                          <w:p>
                            <w:pPr>
                              <w:jc w:val="center"/>
                              <w:rPr>
                                <w:rFonts w:ascii="宋体" w:eastAsia="宋体" w:cs="宋体"/>
                                <w:color w:val="000000"/>
                                <w:sz w:val="22"/>
                                <w:szCs w:val="22"/>
                              </w:rPr>
                            </w:pPr>
                            <w:r>
                              <w:rPr>
                                <w:rFonts w:hint="eastAsia" w:ascii="宋体" w:eastAsia="宋体" w:cs="宋体"/>
                                <w:color w:val="000000"/>
                                <w:sz w:val="22"/>
                                <w:szCs w:val="22"/>
                              </w:rPr>
                              <w:t>电气</w:t>
                            </w:r>
                          </w:p>
                          <w:p>
                            <w:pPr>
                              <w:jc w:val="center"/>
                              <w:rPr>
                                <w:rFonts w:ascii="宋体" w:eastAsia="宋体" w:cs="宋体"/>
                                <w:color w:val="000000"/>
                                <w:sz w:val="22"/>
                                <w:szCs w:val="22"/>
                              </w:rPr>
                            </w:pPr>
                            <w:r>
                              <w:rPr>
                                <w:rFonts w:hint="eastAsia" w:ascii="宋体" w:eastAsia="宋体" w:cs="宋体"/>
                                <w:color w:val="000000"/>
                                <w:sz w:val="22"/>
                                <w:szCs w:val="22"/>
                              </w:rPr>
                              <w:t>设备</w:t>
                            </w:r>
                          </w:p>
                          <w:p>
                            <w:pPr>
                              <w:jc w:val="center"/>
                              <w:rPr>
                                <w:rFonts w:ascii="宋体" w:eastAsia="宋体" w:cs="宋体"/>
                                <w:color w:val="000000"/>
                                <w:sz w:val="22"/>
                                <w:szCs w:val="22"/>
                              </w:rPr>
                            </w:pPr>
                            <w:r>
                              <w:rPr>
                                <w:rFonts w:hint="eastAsia" w:ascii="宋体" w:eastAsia="宋体" w:cs="宋体"/>
                                <w:color w:val="000000"/>
                                <w:sz w:val="22"/>
                                <w:szCs w:val="22"/>
                              </w:rPr>
                              <w:t>运行</w:t>
                            </w:r>
                          </w:p>
                        </w:txbxContent>
                      </v:textbox>
                    </v:rect>
                    <v:line id="Line 1300" o:spid="_x0000_s2250" o:spt="20" style="position:absolute;left:5914;top:4041;height:5;width:143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P8YAAADdAAAADwAAAGRycy9kb3ducmV2LnhtbESP0WrCQBRE34X+w3ILfZG6UURD6iqt&#10;UIgvatQPuGSvSeju3TS71fTvXUHwcZiZM8xi1VsjLtT5xrGC8SgBQVw63XCl4HT8fk9B+ICs0Tgm&#10;Bf/kYbV8GSww0+7KBV0OoRIRwj5DBXUIbSalL2uy6EeuJY7e2XUWQ5RdJXWH1wi3Rk6SZCYtNhwX&#10;amxpXVP5c/izCoZpcdrl5Zc9p9vj5ndv8rkzuVJvr/3nB4hAfXiGH+1cK5gm0w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7vj/GAAAA3QAAAA8AAAAAAAAA&#10;AAAAAAAAoQIAAGRycy9kb3ducmV2LnhtbFBLBQYAAAAABAAEAPkAAACUAwAAAAA=&#10;">
                      <v:path arrowok="t"/>
                      <v:fill focussize="0,0"/>
                      <v:stroke weight="0.7pt"/>
                      <v:imagedata o:title=""/>
                      <o:lock v:ext="edit"/>
                    </v:line>
                    <v:line id="Line 1310" o:spid="_x0000_s2258" o:spt="20" style="position:absolute;left:5914;top:4951;height:4;width:143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o4sYAAADdAAAADwAAAGRycy9kb3ducmV2LnhtbESP3WrCQBSE7wu+w3IK3kjdVKyG1FVU&#10;EOJNW38e4JA9JqG7Z9PsqvHtXUHo5TAz3zCzRWeNuFDra8cK3ocJCOLC6ZpLBcfD5i0F4QOyRuOY&#10;FNzIw2Lee5lhpt2Vd3TZh1JECPsMFVQhNJmUvqjIoh+6hjh6J9daDFG2pdQtXiPcGjlKkom0WHNc&#10;qLChdUXF7/5sFQzS3fE7L1b2lH4dtn8/Jp86kyvVf+2WnyACdeE//GznWsE4+Rj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iKOLGAAAA3QAAAA8AAAAAAAAA&#10;AAAAAAAAoQIAAGRycy9kb3ducmV2LnhtbFBLBQYAAAAABAAEAPkAAACUAwAAAAA=&#10;">
                      <v:path arrowok="t"/>
                      <v:fill focussize="0,0"/>
                      <v:stroke weight="0.7pt"/>
                      <v:imagedata o:title=""/>
                      <o:lock v:ext="edit"/>
                    </v:line>
                    <v:line id="Line 1320" o:spid="_x0000_s2262" o:spt="20" style="position:absolute;left:5914;top:5666;height:5;width:143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LescAAADdAAAADwAAAGRycy9kb3ducmV2LnhtbESP0WrCQBRE3wv9h+UWfJFm06I1pK7S&#10;FoT4YqvmAy7ZaxK6ezfNrhr/3hWEPg4zc4aZLwdrxIl63zpW8JKkIIgrp1uuFZT71XMGwgdkjcYx&#10;KbiQh+Xi8WGOuXZn3tJpF2oRIexzVNCE0OVS+qohiz5xHXH0Dq63GKLsa6l7PEe4NfI1Td+kxZbj&#10;QoMdfTVU/e6OVsE425bfRfVpD9lmv/77McXMmUKp0dPw8Q4i0BD+w/d2oRVM0ukM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Yt6xwAAAN0AAAAPAAAAAAAA&#10;AAAAAAAAAKECAABkcnMvZG93bnJldi54bWxQSwUGAAAAAAQABAD5AAAAlQMAAAAA&#10;">
                      <v:path arrowok="t"/>
                      <v:fill focussize="0,0"/>
                      <v:stroke weight="0.7pt"/>
                      <v:imagedata o:title=""/>
                      <o:lock v:ext="edit"/>
                    </v:line>
                    <v:line id="Line 1325" o:spid="_x0000_s2266" o:spt="20" style="position:absolute;left:5914;top:6124;height:1;width:143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iX8YAAADdAAAADwAAAGRycy9kb3ducmV2LnhtbESP0WrCQBRE34X+w3IFX4puKsWG6Cq1&#10;UEhfbKN+wCV7TYK7d2N2q/HvXUHwcZiZM8xi1VsjztT5xrGCt0kCgrh0uuFKwX73PU5B+ICs0Tgm&#10;BVfysFq+DBaYaXfhgs7bUIkIYZ+hgjqENpPSlzVZ9BPXEkfv4DqLIcqukrrDS4RbI6dJMpMWG44L&#10;Nbb0VVN53P5bBa9psf/Ny7U9pJvdz+nP5B/O5EqNhv3nHESgPjzDj3auFbwnsy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O4l/GAAAA3QAAAA8AAAAAAAAA&#10;AAAAAAAAoQIAAGRycy9kb3ducmV2LnhtbFBLBQYAAAAABAAEAPkAAACUAwAAAAA=&#10;">
                      <v:path arrowok="t"/>
                      <v:fill focussize="0,0"/>
                      <v:stroke weight="0.7pt"/>
                      <v:imagedata o:title=""/>
                      <o:lock v:ext="edit"/>
                    </v:line>
                    <v:shape id="Text Box 1331" o:spid="_x0000_s2268" o:spt="202" type="#_x0000_t202" style="position:absolute;left:3853;top:4344;height:1672;width:7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XpMgA&#10;AADdAAAADwAAAGRycy9kb3ducmV2LnhtbESPQWvCQBSE70L/w/IK3nTTIrFNXSUVBOkhUNuDx5fs&#10;axKafZvubjT667sFocdhZr5hVpvRdOJEzreWFTzMExDEldUt1wo+P3azJxA+IGvsLJOCC3nYrO8m&#10;K8y0PfM7nQ6hFhHCPkMFTQh9JqWvGjLo57Ynjt6XdQZDlK6W2uE5wk0nH5MklQZbjgsN9rRtqPo+&#10;DEbBPj8OP4MrFs/X4zUvyvKteC1Tpab3Y/4CItAY/sO39l4rWCTpEv7ex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JNekyAAAAN0AAAAPAAAAAAAAAAAAAAAAAJgCAABk&#10;cnMvZG93bnJldi54bWxQSwUGAAAAAAQABAD1AAAAjQMAAAAA&#10;">
                      <v:path/>
                      <v:fill on="f" focussize="0,0"/>
                      <v:stroke on="f" joinstyle="miter"/>
                      <v:imagedata o:title=""/>
                      <o:lock v:ext="edit"/>
                      <v:textbox style="layout-flow:vertical-ideographic;">
                        <w:txbxContent>
                          <w:p>
                            <w:pPr>
                              <w:rPr>
                                <w:rFonts w:ascii="@宋体" w:eastAsia="@宋体" w:cs="@宋体"/>
                                <w:color w:val="000000"/>
                                <w:sz w:val="22"/>
                                <w:szCs w:val="22"/>
                              </w:rPr>
                            </w:pPr>
                            <w:r>
                              <w:rPr>
                                <w:rFonts w:hint="eastAsia" w:ascii="@宋体" w:eastAsia="@宋体" w:cs="@宋体"/>
                                <w:color w:val="000000"/>
                                <w:sz w:val="22"/>
                                <w:szCs w:val="22"/>
                              </w:rPr>
                              <w:t>运行期</w:t>
                            </w:r>
                          </w:p>
                        </w:txbxContent>
                      </v:textbox>
                    </v:shape>
                  </v:group>
                </v:group>
              </w:pict>
            </w:r>
            <w:r>
              <w:rPr>
                <w:rFonts w:eastAsia="宋体"/>
                <w:b/>
                <w:bCs/>
                <w:sz w:val="24"/>
              </w:rPr>
              <w:pict>
                <v:group id="_x0000_s2285" o:spid="_x0000_s2285" o:spt="203" style="position:absolute;left:0pt;margin-left:83.35pt;margin-top:-79.95pt;height:345.9pt;width:255.85pt;z-index:251665408;mso-width-relative:page;mso-height-relative:page;" coordorigin="3467,-129" coordsize="5117,6918">
                  <o:lock v:ext="edit" aspectratio="f"/>
                  <v:rect id="Rectangle 1250" o:spid="_x0000_s2244" o:spt="1" style="position:absolute;left:3467;top:-129;height:624;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QL8A&#10;AADdAAAADwAAAGRycy9kb3ducmV2LnhtbERPy4rCMBTdC/5DuII7TVUQ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ivlAvwAAAN0AAAAPAAAAAAAAAAAAAAAAAJgCAABkcnMvZG93bnJl&#10;di54bWxQSwUGAAAAAAQABAD1AAAAhAMAAAAA&#10;">
                    <v:path/>
                    <v:fill on="f" focussize="0,0"/>
                    <v:stroke on="f"/>
                    <v:imagedata o:title=""/>
                    <o:lock v:ext="edit" aspectratio="f"/>
                    <v:textbox inset="0mm,0mm,0mm,0mm" style="mso-fit-shape-to-text:t;">
                      <w:txbxContent>
                        <w:p>
                          <w:r>
                            <w:rPr>
                              <w:color w:val="000000"/>
                              <w:sz w:val="22"/>
                              <w:szCs w:val="22"/>
                            </w:rPr>
                            <w:t xml:space="preserve"> </w:t>
                          </w:r>
                        </w:p>
                      </w:txbxContent>
                    </v:textbox>
                  </v:rect>
                  <v:rect id="Rectangle 1329" o:spid="_x0000_s2246" o:spt="1" style="position:absolute;left:8042;top:5853;height:936;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CrMMA&#10;AADdAAAADwAAAGRycy9kb3ducmV2LnhtbESP3WoCMRSE7wXfIRyhd5p1BdGtUUQQtPTGtQ9w2Jz9&#10;weRkSVJ3+/ZNoeDlMDPfMLvDaI14kg+dYwXLRQaCuHK640bB1/0834AIEVmjcUwKfijAYT+d7LDQ&#10;buAbPcvYiAThUKCCNsa+kDJULVkMC9cTJ6923mJM0jdSexwS3BqZZ9laWuw4LbTY06ml6lF+WwXy&#10;Xp6HTWl85j7y+tNcL7eanFJvs/H4DiLSGF/h//ZFK1h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CrMMAAADdAAAADwAAAAAAAAAAAAAAAACYAgAAZHJzL2Rv&#10;d25yZXYueG1sUEsFBgAAAAAEAAQA9QAAAIgDAAAAAA==&#10;">
                    <v:path/>
                    <v:fill on="f" focussize="0,0"/>
                    <v:stroke on="f"/>
                    <v:imagedata o:title=""/>
                    <o:lock v:ext="edit" aspectratio="f"/>
                    <v:textbox inset="0mm,0mm,0mm,0mm" style="mso-fit-shape-to-text:t;">
                      <w:txbxContent>
                        <w:p>
                          <w:pPr>
                            <w:rPr>
                              <w:rFonts w:ascii="宋体" w:cs="宋体"/>
                              <w:color w:val="000000"/>
                              <w:sz w:val="18"/>
                              <w:szCs w:val="18"/>
                            </w:rPr>
                          </w:pPr>
                          <w:r>
                            <w:rPr>
                              <w:rFonts w:ascii="宋体" w:cs="宋体"/>
                              <w:color w:val="000000"/>
                              <w:sz w:val="18"/>
                              <w:szCs w:val="18"/>
                            </w:rPr>
                            <w:t xml:space="preserve"> </w:t>
                          </w:r>
                        </w:p>
                        <w:p/>
                      </w:txbxContent>
                    </v:textbox>
                  </v:rect>
                  <v:rect id="Rectangle 1296" o:spid="_x0000_s2247" o:spt="1" style="position:absolute;left:8230;top:3094;height:624;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v:path/>
                    <v:fill on="f" focussize="0,0"/>
                    <v:stroke on="f"/>
                    <v:imagedata o:title=""/>
                    <o:lock v:ext="edit" aspectratio="f"/>
                    <v:textbox inset="0mm,0mm,0mm,0mm" style="mso-fit-shape-to-text:t;">
                      <w:txbxContent>
                        <w:p>
                          <w:r>
                            <w:rPr>
                              <w:rFonts w:ascii="宋体" w:cs="宋体"/>
                              <w:color w:val="000000"/>
                              <w:sz w:val="18"/>
                              <w:szCs w:val="18"/>
                            </w:rPr>
                            <w:t xml:space="preserve"> </w:t>
                          </w:r>
                        </w:p>
                      </w:txbxContent>
                    </v:textbox>
                  </v:rect>
                  <v:rect id="Rectangle 1299" o:spid="_x0000_s2249" o:spt="1" style="position:absolute;left:4620;top:3932;height:181;width:624;mso-wrap-style:none;rotation:5898240f;"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QJMQA&#10;AADdAAAADwAAAGRycy9kb3ducmV2LnhtbESPQWsCMRSE74X+h/CE3mqyRUS2RqmCUOipuh68PTbP&#10;zbKblyWJuv33jSB4HGbmG2a5Hl0vrhRi61lDMVUgiGtvWm40VIfd+wJETMgGe8+k4Y8irFevL0ss&#10;jb/xL133qREZwrFEDTaloZQy1pYcxqkfiLN39sFhyjI00gS8Zbjr5YdSc+mw5bxgcaCtpbrbX5yG&#10;sN2dpKsu0dbq51jYTdedq0rrt8n49Qki0Zie4Uf722iYqVkB9zf5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0CTEAAAA3QAAAA8AAAAAAAAAAAAAAAAAmAIAAGRycy9k&#10;b3ducmV2LnhtbFBLBQYAAAAABAAEAPUAAACJAwAAAAA=&#10;">
                    <v:path/>
                    <v:fill on="f" focussize="0,0"/>
                    <v:stroke on="f"/>
                    <v:imagedata o:title=""/>
                    <o:lock v:ext="edit" aspectratio="f"/>
                    <v:textbox inset="0mm,0mm,0mm,0mm" style="mso-fit-shape-to-text:t;">
                      <w:txbxContent>
                        <w:p>
                          <w:r>
                            <w:rPr>
                              <w:color w:val="000000"/>
                              <w:sz w:val="22"/>
                              <w:szCs w:val="22"/>
                            </w:rPr>
                            <w:t xml:space="preserve"> </w:t>
                          </w:r>
                        </w:p>
                      </w:txbxContent>
                    </v:textbox>
                  </v:rect>
                  <v:rect id="Rectangle 1304" o:spid="_x0000_s2253" o:spt="1" style="position:absolute;left:8225;top:3989;height:624;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cIA&#10;AADdAAAADwAAAGRycy9kb3ducmV2LnhtbESP3WoCMRSE74W+QzgF7zSpi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dwgAAAN0AAAAPAAAAAAAAAAAAAAAAAJgCAABkcnMvZG93&#10;bnJldi54bWxQSwUGAAAAAAQABAD1AAAAhwMAAAAA&#10;">
                    <v:path/>
                    <v:fill on="f" focussize="0,0"/>
                    <v:stroke on="f"/>
                    <v:imagedata o:title=""/>
                    <o:lock v:ext="edit" aspectratio="f"/>
                    <v:textbox inset="0mm,0mm,0mm,0mm" style="mso-fit-shape-to-text:t;">
                      <w:txbxContent>
                        <w:p>
                          <w:r>
                            <w:rPr>
                              <w:rFonts w:ascii="宋体" w:cs="宋体"/>
                              <w:color w:val="000000"/>
                              <w:sz w:val="18"/>
                              <w:szCs w:val="18"/>
                            </w:rPr>
                            <w:t xml:space="preserve"> </w:t>
                          </w:r>
                        </w:p>
                      </w:txbxContent>
                    </v:textbox>
                  </v:rect>
                  <v:rect id="Rectangle 1309" o:spid="_x0000_s2257" o:spt="1" style="position:absolute;left:8225;top:4447;height:624;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dMQA&#10;AADdAAAADwAAAGRycy9kb3ducmV2LnhtbESPzWrDMBCE74W+g9hCb42U0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sXTEAAAA3QAAAA8AAAAAAAAAAAAAAAAAmAIAAGRycy9k&#10;b3ducmV2LnhtbFBLBQYAAAAABAAEAPUAAACJAwAAAAA=&#10;">
                    <v:path/>
                    <v:fill on="f" focussize="0,0"/>
                    <v:stroke on="f"/>
                    <v:imagedata o:title=""/>
                    <o:lock v:ext="edit" aspectratio="f"/>
                    <v:textbox inset="0mm,0mm,0mm,0mm" style="mso-fit-shape-to-text:t;">
                      <w:txbxContent>
                        <w:p>
                          <w:r>
                            <w:rPr>
                              <w:rFonts w:ascii="宋体" w:cs="宋体"/>
                              <w:color w:val="000000"/>
                              <w:sz w:val="18"/>
                              <w:szCs w:val="18"/>
                            </w:rPr>
                            <w:t xml:space="preserve"> </w:t>
                          </w:r>
                        </w:p>
                      </w:txbxContent>
                    </v:textbox>
                  </v:rect>
                  <v:rect id="Rectangle 1314" o:spid="_x0000_s2259" o:spt="1" style="position:absolute;left:8403;top:4705;height:624;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v:path/>
                    <v:fill on="f" focussize="0,0"/>
                    <v:stroke on="f"/>
                    <v:imagedata o:title=""/>
                    <o:lock v:ext="edit" aspectratio="f"/>
                    <v:textbox inset="0mm,0mm,0mm,0mm" style="mso-fit-shape-to-text:t;">
                      <w:txbxContent>
                        <w:p>
                          <w:r>
                            <w:rPr>
                              <w:rFonts w:ascii="宋体" w:cs="宋体"/>
                              <w:color w:val="000000"/>
                              <w:sz w:val="18"/>
                              <w:szCs w:val="18"/>
                            </w:rPr>
                            <w:t xml:space="preserve"> </w:t>
                          </w:r>
                        </w:p>
                      </w:txbxContent>
                    </v:textbox>
                  </v:rect>
                  <v:rect id="Rectangle 1319" o:spid="_x0000_s2261" o:spt="1" style="position:absolute;left:7866;top:5162;height:624;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AMMA&#10;AADdAAAADwAAAGRycy9kb3ducmV2LnhtbESP3WoCMRSE74W+QziF3mlSs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pAMMAAADdAAAADwAAAAAAAAAAAAAAAACYAgAAZHJzL2Rv&#10;d25yZXYueG1sUEsFBgAAAAAEAAQA9QAAAIgDAAAAAA==&#10;">
                    <v:path/>
                    <v:fill on="f" focussize="0,0"/>
                    <v:stroke on="f"/>
                    <v:imagedata o:title=""/>
                    <o:lock v:ext="edit" aspectratio="f"/>
                    <v:textbox inset="0mm,0mm,0mm,0mm" style="mso-fit-shape-to-text:t;">
                      <w:txbxContent>
                        <w:p>
                          <w:r>
                            <w:rPr>
                              <w:rFonts w:ascii="宋体" w:cs="宋体"/>
                              <w:color w:val="000000"/>
                              <w:sz w:val="18"/>
                              <w:szCs w:val="18"/>
                            </w:rPr>
                            <w:t xml:space="preserve"> </w:t>
                          </w:r>
                        </w:p>
                      </w:txbxContent>
                    </v:textbox>
                  </v:rect>
                  <v:rect id="Rectangle 1324" o:spid="_x0000_s2265" o:spt="1" style="position:absolute;left:8225;top:5357;height:624;width: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v:path/>
                    <v:fill on="f" focussize="0,0"/>
                    <v:stroke on="f"/>
                    <v:imagedata o:title=""/>
                    <o:lock v:ext="edit" aspectratio="f"/>
                    <v:textbox inset="0mm,0mm,0mm,0mm" style="mso-fit-shape-to-text:t;">
                      <w:txbxContent>
                        <w:p>
                          <w:r>
                            <w:rPr>
                              <w:rFonts w:ascii="宋体" w:cs="宋体"/>
                              <w:color w:val="000000"/>
                              <w:sz w:val="18"/>
                              <w:szCs w:val="18"/>
                            </w:rPr>
                            <w:t xml:space="preserve"> </w:t>
                          </w:r>
                        </w:p>
                      </w:txbxContent>
                    </v:textbox>
                  </v:rect>
                </v:group>
              </w:pict>
            </w:r>
          </w:p>
          <w:p>
            <w:pPr>
              <w:adjustRightInd w:val="0"/>
              <w:snapToGrid w:val="0"/>
              <w:spacing w:beforeLines="50" w:line="360" w:lineRule="auto"/>
              <w:jc w:val="left"/>
              <w:rPr>
                <w:rFonts w:eastAsia="宋体"/>
                <w:b/>
                <w:bCs/>
                <w:sz w:val="24"/>
              </w:rPr>
            </w:pPr>
          </w:p>
          <w:p>
            <w:pPr>
              <w:adjustRightInd w:val="0"/>
              <w:snapToGrid w:val="0"/>
              <w:spacing w:beforeLines="50" w:line="360" w:lineRule="auto"/>
              <w:jc w:val="left"/>
              <w:rPr>
                <w:rFonts w:eastAsia="宋体"/>
                <w:b/>
                <w:bCs/>
                <w:sz w:val="24"/>
              </w:rPr>
            </w:pPr>
          </w:p>
          <w:p>
            <w:pPr>
              <w:adjustRightInd w:val="0"/>
              <w:snapToGrid w:val="0"/>
              <w:spacing w:beforeLines="50" w:line="360" w:lineRule="auto"/>
              <w:jc w:val="left"/>
              <w:rPr>
                <w:rFonts w:eastAsia="宋体"/>
                <w:b/>
                <w:bCs/>
                <w:sz w:val="24"/>
              </w:rPr>
            </w:pPr>
          </w:p>
          <w:p>
            <w:pPr>
              <w:adjustRightInd w:val="0"/>
              <w:snapToGrid w:val="0"/>
              <w:spacing w:beforeLines="50" w:line="360" w:lineRule="auto"/>
              <w:jc w:val="left"/>
              <w:rPr>
                <w:rFonts w:eastAsia="宋体"/>
                <w:b/>
                <w:bCs/>
                <w:sz w:val="24"/>
              </w:rPr>
            </w:pPr>
          </w:p>
          <w:p>
            <w:pPr>
              <w:adjustRightInd w:val="0"/>
              <w:snapToGrid w:val="0"/>
              <w:spacing w:beforeLines="50" w:line="360" w:lineRule="auto"/>
              <w:jc w:val="left"/>
              <w:rPr>
                <w:rFonts w:eastAsia="宋体"/>
                <w:b/>
                <w:bCs/>
                <w:sz w:val="24"/>
              </w:rPr>
            </w:pPr>
          </w:p>
          <w:p>
            <w:pPr>
              <w:pStyle w:val="4"/>
              <w:jc w:val="center"/>
              <w:rPr>
                <w:rFonts w:ascii="Times New Roman" w:hAnsi="Times New Roman"/>
                <w:sz w:val="24"/>
                <w:szCs w:val="21"/>
              </w:rPr>
            </w:pPr>
            <w:r>
              <w:rPr>
                <w:rFonts w:hint="eastAsia" w:ascii="Times New Roman" w:hAnsi="Times New Roman"/>
                <w:sz w:val="24"/>
                <w:szCs w:val="21"/>
              </w:rPr>
              <w:t>5-2升压站运行期产物节点图</w:t>
            </w:r>
          </w:p>
          <w:p>
            <w:pPr>
              <w:adjustRightInd w:val="0"/>
              <w:snapToGrid w:val="0"/>
              <w:spacing w:beforeLines="50" w:line="360" w:lineRule="auto"/>
              <w:jc w:val="left"/>
              <w:rPr>
                <w:rFonts w:eastAsia="宋体"/>
                <w:b/>
                <w:bCs/>
                <w:sz w:val="24"/>
              </w:rPr>
            </w:pPr>
            <w:r>
              <w:pict>
                <v:group id="Group 2913" o:spid="_x0000_s2271" o:spt="203" style="position:absolute;left:0pt;margin-left:57.4pt;margin-top:7.75pt;height:135.35pt;width:282.1pt;z-index:251667456;mso-width-relative:page;mso-height-relative:page;" coordorigin="2818,7856" coordsize="5642,2788">
                  <o:lock v:ext="edit"/>
                  <v:rect id="Rectangle 2914" o:spid="_x0000_s2272" o:spt="1" style="position:absolute;left:5048;top:7856;height:346;width:11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v:path/>
                    <v:fill on="f" focussize="0,0"/>
                    <v:stroke on="f"/>
                    <v:imagedata o:title=""/>
                    <o:lock v:ext="edit"/>
                    <v:textbox inset="0mm,0mm,0mm,0mm">
                      <w:txbxContent>
                        <w:p>
                          <w:pPr>
                            <w:jc w:val="center"/>
                            <w:rPr>
                              <w:rFonts w:ascii="宋体" w:eastAsia="宋体" w:cs="宋体"/>
                              <w:color w:val="000000"/>
                              <w:sz w:val="22"/>
                              <w:szCs w:val="22"/>
                            </w:rPr>
                          </w:pPr>
                          <w:r>
                            <w:rPr>
                              <w:rFonts w:hint="eastAsia" w:ascii="宋体" w:eastAsia="宋体" w:cs="宋体"/>
                              <w:color w:val="000000"/>
                              <w:sz w:val="22"/>
                              <w:szCs w:val="22"/>
                            </w:rPr>
                            <w:t>工频电场</w:t>
                          </w:r>
                        </w:p>
                      </w:txbxContent>
                    </v:textbox>
                  </v:rect>
                  <v:rect id="Rectangle 2916" o:spid="_x0000_s2273" o:spt="1" style="position:absolute;left:5048;top:8144;height:346;width:115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v:path/>
                    <v:fill on="f" focussize="0,0"/>
                    <v:stroke on="f"/>
                    <v:imagedata o:title=""/>
                    <o:lock v:ext="edit"/>
                    <v:textbox inset="0mm,0mm,0mm,0mm">
                      <w:txbxContent>
                        <w:p>
                          <w:pPr>
                            <w:jc w:val="center"/>
                            <w:rPr>
                              <w:rFonts w:ascii="宋体" w:eastAsia="宋体" w:cs="宋体"/>
                              <w:color w:val="000000"/>
                              <w:sz w:val="22"/>
                              <w:szCs w:val="22"/>
                            </w:rPr>
                          </w:pPr>
                          <w:r>
                            <w:rPr>
                              <w:rFonts w:hint="eastAsia" w:ascii="宋体" w:eastAsia="宋体" w:cs="宋体"/>
                              <w:color w:val="000000"/>
                              <w:sz w:val="22"/>
                              <w:szCs w:val="22"/>
                            </w:rPr>
                            <w:t>工频磁场</w:t>
                          </w:r>
                        </w:p>
                      </w:txbxContent>
                    </v:textbox>
                  </v:rect>
                  <v:rect id="Rectangle 2917" o:spid="_x0000_s2274" o:spt="1" style="position:absolute;left:5048;top:8407;height:346;width:13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v:path/>
                    <v:fill on="f" focussize="0,0"/>
                    <v:stroke on="f"/>
                    <v:imagedata o:title=""/>
                    <o:lock v:ext="edit"/>
                    <v:textbox inset="0mm,0mm,0mm,0mm">
                      <w:txbxContent>
                        <w:p>
                          <w:pPr>
                            <w:ind w:firstLine="220" w:firstLineChars="100"/>
                            <w:rPr>
                              <w:rFonts w:ascii="宋体" w:eastAsia="宋体" w:cs="宋体"/>
                              <w:color w:val="000000"/>
                              <w:sz w:val="22"/>
                              <w:szCs w:val="22"/>
                            </w:rPr>
                          </w:pPr>
                          <w:r>
                            <w:rPr>
                              <w:rFonts w:hint="eastAsia" w:ascii="宋体" w:eastAsia="宋体" w:cs="宋体"/>
                              <w:color w:val="000000"/>
                              <w:sz w:val="22"/>
                              <w:szCs w:val="22"/>
                            </w:rPr>
                            <w:t>噪   声</w:t>
                          </w:r>
                        </w:p>
                      </w:txbxContent>
                    </v:textbox>
                  </v:rect>
                  <v:rect id="Rectangle 2919" o:spid="_x0000_s2275" o:spt="1" style="position:absolute;left:6840;top:8460;height:468;width:16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v:path/>
                    <v:fill on="f" focussize="0,0"/>
                    <v:stroke on="f"/>
                    <v:imagedata o:title=""/>
                    <o:lock v:ext="edit"/>
                    <v:textbox inset="0mm,0mm,0mm,0mm">
                      <w:txbxContent>
                        <w:p>
                          <w:pPr>
                            <w:spacing w:before="60" w:after="60"/>
                            <w:jc w:val="center"/>
                            <w:rPr>
                              <w:rFonts w:eastAsia="宋体"/>
                            </w:rPr>
                          </w:pPr>
                          <w:r>
                            <w:rPr>
                              <w:rFonts w:eastAsia="宋体"/>
                              <w:color w:val="000000"/>
                              <w:sz w:val="24"/>
                            </w:rPr>
                            <w:t>110kV</w:t>
                          </w:r>
                          <w:r>
                            <w:rPr>
                              <w:rFonts w:hAnsi="宋体" w:eastAsia="宋体"/>
                              <w:color w:val="000000"/>
                              <w:sz w:val="24"/>
                            </w:rPr>
                            <w:t>线路</w:t>
                          </w:r>
                        </w:p>
                      </w:txbxContent>
                    </v:textbox>
                  </v:rect>
                  <v:rect id="Rectangle 2920" o:spid="_x0000_s2276" o:spt="1" style="position:absolute;left:2818;top:9417;height:876;width:132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v:path/>
                    <v:fill on="f" focussize="0,0"/>
                    <v:stroke on="f"/>
                    <v:imagedata o:title=""/>
                    <o:lock v:ext="edit"/>
                  </v:rect>
                  <v:rect id="Rectangle 2921" o:spid="_x0000_s2277" o:spt="1" style="position:absolute;left:2818;top:9417;height:876;width:1322;"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8csMA&#10;AADcAAAADwAAAGRycy9kb3ducmV2LnhtbESPQWvCQBSE7wX/w/IEb3VjpEGiqwRBKL0ZC3p8Zp/Z&#10;YPZtzK4a/323UOhxmJlvmNVmsK14UO8bxwpm0wQEceV0w7WC78PufQHCB2SNrWNS8CIPm/XobYW5&#10;dk/e06MMtYgQ9jkqMCF0uZS+MmTRT11HHL2L6y2GKPta6h6fEW5bmSZJJi02HBcMdrQ1VF3Lu1Vw&#10;vGTlRzY/sTXFdmjv51txOH4pNRkPxRJEoCH8h//an1pBmq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H8csMAAADcAAAADwAAAAAAAAAAAAAAAACYAgAAZHJzL2Rv&#10;d25yZXYueG1sUEsFBgAAAAAEAAQA9QAAAIgDAAAAAA==&#10;">
                    <v:path/>
                    <v:fill on="f" focussize="0,0"/>
                    <v:stroke weight="0.7pt" dashstyle="dash"/>
                    <v:imagedata o:title=""/>
                    <o:lock v:ext="edit"/>
                  </v:rect>
                  <v:rect id="Rectangle 2922" o:spid="_x0000_s2278" o:spt="1" style="position:absolute;left:2912;top:9452;height:765;width:111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v:path/>
                    <v:fill on="f" focussize="0,0"/>
                    <v:stroke on="f"/>
                    <v:imagedata o:title=""/>
                    <o:lock v:ext="edit"/>
                    <v:textbox inset="0mm,0mm,0mm,0mm">
                      <w:txbxContent>
                        <w:p>
                          <w:pPr>
                            <w:spacing w:before="60" w:after="60"/>
                            <w:jc w:val="center"/>
                            <w:rPr>
                              <w:rFonts w:ascii="宋体" w:hAnsi="宋体" w:eastAsia="宋体" w:cs="宋体"/>
                              <w:color w:val="000000"/>
                              <w:sz w:val="24"/>
                            </w:rPr>
                          </w:pPr>
                          <w:r>
                            <w:rPr>
                              <w:rFonts w:hint="eastAsia" w:ascii="宋体" w:hAnsi="宋体" w:eastAsia="宋体" w:cs="宋体"/>
                              <w:color w:val="000000"/>
                              <w:sz w:val="24"/>
                            </w:rPr>
                            <w:t>110kV</w:t>
                          </w:r>
                        </w:p>
                        <w:p>
                          <w:pPr>
                            <w:spacing w:before="60" w:after="60"/>
                            <w:jc w:val="center"/>
                            <w:rPr>
                              <w:rFonts w:ascii="宋体" w:hAnsi="宋体" w:eastAsia="宋体"/>
                              <w:sz w:val="24"/>
                            </w:rPr>
                          </w:pPr>
                          <w:r>
                            <w:rPr>
                              <w:rFonts w:hint="eastAsia" w:ascii="宋体" w:hAnsi="宋体" w:eastAsia="宋体"/>
                              <w:sz w:val="24"/>
                            </w:rPr>
                            <w:t>变电站</w:t>
                          </w:r>
                        </w:p>
                      </w:txbxContent>
                    </v:textbox>
                  </v:rect>
                  <v:rect id="Rectangle 2923" o:spid="_x0000_s2279" o:spt="1" style="position:absolute;left:4536;top:9552;height:347;width:211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v:path/>
                    <v:fill on="f" focussize="0,0"/>
                    <v:stroke on="f"/>
                    <v:imagedata o:title=""/>
                    <o:lock v:ext="edit"/>
                    <v:textbox inset="0mm,0mm,0mm,0mm">
                      <w:txbxContent>
                        <w:p>
                          <w:pPr>
                            <w:spacing w:before="60" w:after="60"/>
                            <w:jc w:val="center"/>
                            <w:rPr>
                              <w:rFonts w:ascii="宋体" w:hAnsi="宋体" w:eastAsia="宋体"/>
                            </w:rPr>
                          </w:pPr>
                          <w:r>
                            <w:rPr>
                              <w:rFonts w:hint="eastAsia" w:ascii="宋体" w:hAnsi="宋体" w:eastAsia="宋体" w:cs="宋体"/>
                              <w:color w:val="000000"/>
                              <w:sz w:val="24"/>
                            </w:rPr>
                            <w:t>输电线路</w:t>
                          </w:r>
                        </w:p>
                      </w:txbxContent>
                    </v:textbox>
                  </v:rect>
                  <v:line id="Line 2925" o:spid="_x0000_s2280" o:spt="20" style="position:absolute;left:5576;top:9009;flip:x y;height:543;width: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HOsUAAADcAAAADwAAAGRycy9kb3ducmV2LnhtbESPQWvCQBSE7wX/w/KE3urGHIJNXUWE&#10;Qg9etFKvL9nXbDT7NsmuMf33XUHwOMzMN8xyPdpGDNT72rGC+SwBQVw6XXOl4Pj9+bYA4QOyxsYx&#10;KfgjD+vV5GWJuXY33tNwCJWIEPY5KjAhtLmUvjRk0c9cSxy9X9dbDFH2ldQ93iLcNjJNkkxarDku&#10;GGxpa6i8HK5WwVBc5+ef3f7ii1P3XixMt911mVKv03HzASLQGJ7hR/tLK0jTD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IHOsUAAADcAAAADwAAAAAAAAAA&#10;AAAAAAChAgAAZHJzL2Rvd25yZXYueG1sUEsFBgAAAAAEAAQA+QAAAJMDAAAAAA==&#10;">
                    <v:path arrowok="t"/>
                    <v:fill focussize="0,0"/>
                    <v:stroke endarrow="block"/>
                    <v:imagedata o:title=""/>
                    <o:lock v:ext="edit"/>
                  </v:line>
                  <v:line id="Line 2926" o:spid="_x0000_s2281" o:spt="20" style="position:absolute;left:7380;top:8928;height:171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v:path arrowok="t"/>
                    <v:fill focussize="0,0"/>
                    <v:stroke weight="1pt"/>
                    <v:imagedata o:title=""/>
                    <o:lock v:ext="edit"/>
                  </v:line>
                  <v:line id="Line 2927" o:spid="_x0000_s2282" o:spt="20" style="position:absolute;left:4140;top:9552;height:0;width:32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path arrowok="t"/>
                    <v:fill focussize="0,0"/>
                    <v:stroke/>
                    <v:imagedata o:title=""/>
                    <o:lock v:ext="edit"/>
                  </v:line>
                  <v:line id="Line 2929" o:spid="_x0000_s2283" o:spt="20" style="position:absolute;left:7560;top:8928;height:171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v:path arrowok="t"/>
                    <v:fill focussize="0,0"/>
                    <v:stroke weight="1pt"/>
                    <v:imagedata o:title=""/>
                    <o:lock v:ext="edit"/>
                  </v:line>
                  <v:line id="Line 2930" o:spid="_x0000_s2284" o:spt="20" style="position:absolute;left:7740;top:8928;height:171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wScUAAADcAAAADwAAAGRycy9kb3ducmV2LnhtbESP0WoCMRRE3wv9h3ALvtWsC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wwScUAAADcAAAADwAAAAAAAAAA&#10;AAAAAAChAgAAZHJzL2Rvd25yZXYueG1sUEsFBgAAAAAEAAQA+QAAAJMDAAAAAA==&#10;">
                    <v:path arrowok="t"/>
                    <v:fill focussize="0,0"/>
                    <v:stroke weight="1pt"/>
                    <v:imagedata o:title=""/>
                    <o:lock v:ext="edit"/>
                  </v:line>
                </v:group>
              </w:pict>
            </w:r>
          </w:p>
          <w:p>
            <w:pPr>
              <w:adjustRightInd w:val="0"/>
              <w:snapToGrid w:val="0"/>
              <w:spacing w:beforeLines="50" w:line="360" w:lineRule="auto"/>
              <w:jc w:val="left"/>
              <w:rPr>
                <w:rFonts w:eastAsia="宋体"/>
                <w:b/>
                <w:bCs/>
                <w:sz w:val="24"/>
              </w:rPr>
            </w:pPr>
          </w:p>
          <w:p>
            <w:pPr>
              <w:adjustRightInd w:val="0"/>
              <w:snapToGrid w:val="0"/>
              <w:spacing w:beforeLines="50" w:line="360" w:lineRule="auto"/>
              <w:jc w:val="left"/>
              <w:rPr>
                <w:rFonts w:eastAsia="宋体"/>
                <w:b/>
                <w:bCs/>
                <w:sz w:val="24"/>
              </w:rPr>
            </w:pPr>
          </w:p>
          <w:p>
            <w:pPr>
              <w:adjustRightInd w:val="0"/>
              <w:snapToGrid w:val="0"/>
              <w:spacing w:beforeLines="50" w:line="360" w:lineRule="auto"/>
              <w:jc w:val="left"/>
              <w:rPr>
                <w:rFonts w:eastAsia="宋体"/>
                <w:b/>
                <w:bCs/>
                <w:sz w:val="24"/>
              </w:rPr>
            </w:pPr>
          </w:p>
          <w:p>
            <w:pPr>
              <w:pStyle w:val="4"/>
              <w:jc w:val="center"/>
              <w:rPr>
                <w:rFonts w:ascii="Times New Roman" w:hAnsi="Times New Roman"/>
                <w:sz w:val="24"/>
                <w:szCs w:val="21"/>
              </w:rPr>
            </w:pPr>
          </w:p>
          <w:p>
            <w:pPr>
              <w:pStyle w:val="4"/>
              <w:jc w:val="center"/>
              <w:rPr>
                <w:rFonts w:ascii="Times New Roman" w:hAnsi="Times New Roman"/>
                <w:sz w:val="24"/>
                <w:szCs w:val="21"/>
              </w:rPr>
            </w:pPr>
          </w:p>
          <w:p>
            <w:pPr>
              <w:pStyle w:val="4"/>
              <w:jc w:val="center"/>
              <w:rPr>
                <w:rFonts w:ascii="Times New Roman" w:hAnsi="Times New Roman"/>
                <w:sz w:val="24"/>
                <w:szCs w:val="21"/>
              </w:rPr>
            </w:pPr>
            <w:r>
              <w:rPr>
                <w:rFonts w:ascii="Times New Roman" w:hAnsi="Times New Roman"/>
                <w:sz w:val="24"/>
                <w:szCs w:val="21"/>
              </w:rPr>
              <w:t>5-3  输电线路运行期产污节点图</w:t>
            </w:r>
          </w:p>
          <w:p>
            <w:r>
              <w:pict>
                <v:group id="_x0000_s2295" o:spid="_x0000_s2295" o:spt="203" style="position:absolute;left:0pt;margin-left:121.45pt;margin-top:18.7pt;height:65.1pt;width:152.1pt;z-index:251668480;mso-width-relative:page;mso-height-relative:page;" coordorigin="2805,8792" coordsize="3042,1302">
                  <o:lock v:ext="edit"/>
                  <v:group id="_x0000_s2288" o:spid="_x0000_s2288" o:spt="203" style="position:absolute;left:3484;top:8863;height:1666;width:360;rotation:-5898240f;" coordorigin="7510,6398" coordsize="360,1666">
                    <o:lock v:ext="edit"/>
                    <v:line id="Line 2926" o:spid="_x0000_s2289" o:spt="20" style="position:absolute;left:7510;top:6398;height:166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v:path arrowok="t"/>
                      <v:fill focussize="0,0"/>
                      <v:stroke weight="1pt"/>
                      <v:imagedata o:title=""/>
                      <o:lock v:ext="edit"/>
                    </v:line>
                    <v:line id="Line 2929" o:spid="_x0000_s2290" o:spt="20" style="position:absolute;left:7690;top:6398;height:166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v:path arrowok="t"/>
                      <v:fill focussize="0,0"/>
                      <v:stroke weight="1pt"/>
                      <v:imagedata o:title=""/>
                      <o:lock v:ext="edit"/>
                    </v:line>
                    <v:line id="Line 2930" o:spid="_x0000_s2291" o:spt="20" style="position:absolute;left:7870;top:6398;height:166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wScUAAADcAAAADwAAAGRycy9kb3ducmV2LnhtbESP0WoCMRRE3wv9h3ALvtWsC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wwScUAAADcAAAADwAAAAAAAAAA&#10;AAAAAAChAgAAZHJzL2Rvd25yZXYueG1sUEsFBgAAAAAEAAQA+QAAAJMDAAAAAA==&#10;">
                      <v:path arrowok="t"/>
                      <v:fill focussize="0,0"/>
                      <v:stroke weight="1pt"/>
                      <v:imagedata o:title=""/>
                      <o:lock v:ext="edit"/>
                    </v:line>
                  </v:group>
                  <v:shape id="_x0000_s2292" o:spid="_x0000_s2292" o:spt="202" type="#_x0000_t202" style="position:absolute;left:4497;top:9244;height:850;width:1350;" filled="f" coordsize="21600,21600">
                    <v:path/>
                    <v:fill on="f" focussize="0,0"/>
                    <v:stroke joinstyle="miter"/>
                    <v:imagedata o:title=""/>
                    <o:lock v:ext="edit"/>
                    <v:textbox>
                      <w:txbxContent>
                        <w:p>
                          <w:pPr>
                            <w:spacing w:after="60" w:line="360" w:lineRule="exact"/>
                            <w:jc w:val="center"/>
                            <w:rPr>
                              <w:rFonts w:ascii="宋体" w:hAnsi="宋体" w:eastAsia="宋体" w:cs="宋体"/>
                              <w:color w:val="000000"/>
                              <w:sz w:val="24"/>
                            </w:rPr>
                          </w:pPr>
                          <w:r>
                            <w:rPr>
                              <w:rFonts w:hint="eastAsia" w:ascii="宋体" w:hAnsi="宋体" w:eastAsia="宋体" w:cs="宋体"/>
                              <w:color w:val="000000"/>
                              <w:sz w:val="24"/>
                            </w:rPr>
                            <w:t>（间隔）月湾变</w:t>
                          </w:r>
                        </w:p>
                      </w:txbxContent>
                    </v:textbox>
                  </v:shape>
                  <v:shape id="_x0000_s2293" o:spid="_x0000_s2293" o:spt="202" type="#_x0000_t202" style="position:absolute;left:2805;top:8792;height:654;width:1493;" filled="f" stroked="f" coordsize="21600,21600">
                    <v:path/>
                    <v:fill on="f" focussize="0,0"/>
                    <v:stroke on="f" joinstyle="miter"/>
                    <v:imagedata o:title=""/>
                    <o:lock v:ext="edit"/>
                    <v:textbox>
                      <w:txbxContent>
                        <w:p>
                          <w:pPr>
                            <w:spacing w:before="60" w:after="60"/>
                            <w:jc w:val="center"/>
                            <w:rPr>
                              <w:rFonts w:eastAsia="宋体"/>
                              <w:color w:val="000000"/>
                              <w:sz w:val="24"/>
                            </w:rPr>
                          </w:pPr>
                          <w:r>
                            <w:rPr>
                              <w:rFonts w:eastAsia="宋体"/>
                              <w:color w:val="000000"/>
                              <w:sz w:val="24"/>
                            </w:rPr>
                            <w:t>110kV</w:t>
                          </w:r>
                          <w:r>
                            <w:rPr>
                              <w:rFonts w:hAnsi="宋体" w:eastAsia="宋体"/>
                              <w:color w:val="000000"/>
                              <w:sz w:val="24"/>
                            </w:rPr>
                            <w:t>进线</w:t>
                          </w:r>
                        </w:p>
                      </w:txbxContent>
                    </v:textbox>
                  </v:shape>
                </v:group>
              </w:pict>
            </w:r>
          </w:p>
          <w:p/>
          <w:p>
            <w:r>
              <w:pict>
                <v:shape id="_x0000_s2296" o:spid="_x0000_s2296" o:spt="32" type="#_x0000_t32" style="position:absolute;left:0pt;margin-left:241.2pt;margin-top:21.4pt;height:22.35pt;width:0.6pt;z-index:251669504;mso-width-relative:page;mso-height-relative:page;" o:connectortype="straight" filled="f" coordsize="21600,21600">
                  <v:path arrowok="t"/>
                  <v:fill on="f" focussize="0,0"/>
                  <v:stroke endarrow="block"/>
                  <v:imagedata o:title=""/>
                  <o:lock v:ext="edit"/>
                </v:shape>
              </w:pict>
            </w:r>
          </w:p>
          <w:p>
            <w:r>
              <w:pict>
                <v:shape id="_x0000_s2297" o:spid="_x0000_s2297" o:spt="202" type="#_x0000_t202" style="position:absolute;left:0pt;margin-left:206.05pt;margin-top:12.55pt;height:43.2pt;width:73.75pt;z-index:251670528;mso-width-relative:page;mso-height-relative:page;" filled="f" stroked="f" coordsize="21600,21600">
                  <v:path/>
                  <v:fill on="f" focussize="0,0"/>
                  <v:stroke on="f" joinstyle="miter"/>
                  <v:imagedata o:title=""/>
                  <o:lock v:ext="edit"/>
                  <v:textbox>
                    <w:txbxContent>
                      <w:p>
                        <w:pPr>
                          <w:spacing w:line="240" w:lineRule="exact"/>
                          <w:jc w:val="center"/>
                          <w:rPr>
                            <w:rFonts w:ascii="宋体" w:eastAsia="宋体" w:cs="宋体"/>
                            <w:color w:val="000000"/>
                            <w:sz w:val="22"/>
                            <w:szCs w:val="22"/>
                          </w:rPr>
                        </w:pPr>
                        <w:r>
                          <w:rPr>
                            <w:rFonts w:hint="eastAsia" w:ascii="宋体" w:eastAsia="宋体" w:cs="宋体"/>
                            <w:color w:val="000000"/>
                            <w:sz w:val="22"/>
                            <w:szCs w:val="22"/>
                          </w:rPr>
                          <w:t>工频电场</w:t>
                        </w:r>
                      </w:p>
                      <w:p>
                        <w:pPr>
                          <w:spacing w:line="240" w:lineRule="exact"/>
                          <w:jc w:val="center"/>
                          <w:rPr>
                            <w:rFonts w:ascii="宋体" w:eastAsia="宋体" w:cs="宋体"/>
                            <w:color w:val="000000"/>
                            <w:sz w:val="22"/>
                            <w:szCs w:val="22"/>
                          </w:rPr>
                        </w:pPr>
                        <w:r>
                          <w:rPr>
                            <w:rFonts w:hint="eastAsia" w:ascii="宋体" w:eastAsia="宋体" w:cs="宋体"/>
                            <w:color w:val="000000"/>
                            <w:sz w:val="22"/>
                            <w:szCs w:val="22"/>
                          </w:rPr>
                          <w:t>工频磁场</w:t>
                        </w:r>
                      </w:p>
                      <w:p>
                        <w:pPr>
                          <w:spacing w:line="240" w:lineRule="exact"/>
                          <w:jc w:val="center"/>
                          <w:rPr>
                            <w:rFonts w:ascii="宋体" w:eastAsia="宋体" w:cs="宋体"/>
                            <w:color w:val="000000"/>
                            <w:sz w:val="22"/>
                            <w:szCs w:val="22"/>
                          </w:rPr>
                        </w:pPr>
                        <w:r>
                          <w:rPr>
                            <w:rFonts w:hint="eastAsia" w:ascii="宋体" w:eastAsia="宋体" w:cs="宋体"/>
                            <w:color w:val="000000"/>
                            <w:sz w:val="22"/>
                            <w:szCs w:val="22"/>
                          </w:rPr>
                          <w:t>噪   声</w:t>
                        </w:r>
                      </w:p>
                      <w:p>
                        <w:pPr>
                          <w:jc w:val="center"/>
                          <w:rPr>
                            <w:rFonts w:ascii="宋体" w:eastAsia="宋体" w:cs="宋体"/>
                            <w:color w:val="000000"/>
                            <w:sz w:val="22"/>
                            <w:szCs w:val="22"/>
                          </w:rPr>
                        </w:pPr>
                      </w:p>
                      <w:p>
                        <w:pPr>
                          <w:jc w:val="center"/>
                        </w:pPr>
                      </w:p>
                    </w:txbxContent>
                  </v:textbox>
                </v:shape>
              </w:pict>
            </w:r>
          </w:p>
          <w:p>
            <w:pPr>
              <w:adjustRightInd w:val="0"/>
              <w:snapToGrid w:val="0"/>
              <w:spacing w:line="520" w:lineRule="exact"/>
              <w:jc w:val="left"/>
              <w:rPr>
                <w:rFonts w:eastAsia="宋体"/>
                <w:b/>
                <w:sz w:val="24"/>
              </w:rPr>
            </w:pPr>
          </w:p>
          <w:p>
            <w:pPr>
              <w:autoSpaceDE w:val="0"/>
              <w:autoSpaceDN w:val="0"/>
              <w:adjustRightInd w:val="0"/>
              <w:spacing w:line="520" w:lineRule="exact"/>
              <w:ind w:firstLine="480" w:firstLineChars="200"/>
              <w:jc w:val="center"/>
              <w:rPr>
                <w:rFonts w:eastAsia="黑体"/>
                <w:b/>
                <w:sz w:val="24"/>
              </w:rPr>
            </w:pPr>
            <w:r>
              <w:rPr>
                <w:rFonts w:eastAsia="黑体"/>
                <w:sz w:val="24"/>
                <w:szCs w:val="21"/>
              </w:rPr>
              <w:t>5-4</w:t>
            </w:r>
            <w:r>
              <w:rPr>
                <w:rFonts w:hAnsi="黑体" w:eastAsia="黑体"/>
                <w:sz w:val="24"/>
                <w:szCs w:val="21"/>
              </w:rPr>
              <w:t>月湾变运行期产污节点</w:t>
            </w:r>
          </w:p>
          <w:p>
            <w:pPr>
              <w:autoSpaceDE w:val="0"/>
              <w:autoSpaceDN w:val="0"/>
              <w:adjustRightInd w:val="0"/>
              <w:spacing w:line="520" w:lineRule="exact"/>
              <w:rPr>
                <w:rFonts w:eastAsia="宋体"/>
                <w:b/>
                <w:sz w:val="24"/>
              </w:rPr>
            </w:pPr>
            <w:r>
              <w:rPr>
                <w:rFonts w:hint="eastAsia" w:eastAsia="宋体"/>
                <w:b/>
                <w:sz w:val="24"/>
              </w:rPr>
              <w:t>5.3</w:t>
            </w:r>
            <w:r>
              <w:rPr>
                <w:rFonts w:hAnsi="宋体" w:eastAsia="宋体"/>
                <w:b/>
                <w:sz w:val="24"/>
              </w:rPr>
              <w:t>电磁环境</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升压站、输电线路在运行时，交变电流产生交变的电磁场，向空间传播电磁波，对环境的影响因子主要为工频电场、工频磁场。升压站内高压电气设备及导线在周围空间会产生工频电场、工频磁场，升压站内各种电气设备、导线、金具都可产生局部电晕放电，从而产生电晕无线电干扰源对环境的影响。无线电干扰主要造成对附近无线电接收或发射设备的干扰。电晕现象会在项目投入运行后逐步减弱并趋向稳定。</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因此，升压站、输电线路运行期的主要污染因子有：工频电场、工频磁场和噪声、废气、生活污水、固废等。</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w:t>
            </w:r>
            <w:r>
              <w:rPr>
                <w:rFonts w:eastAsia="宋体"/>
                <w:spacing w:val="-2"/>
                <w:kern w:val="16"/>
                <w:sz w:val="24"/>
              </w:rPr>
              <w:t>1</w:t>
            </w:r>
            <w:r>
              <w:rPr>
                <w:rFonts w:hint="eastAsia" w:eastAsia="宋体"/>
                <w:spacing w:val="-2"/>
                <w:kern w:val="16"/>
                <w:sz w:val="24"/>
              </w:rPr>
              <w:t>）工频电场、工频磁场</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工频即指工业频率，工频电场、工频磁场即指以特定工作频率交变的电场和磁场。我国输变电工业的工作频率为</w:t>
            </w:r>
            <w:r>
              <w:rPr>
                <w:rFonts w:eastAsia="宋体"/>
                <w:spacing w:val="-2"/>
                <w:kern w:val="16"/>
                <w:sz w:val="24"/>
              </w:rPr>
              <w:t>50Hz</w:t>
            </w:r>
            <w:r>
              <w:rPr>
                <w:rFonts w:hint="eastAsia" w:eastAsia="宋体"/>
                <w:spacing w:val="-2"/>
                <w:kern w:val="16"/>
                <w:sz w:val="24"/>
              </w:rPr>
              <w:t>。</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升压站内高压电气设备及导线在周围空间形成电、磁场，升压站内各种</w:t>
            </w:r>
            <w:r>
              <w:rPr>
                <w:rFonts w:eastAsia="宋体"/>
                <w:spacing w:val="-2"/>
                <w:kern w:val="16"/>
                <w:sz w:val="24"/>
              </w:rPr>
              <w:t>110kV</w:t>
            </w:r>
            <w:r>
              <w:rPr>
                <w:rFonts w:hint="eastAsia" w:eastAsia="宋体"/>
                <w:spacing w:val="-2"/>
                <w:kern w:val="16"/>
                <w:sz w:val="24"/>
              </w:rPr>
              <w:t>电气设备、导线都可产生局部电晕放电，构成电晕无线电干扰源从而产生无线电干扰对环境造成影响。输电线路在运行时，交变电流产生交变的电磁场，向空间传播电磁波，对环境的影响主要为工频电场、工频磁场。</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w:t>
            </w:r>
            <w:r>
              <w:rPr>
                <w:rFonts w:eastAsia="宋体"/>
                <w:spacing w:val="-2"/>
                <w:kern w:val="16"/>
                <w:sz w:val="24"/>
              </w:rPr>
              <w:t>2</w:t>
            </w:r>
            <w:r>
              <w:rPr>
                <w:rFonts w:hint="eastAsia" w:eastAsia="宋体"/>
                <w:spacing w:val="-2"/>
                <w:kern w:val="16"/>
                <w:sz w:val="24"/>
              </w:rPr>
              <w:t>）噪声</w:t>
            </w:r>
            <w:r>
              <w:rPr>
                <w:rFonts w:eastAsia="宋体"/>
                <w:spacing w:val="-2"/>
                <w:kern w:val="16"/>
                <w:sz w:val="24"/>
              </w:rPr>
              <w:tab/>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升压站内的变压器及其冷却风扇运行会产生连续电磁性和机械性噪声，断路器等电气设备在操作、火花及电晕放电时会产生暂态的机械性噪声和电磁性噪声。</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（3）废气</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项目升压站设置有食堂，食堂做饭时将会产生一定的油烟废气。</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（4）废水</w:t>
            </w:r>
          </w:p>
          <w:p>
            <w:pPr>
              <w:spacing w:line="520" w:lineRule="exact"/>
              <w:ind w:firstLine="472" w:firstLineChars="200"/>
              <w:rPr>
                <w:rFonts w:eastAsia="宋体"/>
                <w:sz w:val="24"/>
              </w:rPr>
            </w:pPr>
            <w:r>
              <w:rPr>
                <w:rFonts w:eastAsia="宋体"/>
                <w:spacing w:val="-2"/>
                <w:kern w:val="16"/>
                <w:sz w:val="24"/>
              </w:rPr>
              <w:t>110kV</w:t>
            </w:r>
            <w:r>
              <w:rPr>
                <w:rFonts w:hAnsi="宋体" w:eastAsia="宋体"/>
                <w:spacing w:val="-2"/>
                <w:kern w:val="16"/>
                <w:sz w:val="24"/>
              </w:rPr>
              <w:t>升压站站内工作人员为风电场管理人员及升压站维护人员，共</w:t>
            </w:r>
            <w:r>
              <w:rPr>
                <w:rFonts w:eastAsia="宋体"/>
                <w:spacing w:val="-2"/>
                <w:kern w:val="16"/>
                <w:sz w:val="24"/>
              </w:rPr>
              <w:t>14</w:t>
            </w:r>
            <w:r>
              <w:rPr>
                <w:rFonts w:hAnsi="宋体" w:eastAsia="宋体"/>
                <w:spacing w:val="-2"/>
                <w:kern w:val="16"/>
                <w:sz w:val="24"/>
              </w:rPr>
              <w:t>人，</w:t>
            </w:r>
            <w:r>
              <w:rPr>
                <w:rFonts w:hAnsi="宋体" w:eastAsia="宋体"/>
                <w:sz w:val="24"/>
              </w:rPr>
              <w:t>日常办公生活中会产生一定量的生活污水，约</w:t>
            </w:r>
            <w:r>
              <w:rPr>
                <w:rFonts w:eastAsia="宋体"/>
                <w:sz w:val="24"/>
              </w:rPr>
              <w:t>1.12m</w:t>
            </w:r>
            <w:r>
              <w:rPr>
                <w:rFonts w:eastAsia="宋体"/>
                <w:sz w:val="24"/>
                <w:vertAlign w:val="superscript"/>
              </w:rPr>
              <w:t>3</w:t>
            </w:r>
            <w:r>
              <w:rPr>
                <w:rFonts w:eastAsia="宋体"/>
                <w:sz w:val="24"/>
              </w:rPr>
              <w:t>/d</w:t>
            </w:r>
            <w:r>
              <w:rPr>
                <w:rFonts w:hAnsi="宋体" w:eastAsia="宋体"/>
                <w:sz w:val="24"/>
              </w:rPr>
              <w:t>。</w:t>
            </w:r>
            <w:r>
              <w:rPr>
                <w:rFonts w:hint="eastAsia" w:eastAsia="宋体"/>
                <w:spacing w:val="-2"/>
                <w:kern w:val="16"/>
                <w:sz w:val="24"/>
              </w:rPr>
              <w:t>输电线路运行期无废污水排放。</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（5）固废</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本项目产生的固废主要为职工生活垃圾。</w:t>
            </w:r>
            <w:r>
              <w:rPr>
                <w:rFonts w:hAnsi="宋体" w:eastAsia="宋体"/>
                <w:spacing w:val="-2"/>
                <w:kern w:val="16"/>
                <w:sz w:val="24"/>
              </w:rPr>
              <w:t>风电场管理人员及升压站维护人员</w:t>
            </w:r>
            <w:r>
              <w:rPr>
                <w:rFonts w:hint="eastAsia" w:hAnsi="宋体" w:eastAsia="宋体"/>
                <w:spacing w:val="-2"/>
                <w:kern w:val="16"/>
                <w:sz w:val="24"/>
              </w:rPr>
              <w:t>共</w:t>
            </w:r>
            <w:r>
              <w:rPr>
                <w:rFonts w:hint="eastAsia" w:eastAsia="宋体"/>
                <w:spacing w:val="-2"/>
                <w:kern w:val="16"/>
                <w:sz w:val="24"/>
              </w:rPr>
              <w:t>14人，每人每天生活垃圾产生量按1.0kg 计，年工作时间按365天计，则升压站生活垃圾产生量为0.014t/d（</w:t>
            </w:r>
            <w:r>
              <w:rPr>
                <w:rFonts w:eastAsia="宋体"/>
                <w:sz w:val="24"/>
              </w:rPr>
              <w:t>5.</w:t>
            </w:r>
            <w:r>
              <w:rPr>
                <w:rFonts w:hint="eastAsia" w:eastAsia="宋体"/>
                <w:sz w:val="24"/>
              </w:rPr>
              <w:t>11</w:t>
            </w:r>
            <w:r>
              <w:rPr>
                <w:rFonts w:eastAsia="宋体"/>
                <w:sz w:val="24"/>
              </w:rPr>
              <w:t>t/a</w:t>
            </w:r>
            <w:r>
              <w:rPr>
                <w:rFonts w:hint="eastAsia" w:eastAsia="宋体"/>
                <w:spacing w:val="-2"/>
                <w:kern w:val="16"/>
                <w:sz w:val="24"/>
              </w:rPr>
              <w:t xml:space="preserve"> t/a），统一收集后由当地环卫部门统一清运。</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升压站内的蓄电池是直流系统中不可缺少的设备，当需要更换时，废旧蓄电池由有资质的单位回收。升压站内使用蓄电池作为信号指示、仪表记录、操作机构和储能机构电源备用，蓄电池正常使用情况下，</w:t>
            </w:r>
            <w:r>
              <w:rPr>
                <w:rFonts w:eastAsia="宋体"/>
                <w:spacing w:val="-2"/>
                <w:kern w:val="16"/>
                <w:sz w:val="24"/>
              </w:rPr>
              <w:t>6-8</w:t>
            </w:r>
            <w:r>
              <w:rPr>
                <w:rFonts w:hint="eastAsia" w:eastAsia="宋体"/>
                <w:spacing w:val="-2"/>
                <w:kern w:val="16"/>
                <w:sz w:val="24"/>
              </w:rPr>
              <w:t>年更换一次，更换后的蓄电池作为危险废物交由具有处置资质的单位进行处理。</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升压站的变压器为了绝缘和冷却的需要，其外壳内装有大量变压器油，正常情况下变压器油不外排，在事故和检修过程中的失控状态下变压器油排入事故油池，其产生的废变压器油属于《国家危险废物名录》中的编号为HW08-900-220-08的危险废物。废变压器油由有资质单位回收。</w:t>
            </w:r>
          </w:p>
          <w:p>
            <w:pPr>
              <w:autoSpaceDE w:val="0"/>
              <w:autoSpaceDN w:val="0"/>
              <w:adjustRightInd w:val="0"/>
              <w:spacing w:line="520" w:lineRule="exact"/>
              <w:ind w:firstLine="472" w:firstLineChars="200"/>
              <w:rPr>
                <w:rFonts w:eastAsia="宋体"/>
                <w:spacing w:val="-2"/>
                <w:kern w:val="16"/>
                <w:sz w:val="24"/>
              </w:rPr>
            </w:pPr>
            <w:r>
              <w:rPr>
                <w:rFonts w:hint="eastAsia" w:eastAsia="宋体"/>
                <w:spacing w:val="-2"/>
                <w:kern w:val="16"/>
                <w:sz w:val="24"/>
              </w:rPr>
              <w:t>（6）环境风险</w:t>
            </w:r>
          </w:p>
          <w:p>
            <w:pPr>
              <w:autoSpaceDE w:val="0"/>
              <w:autoSpaceDN w:val="0"/>
              <w:adjustRightInd w:val="0"/>
              <w:spacing w:line="520" w:lineRule="exact"/>
              <w:ind w:firstLine="480" w:firstLineChars="200"/>
              <w:rPr>
                <w:rFonts w:eastAsia="宋体"/>
                <w:spacing w:val="-2"/>
                <w:kern w:val="16"/>
                <w:sz w:val="24"/>
              </w:rPr>
            </w:pPr>
            <w:r>
              <w:rPr>
                <w:rFonts w:hint="eastAsia" w:eastAsia="宋体"/>
                <w:sz w:val="24"/>
                <w:szCs w:val="28"/>
              </w:rPr>
              <w:t>本工程的环境风险主要来自变压器油。变压器油是由许多不同分子量的碳氢化合物组成，即主要由烷烃、环烷烃和芳香烃组成。主要风险是变压器油的泄漏。</w:t>
            </w:r>
            <w:r>
              <w:rPr>
                <w:rFonts w:eastAsia="宋体"/>
                <w:sz w:val="24"/>
                <w:szCs w:val="28"/>
              </w:rPr>
              <w:cr/>
            </w:r>
            <w:r>
              <w:rPr>
                <w:rFonts w:hint="eastAsia" w:eastAsia="宋体"/>
                <w:sz w:val="24"/>
                <w:szCs w:val="28"/>
              </w:rPr>
              <w:t>通过咨询设计单位，该型号主变压器油密度为900kg/m</w:t>
            </w:r>
            <w:r>
              <w:rPr>
                <w:rFonts w:hint="eastAsia" w:eastAsia="宋体"/>
                <w:sz w:val="24"/>
                <w:szCs w:val="28"/>
                <w:vertAlign w:val="superscript"/>
              </w:rPr>
              <w:t>3</w:t>
            </w:r>
            <w:r>
              <w:rPr>
                <w:rFonts w:hint="eastAsia" w:eastAsia="宋体"/>
                <w:sz w:val="24"/>
                <w:szCs w:val="28"/>
              </w:rPr>
              <w:t>，根据可研资料，本工程110kV升压站内拟建设容积为50m</w:t>
            </w:r>
            <w:r>
              <w:rPr>
                <w:rFonts w:hint="eastAsia" w:eastAsia="宋体"/>
                <w:sz w:val="24"/>
                <w:szCs w:val="28"/>
                <w:vertAlign w:val="superscript"/>
              </w:rPr>
              <w:t>3</w:t>
            </w:r>
            <w:r>
              <w:rPr>
                <w:rFonts w:hint="eastAsia" w:eastAsia="宋体"/>
                <w:sz w:val="24"/>
                <w:szCs w:val="28"/>
              </w:rPr>
              <w:t>事故油池一座，终期主变储油量约为22.5t（折合容积为25m</w:t>
            </w:r>
            <w:r>
              <w:rPr>
                <w:rFonts w:hint="eastAsia" w:eastAsia="宋体"/>
                <w:sz w:val="24"/>
                <w:szCs w:val="28"/>
                <w:vertAlign w:val="superscript"/>
              </w:rPr>
              <w:t>3</w:t>
            </w:r>
            <w:r>
              <w:rPr>
                <w:rFonts w:hint="eastAsia" w:eastAsia="宋体"/>
                <w:sz w:val="24"/>
                <w:szCs w:val="28"/>
              </w:rPr>
              <w:t>&lt;40m</w:t>
            </w:r>
            <w:r>
              <w:rPr>
                <w:rFonts w:hint="eastAsia" w:eastAsia="宋体"/>
                <w:sz w:val="24"/>
                <w:szCs w:val="28"/>
                <w:vertAlign w:val="superscript"/>
              </w:rPr>
              <w:t>3</w:t>
            </w:r>
            <w:r>
              <w:rPr>
                <w:rFonts w:hint="eastAsia" w:eastAsia="宋体"/>
                <w:sz w:val="24"/>
                <w:szCs w:val="28"/>
              </w:rPr>
              <w:t>）。升压站内本期主变容量为1×80MVA，拟建容积为50m</w:t>
            </w:r>
            <w:r>
              <w:rPr>
                <w:rFonts w:hint="eastAsia" w:eastAsia="宋体"/>
                <w:sz w:val="24"/>
                <w:szCs w:val="28"/>
                <w:vertAlign w:val="superscript"/>
              </w:rPr>
              <w:t>3</w:t>
            </w:r>
            <w:r>
              <w:rPr>
                <w:rFonts w:hint="eastAsia" w:eastAsia="宋体"/>
                <w:sz w:val="24"/>
                <w:szCs w:val="28"/>
              </w:rPr>
              <w:t>的事故油池能满足单台最大容量主变发生事故漏油时变压器油100%不外泄到环境中的要求。</w:t>
            </w: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p>
            <w:pPr>
              <w:rPr>
                <w:rFonts w:eastAsia="宋体"/>
                <w:sz w:val="24"/>
                <w:szCs w:val="28"/>
              </w:rPr>
            </w:pPr>
          </w:p>
        </w:tc>
      </w:tr>
    </w:tbl>
    <w:p>
      <w:pPr>
        <w:outlineLvl w:val="0"/>
        <w:rPr>
          <w:rFonts w:eastAsia="宋体"/>
          <w:b/>
          <w:bCs/>
          <w:sz w:val="30"/>
          <w:szCs w:val="30"/>
        </w:rPr>
      </w:pPr>
      <w:bookmarkStart w:id="29" w:name="_Toc37923285"/>
      <w:r>
        <w:rPr>
          <w:rFonts w:hint="eastAsia" w:eastAsia="宋体"/>
          <w:b/>
          <w:bCs/>
          <w:sz w:val="30"/>
          <w:szCs w:val="30"/>
        </w:rPr>
        <w:t>六、本项目主要污染物产生及预计排放情况</w:t>
      </w:r>
      <w:bookmarkEnd w:id="29"/>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8"/>
        <w:gridCol w:w="372"/>
        <w:gridCol w:w="1456"/>
        <w:gridCol w:w="1280"/>
        <w:gridCol w:w="1273"/>
        <w:gridCol w:w="1052"/>
        <w:gridCol w:w="1290"/>
        <w:gridCol w:w="1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gridSpan w:val="2"/>
            <w:tcBorders>
              <w:tl2br w:val="single" w:color="auto" w:sz="4" w:space="0"/>
            </w:tcBorders>
            <w:vAlign w:val="center"/>
          </w:tcPr>
          <w:p>
            <w:pPr>
              <w:jc w:val="right"/>
              <w:rPr>
                <w:rFonts w:eastAsia="宋体"/>
                <w:snapToGrid w:val="0"/>
                <w:sz w:val="21"/>
                <w:szCs w:val="22"/>
              </w:rPr>
            </w:pPr>
            <w:r>
              <w:rPr>
                <w:rFonts w:eastAsia="宋体"/>
                <w:snapToGrid w:val="0"/>
                <w:sz w:val="21"/>
                <w:szCs w:val="22"/>
              </w:rPr>
              <w:t>内容</w:t>
            </w:r>
          </w:p>
          <w:p>
            <w:pPr>
              <w:rPr>
                <w:rFonts w:eastAsia="宋体"/>
                <w:snapToGrid w:val="0"/>
                <w:sz w:val="21"/>
                <w:szCs w:val="22"/>
              </w:rPr>
            </w:pPr>
            <w:r>
              <w:rPr>
                <w:rFonts w:eastAsia="宋体"/>
                <w:snapToGrid w:val="0"/>
                <w:sz w:val="21"/>
                <w:szCs w:val="22"/>
              </w:rPr>
              <w:t>类型</w:t>
            </w:r>
          </w:p>
        </w:tc>
        <w:tc>
          <w:tcPr>
            <w:tcW w:w="854" w:type="pct"/>
            <w:vAlign w:val="center"/>
          </w:tcPr>
          <w:p>
            <w:pPr>
              <w:jc w:val="center"/>
              <w:rPr>
                <w:rFonts w:eastAsia="宋体"/>
                <w:snapToGrid w:val="0"/>
                <w:sz w:val="21"/>
                <w:szCs w:val="22"/>
              </w:rPr>
            </w:pPr>
            <w:r>
              <w:rPr>
                <w:rFonts w:eastAsia="宋体"/>
                <w:snapToGrid w:val="0"/>
                <w:sz w:val="21"/>
                <w:szCs w:val="22"/>
              </w:rPr>
              <w:t>排放源</w:t>
            </w:r>
          </w:p>
        </w:tc>
        <w:tc>
          <w:tcPr>
            <w:tcW w:w="751" w:type="pct"/>
            <w:vAlign w:val="center"/>
          </w:tcPr>
          <w:p>
            <w:pPr>
              <w:jc w:val="center"/>
              <w:rPr>
                <w:rFonts w:eastAsia="宋体"/>
                <w:snapToGrid w:val="0"/>
                <w:sz w:val="21"/>
                <w:szCs w:val="22"/>
              </w:rPr>
            </w:pPr>
            <w:r>
              <w:rPr>
                <w:rFonts w:eastAsia="宋体"/>
                <w:snapToGrid w:val="0"/>
                <w:sz w:val="21"/>
                <w:szCs w:val="22"/>
              </w:rPr>
              <w:t>污染物</w:t>
            </w:r>
          </w:p>
          <w:p>
            <w:pPr>
              <w:jc w:val="center"/>
              <w:rPr>
                <w:rFonts w:eastAsia="宋体"/>
                <w:snapToGrid w:val="0"/>
                <w:sz w:val="21"/>
                <w:szCs w:val="22"/>
              </w:rPr>
            </w:pPr>
            <w:r>
              <w:rPr>
                <w:rFonts w:eastAsia="宋体"/>
                <w:snapToGrid w:val="0"/>
                <w:sz w:val="21"/>
                <w:szCs w:val="22"/>
              </w:rPr>
              <w:t>名称</w:t>
            </w:r>
          </w:p>
        </w:tc>
        <w:tc>
          <w:tcPr>
            <w:tcW w:w="747" w:type="pct"/>
            <w:vAlign w:val="center"/>
          </w:tcPr>
          <w:p>
            <w:pPr>
              <w:jc w:val="center"/>
              <w:rPr>
                <w:rFonts w:eastAsia="宋体"/>
                <w:snapToGrid w:val="0"/>
                <w:sz w:val="21"/>
                <w:szCs w:val="22"/>
              </w:rPr>
            </w:pPr>
            <w:r>
              <w:rPr>
                <w:rFonts w:eastAsia="宋体"/>
                <w:snapToGrid w:val="0"/>
                <w:sz w:val="21"/>
                <w:szCs w:val="22"/>
              </w:rPr>
              <w:t>产生浓度</w:t>
            </w:r>
          </w:p>
        </w:tc>
        <w:tc>
          <w:tcPr>
            <w:tcW w:w="617" w:type="pct"/>
            <w:vAlign w:val="center"/>
          </w:tcPr>
          <w:p>
            <w:pPr>
              <w:ind w:left="-55" w:leftChars="-57" w:hanging="105" w:hangingChars="50"/>
              <w:jc w:val="center"/>
              <w:rPr>
                <w:rFonts w:eastAsia="宋体"/>
                <w:snapToGrid w:val="0"/>
                <w:sz w:val="21"/>
                <w:szCs w:val="22"/>
              </w:rPr>
            </w:pPr>
            <w:r>
              <w:rPr>
                <w:rFonts w:eastAsia="宋体"/>
                <w:snapToGrid w:val="0"/>
                <w:sz w:val="21"/>
                <w:szCs w:val="22"/>
              </w:rPr>
              <w:t>产生量</w:t>
            </w:r>
          </w:p>
        </w:tc>
        <w:tc>
          <w:tcPr>
            <w:tcW w:w="757" w:type="pct"/>
            <w:vAlign w:val="center"/>
          </w:tcPr>
          <w:p>
            <w:pPr>
              <w:jc w:val="center"/>
              <w:rPr>
                <w:rFonts w:eastAsia="宋体"/>
                <w:snapToGrid w:val="0"/>
                <w:sz w:val="21"/>
                <w:szCs w:val="22"/>
              </w:rPr>
            </w:pPr>
            <w:r>
              <w:rPr>
                <w:rFonts w:eastAsia="宋体"/>
                <w:snapToGrid w:val="0"/>
                <w:sz w:val="21"/>
                <w:szCs w:val="22"/>
              </w:rPr>
              <w:t>排放浓度</w:t>
            </w:r>
          </w:p>
        </w:tc>
        <w:tc>
          <w:tcPr>
            <w:tcW w:w="734" w:type="pct"/>
            <w:vAlign w:val="center"/>
          </w:tcPr>
          <w:p>
            <w:pPr>
              <w:jc w:val="center"/>
              <w:rPr>
                <w:rFonts w:eastAsia="宋体"/>
                <w:snapToGrid w:val="0"/>
                <w:sz w:val="21"/>
                <w:szCs w:val="22"/>
              </w:rPr>
            </w:pPr>
            <w:r>
              <w:rPr>
                <w:rFonts w:eastAsia="宋体"/>
                <w:snapToGrid w:val="0"/>
                <w:sz w:val="21"/>
                <w:szCs w:val="22"/>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 w:type="pct"/>
            <w:vAlign w:val="center"/>
          </w:tcPr>
          <w:p>
            <w:pPr>
              <w:jc w:val="center"/>
              <w:rPr>
                <w:rFonts w:eastAsia="宋体"/>
                <w:snapToGrid w:val="0"/>
                <w:sz w:val="21"/>
                <w:szCs w:val="22"/>
              </w:rPr>
            </w:pPr>
            <w:r>
              <w:rPr>
                <w:rFonts w:hAnsi="宋体" w:eastAsia="宋体"/>
                <w:snapToGrid w:val="0"/>
                <w:sz w:val="21"/>
                <w:szCs w:val="22"/>
              </w:rPr>
              <w:t>大气污染物</w:t>
            </w:r>
          </w:p>
        </w:tc>
        <w:tc>
          <w:tcPr>
            <w:tcW w:w="218" w:type="pct"/>
            <w:vAlign w:val="center"/>
          </w:tcPr>
          <w:p>
            <w:pPr>
              <w:spacing w:line="400" w:lineRule="exact"/>
              <w:jc w:val="center"/>
              <w:rPr>
                <w:rFonts w:hAnsi="宋体" w:eastAsia="宋体"/>
                <w:snapToGrid w:val="0"/>
                <w:sz w:val="21"/>
                <w:szCs w:val="22"/>
              </w:rPr>
            </w:pPr>
            <w:r>
              <w:rPr>
                <w:rFonts w:hint="eastAsia" w:hAnsi="宋体" w:eastAsia="宋体"/>
                <w:snapToGrid w:val="0"/>
                <w:sz w:val="21"/>
                <w:szCs w:val="22"/>
              </w:rPr>
              <w:t>营运期</w:t>
            </w:r>
          </w:p>
        </w:tc>
        <w:tc>
          <w:tcPr>
            <w:tcW w:w="854" w:type="pct"/>
            <w:shd w:val="clear" w:color="auto" w:fill="auto"/>
            <w:vAlign w:val="center"/>
          </w:tcPr>
          <w:p>
            <w:pPr>
              <w:spacing w:line="400" w:lineRule="exact"/>
              <w:jc w:val="center"/>
              <w:rPr>
                <w:rFonts w:hAnsi="宋体" w:eastAsia="宋体"/>
                <w:snapToGrid w:val="0"/>
                <w:sz w:val="21"/>
                <w:szCs w:val="22"/>
              </w:rPr>
            </w:pPr>
            <w:r>
              <w:rPr>
                <w:rFonts w:hint="eastAsia" w:hAnsi="宋体" w:eastAsia="宋体"/>
                <w:snapToGrid w:val="0"/>
                <w:sz w:val="21"/>
                <w:szCs w:val="22"/>
              </w:rPr>
              <w:t>食堂</w:t>
            </w:r>
          </w:p>
        </w:tc>
        <w:tc>
          <w:tcPr>
            <w:tcW w:w="751" w:type="pct"/>
            <w:vAlign w:val="center"/>
          </w:tcPr>
          <w:p>
            <w:pPr>
              <w:spacing w:line="400" w:lineRule="exact"/>
              <w:jc w:val="center"/>
              <w:rPr>
                <w:rFonts w:hAnsi="宋体" w:eastAsia="宋体"/>
                <w:snapToGrid w:val="0"/>
                <w:sz w:val="21"/>
                <w:szCs w:val="22"/>
              </w:rPr>
            </w:pPr>
            <w:r>
              <w:rPr>
                <w:rFonts w:hint="eastAsia" w:hAnsi="宋体" w:eastAsia="宋体"/>
                <w:snapToGrid w:val="0"/>
                <w:sz w:val="21"/>
                <w:szCs w:val="22"/>
              </w:rPr>
              <w:t>油烟</w:t>
            </w:r>
          </w:p>
        </w:tc>
        <w:tc>
          <w:tcPr>
            <w:tcW w:w="747" w:type="pct"/>
            <w:shd w:val="clear" w:color="auto" w:fill="auto"/>
            <w:vAlign w:val="center"/>
          </w:tcPr>
          <w:p>
            <w:pPr>
              <w:spacing w:line="400" w:lineRule="exact"/>
              <w:jc w:val="center"/>
              <w:rPr>
                <w:rFonts w:hAnsi="宋体" w:eastAsia="宋体"/>
                <w:snapToGrid w:val="0"/>
                <w:sz w:val="21"/>
                <w:szCs w:val="21"/>
              </w:rPr>
            </w:pPr>
            <w:r>
              <w:rPr>
                <w:rFonts w:hint="eastAsia" w:eastAsia="宋体"/>
                <w:snapToGrid w:val="0"/>
                <w:color w:val="000000"/>
                <w:sz w:val="21"/>
                <w:szCs w:val="21"/>
              </w:rPr>
              <w:t>2.63mg/m</w:t>
            </w:r>
            <w:r>
              <w:rPr>
                <w:rFonts w:hint="eastAsia" w:eastAsia="宋体"/>
                <w:snapToGrid w:val="0"/>
                <w:color w:val="000000"/>
                <w:sz w:val="21"/>
                <w:szCs w:val="21"/>
                <w:vertAlign w:val="superscript"/>
              </w:rPr>
              <w:t>3</w:t>
            </w:r>
          </w:p>
        </w:tc>
        <w:tc>
          <w:tcPr>
            <w:tcW w:w="617" w:type="pct"/>
            <w:shd w:val="clear" w:color="auto" w:fill="auto"/>
            <w:vAlign w:val="center"/>
          </w:tcPr>
          <w:p>
            <w:pPr>
              <w:spacing w:line="400" w:lineRule="exact"/>
              <w:jc w:val="center"/>
              <w:rPr>
                <w:rFonts w:hAnsi="宋体" w:eastAsia="宋体"/>
                <w:snapToGrid w:val="0"/>
                <w:sz w:val="21"/>
                <w:szCs w:val="21"/>
              </w:rPr>
            </w:pPr>
            <w:r>
              <w:rPr>
                <w:rFonts w:hint="eastAsia" w:eastAsia="宋体"/>
                <w:snapToGrid w:val="0"/>
                <w:color w:val="000000"/>
                <w:sz w:val="21"/>
                <w:szCs w:val="21"/>
              </w:rPr>
              <w:t>5.75kg/a</w:t>
            </w:r>
          </w:p>
        </w:tc>
        <w:tc>
          <w:tcPr>
            <w:tcW w:w="757" w:type="pct"/>
            <w:shd w:val="clear" w:color="auto" w:fill="auto"/>
            <w:vAlign w:val="center"/>
          </w:tcPr>
          <w:p>
            <w:pPr>
              <w:spacing w:line="400" w:lineRule="exact"/>
              <w:jc w:val="center"/>
              <w:rPr>
                <w:rFonts w:hAnsi="宋体" w:eastAsia="宋体"/>
                <w:snapToGrid w:val="0"/>
                <w:sz w:val="21"/>
                <w:szCs w:val="21"/>
              </w:rPr>
            </w:pPr>
            <w:r>
              <w:rPr>
                <w:rFonts w:hint="eastAsia" w:eastAsia="宋体"/>
                <w:snapToGrid w:val="0"/>
                <w:color w:val="000000"/>
                <w:sz w:val="21"/>
                <w:szCs w:val="21"/>
              </w:rPr>
              <w:t>0.26mg/m</w:t>
            </w:r>
            <w:r>
              <w:rPr>
                <w:rFonts w:hint="eastAsia" w:eastAsia="宋体"/>
                <w:snapToGrid w:val="0"/>
                <w:color w:val="000000"/>
                <w:sz w:val="21"/>
                <w:szCs w:val="21"/>
                <w:vertAlign w:val="superscript"/>
              </w:rPr>
              <w:t>3</w:t>
            </w:r>
          </w:p>
        </w:tc>
        <w:tc>
          <w:tcPr>
            <w:tcW w:w="734" w:type="pct"/>
            <w:shd w:val="clear" w:color="auto" w:fill="auto"/>
            <w:vAlign w:val="center"/>
          </w:tcPr>
          <w:p>
            <w:pPr>
              <w:spacing w:line="400" w:lineRule="exact"/>
              <w:jc w:val="center"/>
              <w:rPr>
                <w:rFonts w:hAnsi="宋体" w:eastAsia="宋体"/>
                <w:snapToGrid w:val="0"/>
                <w:sz w:val="21"/>
                <w:szCs w:val="21"/>
              </w:rPr>
            </w:pPr>
            <w:r>
              <w:rPr>
                <w:rFonts w:hint="eastAsia" w:eastAsia="宋体"/>
                <w:snapToGrid w:val="0"/>
                <w:color w:val="000000"/>
                <w:sz w:val="21"/>
                <w:szCs w:val="21"/>
              </w:rPr>
              <w:t>0.575kg/a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22" w:type="pct"/>
            <w:vMerge w:val="restart"/>
            <w:vAlign w:val="center"/>
          </w:tcPr>
          <w:p>
            <w:pPr>
              <w:jc w:val="center"/>
              <w:rPr>
                <w:rFonts w:eastAsia="宋体"/>
                <w:snapToGrid w:val="0"/>
                <w:sz w:val="21"/>
                <w:szCs w:val="22"/>
                <w:highlight w:val="lightGray"/>
              </w:rPr>
            </w:pPr>
            <w:r>
              <w:rPr>
                <w:rFonts w:hAnsi="宋体" w:eastAsia="宋体"/>
                <w:snapToGrid w:val="0"/>
                <w:sz w:val="21"/>
                <w:szCs w:val="22"/>
              </w:rPr>
              <w:t>废水</w:t>
            </w:r>
          </w:p>
        </w:tc>
        <w:tc>
          <w:tcPr>
            <w:tcW w:w="218" w:type="pct"/>
            <w:vMerge w:val="restart"/>
            <w:vAlign w:val="center"/>
          </w:tcPr>
          <w:p>
            <w:pPr>
              <w:jc w:val="center"/>
              <w:rPr>
                <w:rFonts w:eastAsia="宋体"/>
                <w:snapToGrid w:val="0"/>
                <w:sz w:val="21"/>
                <w:szCs w:val="22"/>
                <w:highlight w:val="lightGray"/>
              </w:rPr>
            </w:pPr>
            <w:r>
              <w:rPr>
                <w:rFonts w:hAnsi="宋体" w:eastAsia="宋体"/>
                <w:snapToGrid w:val="0"/>
                <w:sz w:val="21"/>
                <w:szCs w:val="22"/>
              </w:rPr>
              <w:t>营运期</w:t>
            </w:r>
          </w:p>
        </w:tc>
        <w:tc>
          <w:tcPr>
            <w:tcW w:w="854" w:type="pct"/>
            <w:vMerge w:val="restart"/>
            <w:tcBorders>
              <w:top w:val="single" w:color="auto" w:sz="4" w:space="0"/>
            </w:tcBorders>
            <w:shd w:val="clear" w:color="auto" w:fill="auto"/>
            <w:vAlign w:val="center"/>
          </w:tcPr>
          <w:p>
            <w:pPr>
              <w:jc w:val="center"/>
              <w:rPr>
                <w:rFonts w:eastAsia="宋体"/>
                <w:snapToGrid w:val="0"/>
                <w:sz w:val="21"/>
                <w:szCs w:val="22"/>
              </w:rPr>
            </w:pPr>
            <w:r>
              <w:rPr>
                <w:rFonts w:hint="eastAsia" w:eastAsia="宋体"/>
                <w:snapToGrid w:val="0"/>
                <w:sz w:val="21"/>
                <w:szCs w:val="22"/>
              </w:rPr>
              <w:t>生活污水</w:t>
            </w:r>
          </w:p>
          <w:p>
            <w:pPr>
              <w:jc w:val="center"/>
              <w:rPr>
                <w:rFonts w:eastAsia="宋体"/>
                <w:snapToGrid w:val="0"/>
                <w:sz w:val="21"/>
                <w:szCs w:val="22"/>
              </w:rPr>
            </w:pPr>
            <w:r>
              <w:rPr>
                <w:rFonts w:hint="eastAsia" w:eastAsia="宋体"/>
                <w:snapToGrid w:val="0"/>
                <w:sz w:val="21"/>
                <w:szCs w:val="22"/>
              </w:rPr>
              <w:t>（408.8m</w:t>
            </w:r>
            <w:r>
              <w:rPr>
                <w:rFonts w:hint="eastAsia" w:eastAsia="宋体"/>
                <w:snapToGrid w:val="0"/>
                <w:sz w:val="21"/>
                <w:szCs w:val="22"/>
                <w:vertAlign w:val="superscript"/>
              </w:rPr>
              <w:t>3</w:t>
            </w:r>
            <w:r>
              <w:rPr>
                <w:rFonts w:hint="eastAsia" w:eastAsia="宋体"/>
                <w:snapToGrid w:val="0"/>
                <w:sz w:val="21"/>
                <w:szCs w:val="22"/>
              </w:rPr>
              <w:t>/a）</w:t>
            </w:r>
          </w:p>
        </w:tc>
        <w:tc>
          <w:tcPr>
            <w:tcW w:w="751" w:type="pct"/>
            <w:vAlign w:val="center"/>
          </w:tcPr>
          <w:p>
            <w:pPr>
              <w:jc w:val="center"/>
              <w:rPr>
                <w:rFonts w:eastAsia="宋体"/>
                <w:snapToGrid w:val="0"/>
                <w:sz w:val="21"/>
                <w:szCs w:val="22"/>
              </w:rPr>
            </w:pPr>
            <w:r>
              <w:rPr>
                <w:rFonts w:eastAsia="宋体"/>
                <w:snapToGrid w:val="0"/>
                <w:sz w:val="21"/>
                <w:szCs w:val="22"/>
              </w:rPr>
              <w:t>COD</w:t>
            </w:r>
          </w:p>
        </w:tc>
        <w:tc>
          <w:tcPr>
            <w:tcW w:w="747" w:type="pct"/>
            <w:shd w:val="clear" w:color="auto" w:fill="auto"/>
            <w:vAlign w:val="center"/>
          </w:tcPr>
          <w:p>
            <w:pPr>
              <w:jc w:val="center"/>
              <w:rPr>
                <w:rFonts w:eastAsia="宋体"/>
                <w:snapToGrid w:val="0"/>
                <w:sz w:val="21"/>
                <w:szCs w:val="22"/>
              </w:rPr>
            </w:pPr>
            <w:r>
              <w:rPr>
                <w:rFonts w:eastAsia="宋体"/>
                <w:snapToGrid w:val="0"/>
                <w:sz w:val="21"/>
                <w:szCs w:val="22"/>
              </w:rPr>
              <w:t>380mg/L</w:t>
            </w:r>
          </w:p>
        </w:tc>
        <w:tc>
          <w:tcPr>
            <w:tcW w:w="617" w:type="pct"/>
            <w:shd w:val="clear" w:color="auto" w:fill="auto"/>
            <w:vAlign w:val="center"/>
          </w:tcPr>
          <w:p>
            <w:pPr>
              <w:jc w:val="center"/>
              <w:rPr>
                <w:rFonts w:eastAsia="宋体"/>
                <w:snapToGrid w:val="0"/>
                <w:sz w:val="21"/>
                <w:szCs w:val="22"/>
              </w:rPr>
            </w:pPr>
            <w:r>
              <w:rPr>
                <w:rFonts w:hint="eastAsia" w:eastAsia="宋体"/>
                <w:snapToGrid w:val="0"/>
                <w:sz w:val="21"/>
                <w:szCs w:val="22"/>
              </w:rPr>
              <w:t>0.155</w:t>
            </w:r>
            <w:r>
              <w:rPr>
                <w:rFonts w:eastAsia="宋体"/>
                <w:snapToGrid w:val="0"/>
                <w:sz w:val="21"/>
                <w:szCs w:val="22"/>
              </w:rPr>
              <w:t>t/a</w:t>
            </w:r>
          </w:p>
        </w:tc>
        <w:tc>
          <w:tcPr>
            <w:tcW w:w="1491" w:type="pct"/>
            <w:gridSpan w:val="2"/>
            <w:vMerge w:val="restart"/>
            <w:shd w:val="clear" w:color="auto" w:fill="auto"/>
            <w:vAlign w:val="center"/>
          </w:tcPr>
          <w:p>
            <w:pPr>
              <w:jc w:val="center"/>
              <w:rPr>
                <w:rFonts w:eastAsia="宋体"/>
                <w:snapToGrid w:val="0"/>
                <w:sz w:val="21"/>
                <w:szCs w:val="22"/>
              </w:rPr>
            </w:pPr>
            <w:r>
              <w:rPr>
                <w:rFonts w:hint="eastAsia" w:hAnsi="宋体" w:eastAsia="宋体"/>
                <w:snapToGrid w:val="0"/>
                <w:sz w:val="21"/>
                <w:szCs w:val="22"/>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 w:type="pct"/>
            <w:vMerge w:val="continue"/>
            <w:vAlign w:val="center"/>
          </w:tcPr>
          <w:p>
            <w:pPr>
              <w:jc w:val="center"/>
              <w:rPr>
                <w:rFonts w:eastAsia="宋体"/>
                <w:snapToGrid w:val="0"/>
                <w:sz w:val="21"/>
                <w:szCs w:val="22"/>
                <w:highlight w:val="lightGray"/>
              </w:rPr>
            </w:pPr>
          </w:p>
        </w:tc>
        <w:tc>
          <w:tcPr>
            <w:tcW w:w="218" w:type="pct"/>
            <w:vMerge w:val="continue"/>
            <w:vAlign w:val="center"/>
          </w:tcPr>
          <w:p>
            <w:pPr>
              <w:jc w:val="center"/>
              <w:rPr>
                <w:rFonts w:eastAsia="宋体"/>
                <w:snapToGrid w:val="0"/>
                <w:sz w:val="21"/>
                <w:szCs w:val="22"/>
                <w:highlight w:val="lightGray"/>
              </w:rPr>
            </w:pPr>
          </w:p>
        </w:tc>
        <w:tc>
          <w:tcPr>
            <w:tcW w:w="854" w:type="pct"/>
            <w:vMerge w:val="continue"/>
            <w:tcBorders>
              <w:top w:val="single" w:color="auto" w:sz="4" w:space="0"/>
            </w:tcBorders>
            <w:shd w:val="clear" w:color="auto" w:fill="auto"/>
            <w:vAlign w:val="center"/>
          </w:tcPr>
          <w:p>
            <w:pPr>
              <w:jc w:val="center"/>
              <w:rPr>
                <w:rFonts w:eastAsia="宋体"/>
                <w:snapToGrid w:val="0"/>
                <w:sz w:val="21"/>
                <w:szCs w:val="22"/>
              </w:rPr>
            </w:pPr>
          </w:p>
        </w:tc>
        <w:tc>
          <w:tcPr>
            <w:tcW w:w="751" w:type="pct"/>
            <w:vAlign w:val="center"/>
          </w:tcPr>
          <w:p>
            <w:pPr>
              <w:jc w:val="center"/>
              <w:rPr>
                <w:rFonts w:eastAsia="宋体"/>
                <w:snapToGrid w:val="0"/>
                <w:sz w:val="21"/>
                <w:szCs w:val="22"/>
              </w:rPr>
            </w:pPr>
            <w:r>
              <w:rPr>
                <w:rFonts w:eastAsia="宋体"/>
                <w:snapToGrid w:val="0"/>
                <w:sz w:val="21"/>
                <w:szCs w:val="22"/>
              </w:rPr>
              <w:t>BOD</w:t>
            </w:r>
            <w:r>
              <w:rPr>
                <w:rFonts w:eastAsia="宋体"/>
                <w:snapToGrid w:val="0"/>
                <w:sz w:val="21"/>
                <w:szCs w:val="22"/>
                <w:vertAlign w:val="subscript"/>
              </w:rPr>
              <w:t>5</w:t>
            </w:r>
          </w:p>
        </w:tc>
        <w:tc>
          <w:tcPr>
            <w:tcW w:w="747" w:type="pct"/>
            <w:shd w:val="clear" w:color="auto" w:fill="auto"/>
            <w:vAlign w:val="center"/>
          </w:tcPr>
          <w:p>
            <w:pPr>
              <w:jc w:val="center"/>
              <w:rPr>
                <w:rFonts w:eastAsia="宋体"/>
                <w:snapToGrid w:val="0"/>
                <w:sz w:val="21"/>
                <w:szCs w:val="22"/>
              </w:rPr>
            </w:pPr>
            <w:r>
              <w:rPr>
                <w:rFonts w:eastAsia="宋体"/>
                <w:snapToGrid w:val="0"/>
                <w:sz w:val="21"/>
                <w:szCs w:val="22"/>
              </w:rPr>
              <w:t>2</w:t>
            </w:r>
            <w:r>
              <w:rPr>
                <w:rFonts w:hint="eastAsia" w:eastAsia="宋体"/>
                <w:snapToGrid w:val="0"/>
                <w:sz w:val="21"/>
                <w:szCs w:val="22"/>
              </w:rPr>
              <w:t>5</w:t>
            </w:r>
            <w:r>
              <w:rPr>
                <w:rFonts w:eastAsia="宋体"/>
                <w:snapToGrid w:val="0"/>
                <w:sz w:val="21"/>
                <w:szCs w:val="22"/>
              </w:rPr>
              <w:t>0mg/L</w:t>
            </w:r>
          </w:p>
        </w:tc>
        <w:tc>
          <w:tcPr>
            <w:tcW w:w="617" w:type="pct"/>
            <w:shd w:val="clear" w:color="auto" w:fill="auto"/>
            <w:vAlign w:val="center"/>
          </w:tcPr>
          <w:p>
            <w:pPr>
              <w:jc w:val="center"/>
              <w:rPr>
                <w:rFonts w:eastAsia="宋体"/>
                <w:snapToGrid w:val="0"/>
                <w:sz w:val="21"/>
                <w:szCs w:val="22"/>
              </w:rPr>
            </w:pPr>
            <w:r>
              <w:rPr>
                <w:rFonts w:hint="eastAsia" w:eastAsia="宋体"/>
                <w:snapToGrid w:val="0"/>
                <w:sz w:val="21"/>
                <w:szCs w:val="22"/>
              </w:rPr>
              <w:t>0.102t/a</w:t>
            </w:r>
          </w:p>
        </w:tc>
        <w:tc>
          <w:tcPr>
            <w:tcW w:w="1491" w:type="pct"/>
            <w:gridSpan w:val="2"/>
            <w:vMerge w:val="continue"/>
            <w:shd w:val="clear" w:color="auto" w:fill="auto"/>
            <w:vAlign w:val="center"/>
          </w:tcPr>
          <w:p>
            <w:pPr>
              <w:jc w:val="center"/>
              <w:rPr>
                <w:rFonts w:eastAsia="宋体"/>
                <w:snapToGrid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 w:type="pct"/>
            <w:vMerge w:val="continue"/>
            <w:vAlign w:val="center"/>
          </w:tcPr>
          <w:p>
            <w:pPr>
              <w:jc w:val="center"/>
              <w:rPr>
                <w:rFonts w:eastAsia="宋体"/>
                <w:snapToGrid w:val="0"/>
                <w:sz w:val="21"/>
                <w:szCs w:val="22"/>
                <w:highlight w:val="lightGray"/>
              </w:rPr>
            </w:pPr>
          </w:p>
        </w:tc>
        <w:tc>
          <w:tcPr>
            <w:tcW w:w="218" w:type="pct"/>
            <w:vMerge w:val="continue"/>
            <w:vAlign w:val="center"/>
          </w:tcPr>
          <w:p>
            <w:pPr>
              <w:jc w:val="center"/>
              <w:rPr>
                <w:rFonts w:eastAsia="宋体"/>
                <w:snapToGrid w:val="0"/>
                <w:sz w:val="21"/>
                <w:szCs w:val="22"/>
                <w:highlight w:val="lightGray"/>
              </w:rPr>
            </w:pPr>
          </w:p>
        </w:tc>
        <w:tc>
          <w:tcPr>
            <w:tcW w:w="854" w:type="pct"/>
            <w:vMerge w:val="continue"/>
            <w:tcBorders>
              <w:top w:val="single" w:color="auto" w:sz="4" w:space="0"/>
            </w:tcBorders>
            <w:shd w:val="clear" w:color="auto" w:fill="auto"/>
            <w:vAlign w:val="center"/>
          </w:tcPr>
          <w:p>
            <w:pPr>
              <w:jc w:val="center"/>
              <w:rPr>
                <w:rFonts w:eastAsia="宋体"/>
                <w:snapToGrid w:val="0"/>
                <w:sz w:val="21"/>
                <w:szCs w:val="22"/>
              </w:rPr>
            </w:pPr>
          </w:p>
        </w:tc>
        <w:tc>
          <w:tcPr>
            <w:tcW w:w="751" w:type="pct"/>
            <w:vAlign w:val="center"/>
          </w:tcPr>
          <w:p>
            <w:pPr>
              <w:jc w:val="center"/>
              <w:rPr>
                <w:rFonts w:eastAsia="宋体"/>
                <w:snapToGrid w:val="0"/>
                <w:sz w:val="21"/>
                <w:szCs w:val="22"/>
              </w:rPr>
            </w:pPr>
            <w:r>
              <w:rPr>
                <w:rFonts w:eastAsia="宋体"/>
                <w:snapToGrid w:val="0"/>
                <w:sz w:val="21"/>
                <w:szCs w:val="22"/>
              </w:rPr>
              <w:t>SS</w:t>
            </w:r>
          </w:p>
        </w:tc>
        <w:tc>
          <w:tcPr>
            <w:tcW w:w="747" w:type="pct"/>
            <w:shd w:val="clear" w:color="auto" w:fill="auto"/>
            <w:vAlign w:val="center"/>
          </w:tcPr>
          <w:p>
            <w:pPr>
              <w:jc w:val="center"/>
              <w:rPr>
                <w:rFonts w:eastAsia="宋体"/>
                <w:snapToGrid w:val="0"/>
                <w:sz w:val="21"/>
                <w:szCs w:val="22"/>
              </w:rPr>
            </w:pPr>
            <w:r>
              <w:rPr>
                <w:rFonts w:eastAsia="宋体"/>
                <w:snapToGrid w:val="0"/>
                <w:sz w:val="21"/>
                <w:szCs w:val="22"/>
              </w:rPr>
              <w:t>2</w:t>
            </w:r>
            <w:r>
              <w:rPr>
                <w:rFonts w:hint="eastAsia" w:eastAsia="宋体"/>
                <w:snapToGrid w:val="0"/>
                <w:sz w:val="21"/>
                <w:szCs w:val="22"/>
              </w:rPr>
              <w:t>8</w:t>
            </w:r>
            <w:r>
              <w:rPr>
                <w:rFonts w:eastAsia="宋体"/>
                <w:snapToGrid w:val="0"/>
                <w:sz w:val="21"/>
                <w:szCs w:val="22"/>
              </w:rPr>
              <w:t>0mg/L</w:t>
            </w:r>
          </w:p>
        </w:tc>
        <w:tc>
          <w:tcPr>
            <w:tcW w:w="617" w:type="pct"/>
            <w:shd w:val="clear" w:color="auto" w:fill="auto"/>
            <w:vAlign w:val="center"/>
          </w:tcPr>
          <w:p>
            <w:pPr>
              <w:jc w:val="center"/>
              <w:rPr>
                <w:rFonts w:eastAsia="宋体"/>
                <w:snapToGrid w:val="0"/>
                <w:sz w:val="21"/>
                <w:szCs w:val="22"/>
              </w:rPr>
            </w:pPr>
            <w:r>
              <w:rPr>
                <w:rFonts w:hint="eastAsia" w:eastAsia="宋体"/>
                <w:snapToGrid w:val="0"/>
                <w:sz w:val="21"/>
                <w:szCs w:val="22"/>
              </w:rPr>
              <w:t>0.114</w:t>
            </w:r>
            <w:r>
              <w:rPr>
                <w:rFonts w:eastAsia="宋体"/>
                <w:snapToGrid w:val="0"/>
                <w:sz w:val="21"/>
                <w:szCs w:val="22"/>
              </w:rPr>
              <w:t>t/a</w:t>
            </w:r>
          </w:p>
        </w:tc>
        <w:tc>
          <w:tcPr>
            <w:tcW w:w="1491" w:type="pct"/>
            <w:gridSpan w:val="2"/>
            <w:vMerge w:val="continue"/>
            <w:shd w:val="clear" w:color="auto" w:fill="auto"/>
            <w:vAlign w:val="center"/>
          </w:tcPr>
          <w:p>
            <w:pPr>
              <w:jc w:val="center"/>
              <w:rPr>
                <w:rFonts w:eastAsia="宋体"/>
                <w:snapToGrid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 w:type="pct"/>
            <w:vMerge w:val="continue"/>
            <w:vAlign w:val="center"/>
          </w:tcPr>
          <w:p>
            <w:pPr>
              <w:jc w:val="center"/>
              <w:rPr>
                <w:rFonts w:eastAsia="宋体"/>
                <w:snapToGrid w:val="0"/>
                <w:sz w:val="21"/>
                <w:szCs w:val="22"/>
                <w:highlight w:val="lightGray"/>
              </w:rPr>
            </w:pPr>
          </w:p>
        </w:tc>
        <w:tc>
          <w:tcPr>
            <w:tcW w:w="218" w:type="pct"/>
            <w:vMerge w:val="continue"/>
            <w:vAlign w:val="center"/>
          </w:tcPr>
          <w:p>
            <w:pPr>
              <w:jc w:val="center"/>
              <w:rPr>
                <w:rFonts w:eastAsia="宋体"/>
                <w:snapToGrid w:val="0"/>
                <w:sz w:val="21"/>
                <w:szCs w:val="22"/>
                <w:highlight w:val="lightGray"/>
              </w:rPr>
            </w:pPr>
          </w:p>
        </w:tc>
        <w:tc>
          <w:tcPr>
            <w:tcW w:w="854" w:type="pct"/>
            <w:vMerge w:val="continue"/>
            <w:tcBorders>
              <w:top w:val="single" w:color="auto" w:sz="4" w:space="0"/>
            </w:tcBorders>
            <w:shd w:val="clear" w:color="auto" w:fill="auto"/>
            <w:vAlign w:val="center"/>
          </w:tcPr>
          <w:p>
            <w:pPr>
              <w:jc w:val="center"/>
              <w:rPr>
                <w:rFonts w:eastAsia="宋体"/>
                <w:snapToGrid w:val="0"/>
                <w:sz w:val="21"/>
                <w:szCs w:val="22"/>
              </w:rPr>
            </w:pPr>
          </w:p>
        </w:tc>
        <w:tc>
          <w:tcPr>
            <w:tcW w:w="751" w:type="pct"/>
            <w:vAlign w:val="center"/>
          </w:tcPr>
          <w:p>
            <w:pPr>
              <w:jc w:val="center"/>
              <w:rPr>
                <w:rFonts w:eastAsia="宋体"/>
                <w:snapToGrid w:val="0"/>
                <w:sz w:val="21"/>
                <w:szCs w:val="22"/>
              </w:rPr>
            </w:pPr>
            <w:r>
              <w:rPr>
                <w:rFonts w:eastAsia="宋体"/>
                <w:snapToGrid w:val="0"/>
                <w:sz w:val="21"/>
                <w:szCs w:val="22"/>
              </w:rPr>
              <w:t>NH</w:t>
            </w:r>
            <w:r>
              <w:rPr>
                <w:rFonts w:eastAsia="宋体"/>
                <w:snapToGrid w:val="0"/>
                <w:sz w:val="21"/>
                <w:szCs w:val="22"/>
                <w:vertAlign w:val="subscript"/>
              </w:rPr>
              <w:t>3</w:t>
            </w:r>
            <w:r>
              <w:rPr>
                <w:rFonts w:eastAsia="宋体"/>
                <w:snapToGrid w:val="0"/>
                <w:sz w:val="21"/>
                <w:szCs w:val="22"/>
              </w:rPr>
              <w:t>-N</w:t>
            </w:r>
          </w:p>
        </w:tc>
        <w:tc>
          <w:tcPr>
            <w:tcW w:w="747" w:type="pct"/>
            <w:shd w:val="clear" w:color="auto" w:fill="auto"/>
            <w:vAlign w:val="center"/>
          </w:tcPr>
          <w:p>
            <w:pPr>
              <w:jc w:val="center"/>
              <w:rPr>
                <w:rFonts w:eastAsia="宋体"/>
                <w:snapToGrid w:val="0"/>
                <w:sz w:val="21"/>
                <w:szCs w:val="22"/>
              </w:rPr>
            </w:pPr>
            <w:r>
              <w:rPr>
                <w:rFonts w:eastAsia="宋体"/>
                <w:snapToGrid w:val="0"/>
                <w:sz w:val="21"/>
                <w:szCs w:val="22"/>
              </w:rPr>
              <w:t>30mg/L</w:t>
            </w:r>
          </w:p>
        </w:tc>
        <w:tc>
          <w:tcPr>
            <w:tcW w:w="617" w:type="pct"/>
            <w:shd w:val="clear" w:color="auto" w:fill="auto"/>
            <w:vAlign w:val="center"/>
          </w:tcPr>
          <w:p>
            <w:pPr>
              <w:jc w:val="center"/>
              <w:rPr>
                <w:rFonts w:eastAsia="宋体"/>
                <w:snapToGrid w:val="0"/>
                <w:sz w:val="21"/>
                <w:szCs w:val="22"/>
              </w:rPr>
            </w:pPr>
            <w:r>
              <w:rPr>
                <w:rFonts w:hint="eastAsia" w:eastAsia="宋体"/>
                <w:snapToGrid w:val="0"/>
                <w:sz w:val="21"/>
                <w:szCs w:val="22"/>
              </w:rPr>
              <w:t>0.012</w:t>
            </w:r>
            <w:r>
              <w:rPr>
                <w:rFonts w:eastAsia="宋体"/>
                <w:snapToGrid w:val="0"/>
                <w:sz w:val="21"/>
                <w:szCs w:val="22"/>
              </w:rPr>
              <w:t>t/a</w:t>
            </w:r>
          </w:p>
        </w:tc>
        <w:tc>
          <w:tcPr>
            <w:tcW w:w="1491" w:type="pct"/>
            <w:gridSpan w:val="2"/>
            <w:vMerge w:val="continue"/>
            <w:shd w:val="clear" w:color="auto" w:fill="auto"/>
            <w:vAlign w:val="center"/>
          </w:tcPr>
          <w:p>
            <w:pPr>
              <w:jc w:val="center"/>
              <w:rPr>
                <w:rFonts w:eastAsia="宋体"/>
                <w:snapToGrid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 w:type="pct"/>
            <w:vMerge w:val="restart"/>
            <w:vAlign w:val="center"/>
          </w:tcPr>
          <w:p>
            <w:pPr>
              <w:jc w:val="center"/>
              <w:rPr>
                <w:rFonts w:eastAsia="宋体"/>
                <w:snapToGrid w:val="0"/>
                <w:sz w:val="21"/>
                <w:szCs w:val="22"/>
              </w:rPr>
            </w:pPr>
            <w:r>
              <w:rPr>
                <w:rFonts w:hAnsi="宋体" w:eastAsia="宋体"/>
                <w:snapToGrid w:val="0"/>
                <w:sz w:val="21"/>
                <w:szCs w:val="22"/>
              </w:rPr>
              <w:t>固体废物</w:t>
            </w:r>
          </w:p>
        </w:tc>
        <w:tc>
          <w:tcPr>
            <w:tcW w:w="218" w:type="pct"/>
            <w:vMerge w:val="restart"/>
            <w:vAlign w:val="center"/>
          </w:tcPr>
          <w:p>
            <w:pPr>
              <w:jc w:val="center"/>
              <w:rPr>
                <w:rFonts w:eastAsia="宋体"/>
                <w:snapToGrid w:val="0"/>
                <w:sz w:val="21"/>
                <w:szCs w:val="22"/>
              </w:rPr>
            </w:pPr>
            <w:r>
              <w:rPr>
                <w:rFonts w:hint="eastAsia" w:eastAsia="宋体"/>
                <w:snapToGrid w:val="0"/>
                <w:sz w:val="21"/>
                <w:szCs w:val="22"/>
              </w:rPr>
              <w:t>营运期</w:t>
            </w:r>
          </w:p>
        </w:tc>
        <w:tc>
          <w:tcPr>
            <w:tcW w:w="854" w:type="pct"/>
            <w:vAlign w:val="center"/>
          </w:tcPr>
          <w:p>
            <w:pPr>
              <w:jc w:val="center"/>
              <w:rPr>
                <w:rFonts w:hAnsi="宋体" w:eastAsia="宋体"/>
                <w:snapToGrid w:val="0"/>
                <w:sz w:val="21"/>
                <w:szCs w:val="22"/>
              </w:rPr>
            </w:pPr>
            <w:r>
              <w:rPr>
                <w:rFonts w:hint="eastAsia" w:hAnsi="宋体" w:eastAsia="宋体"/>
                <w:snapToGrid w:val="0"/>
                <w:sz w:val="21"/>
                <w:szCs w:val="22"/>
              </w:rPr>
              <w:t>人员生活</w:t>
            </w:r>
          </w:p>
        </w:tc>
        <w:tc>
          <w:tcPr>
            <w:tcW w:w="751" w:type="pct"/>
            <w:vAlign w:val="center"/>
          </w:tcPr>
          <w:p>
            <w:pPr>
              <w:tabs>
                <w:tab w:val="left" w:pos="675"/>
              </w:tabs>
              <w:jc w:val="center"/>
              <w:rPr>
                <w:rFonts w:hAnsi="宋体" w:eastAsia="宋体"/>
                <w:snapToGrid w:val="0"/>
                <w:sz w:val="21"/>
                <w:szCs w:val="22"/>
              </w:rPr>
            </w:pPr>
            <w:r>
              <w:rPr>
                <w:rFonts w:hAnsi="宋体" w:eastAsia="宋体"/>
                <w:snapToGrid w:val="0"/>
                <w:sz w:val="21"/>
                <w:szCs w:val="22"/>
              </w:rPr>
              <w:t>生活垃圾</w:t>
            </w:r>
          </w:p>
        </w:tc>
        <w:tc>
          <w:tcPr>
            <w:tcW w:w="1364" w:type="pct"/>
            <w:gridSpan w:val="2"/>
            <w:vAlign w:val="center"/>
          </w:tcPr>
          <w:p>
            <w:pPr>
              <w:tabs>
                <w:tab w:val="left" w:pos="675"/>
              </w:tabs>
              <w:jc w:val="center"/>
              <w:rPr>
                <w:rFonts w:eastAsia="宋体"/>
                <w:snapToGrid w:val="0"/>
                <w:sz w:val="21"/>
                <w:szCs w:val="22"/>
              </w:rPr>
            </w:pPr>
            <w:r>
              <w:rPr>
                <w:rFonts w:hint="eastAsia" w:eastAsia="宋体"/>
                <w:snapToGrid w:val="0"/>
                <w:sz w:val="21"/>
                <w:szCs w:val="22"/>
              </w:rPr>
              <w:t>5.11</w:t>
            </w:r>
            <w:r>
              <w:rPr>
                <w:rFonts w:eastAsia="宋体"/>
                <w:snapToGrid w:val="0"/>
                <w:sz w:val="21"/>
                <w:szCs w:val="22"/>
              </w:rPr>
              <w:t>t/a</w:t>
            </w:r>
          </w:p>
        </w:tc>
        <w:tc>
          <w:tcPr>
            <w:tcW w:w="1491" w:type="pct"/>
            <w:gridSpan w:val="2"/>
            <w:vAlign w:val="center"/>
          </w:tcPr>
          <w:p>
            <w:pPr>
              <w:jc w:val="center"/>
              <w:rPr>
                <w:rFonts w:eastAsia="宋体"/>
                <w:snapToGrid w:val="0"/>
                <w:sz w:val="21"/>
                <w:szCs w:val="22"/>
              </w:rPr>
            </w:pPr>
            <w:r>
              <w:rPr>
                <w:rFonts w:hAnsi="宋体" w:eastAsia="宋体"/>
                <w:snapToGrid w:val="0"/>
                <w:kern w:val="52"/>
                <w:sz w:val="21"/>
                <w:szCs w:val="22"/>
              </w:rPr>
              <w:t>分类收集后由环卫部门及时清运至垃圾填埋场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 w:type="pct"/>
            <w:vMerge w:val="continue"/>
            <w:vAlign w:val="center"/>
          </w:tcPr>
          <w:p>
            <w:pPr>
              <w:jc w:val="center"/>
              <w:rPr>
                <w:rFonts w:eastAsia="宋体"/>
                <w:snapToGrid w:val="0"/>
                <w:sz w:val="21"/>
                <w:szCs w:val="22"/>
              </w:rPr>
            </w:pPr>
          </w:p>
        </w:tc>
        <w:tc>
          <w:tcPr>
            <w:tcW w:w="218" w:type="pct"/>
            <w:vMerge w:val="continue"/>
            <w:vAlign w:val="center"/>
          </w:tcPr>
          <w:p>
            <w:pPr>
              <w:jc w:val="center"/>
              <w:rPr>
                <w:rFonts w:eastAsia="宋体"/>
                <w:snapToGrid w:val="0"/>
                <w:sz w:val="21"/>
                <w:szCs w:val="22"/>
              </w:rPr>
            </w:pPr>
          </w:p>
        </w:tc>
        <w:tc>
          <w:tcPr>
            <w:tcW w:w="854" w:type="pct"/>
            <w:vAlign w:val="center"/>
          </w:tcPr>
          <w:p>
            <w:pPr>
              <w:jc w:val="center"/>
              <w:rPr>
                <w:rFonts w:hAnsi="宋体" w:eastAsia="宋体"/>
                <w:snapToGrid w:val="0"/>
                <w:kern w:val="52"/>
                <w:sz w:val="21"/>
                <w:szCs w:val="22"/>
              </w:rPr>
            </w:pPr>
            <w:r>
              <w:rPr>
                <w:rFonts w:hint="eastAsia" w:hAnsi="宋体" w:eastAsia="宋体"/>
                <w:snapToGrid w:val="0"/>
                <w:kern w:val="52"/>
                <w:sz w:val="21"/>
                <w:szCs w:val="22"/>
              </w:rPr>
              <w:t>事故状态下</w:t>
            </w:r>
          </w:p>
        </w:tc>
        <w:tc>
          <w:tcPr>
            <w:tcW w:w="751" w:type="pct"/>
            <w:vAlign w:val="center"/>
          </w:tcPr>
          <w:p>
            <w:pPr>
              <w:tabs>
                <w:tab w:val="left" w:pos="675"/>
              </w:tabs>
              <w:jc w:val="center"/>
              <w:rPr>
                <w:rFonts w:hAnsi="宋体" w:eastAsia="宋体"/>
                <w:snapToGrid w:val="0"/>
                <w:kern w:val="52"/>
                <w:sz w:val="21"/>
                <w:szCs w:val="22"/>
              </w:rPr>
            </w:pPr>
            <w:r>
              <w:rPr>
                <w:rFonts w:hint="eastAsia" w:hAnsi="宋体" w:eastAsia="宋体"/>
                <w:snapToGrid w:val="0"/>
                <w:kern w:val="52"/>
                <w:sz w:val="21"/>
                <w:szCs w:val="22"/>
              </w:rPr>
              <w:t>废变压器油</w:t>
            </w:r>
          </w:p>
        </w:tc>
        <w:tc>
          <w:tcPr>
            <w:tcW w:w="1364" w:type="pct"/>
            <w:gridSpan w:val="2"/>
            <w:vAlign w:val="center"/>
          </w:tcPr>
          <w:p>
            <w:pPr>
              <w:tabs>
                <w:tab w:val="left" w:pos="675"/>
              </w:tabs>
              <w:jc w:val="center"/>
              <w:rPr>
                <w:rFonts w:hAnsi="宋体" w:eastAsia="宋体"/>
                <w:snapToGrid w:val="0"/>
                <w:kern w:val="52"/>
                <w:sz w:val="21"/>
                <w:szCs w:val="22"/>
              </w:rPr>
            </w:pPr>
            <w:r>
              <w:rPr>
                <w:rFonts w:hint="eastAsia" w:hAnsi="宋体" w:eastAsia="宋体"/>
                <w:snapToGrid w:val="0"/>
                <w:kern w:val="52"/>
                <w:sz w:val="21"/>
                <w:szCs w:val="22"/>
              </w:rPr>
              <w:t>22.5t</w:t>
            </w:r>
          </w:p>
        </w:tc>
        <w:tc>
          <w:tcPr>
            <w:tcW w:w="1491" w:type="pct"/>
            <w:gridSpan w:val="2"/>
            <w:vMerge w:val="restart"/>
            <w:vAlign w:val="center"/>
          </w:tcPr>
          <w:p>
            <w:pPr>
              <w:jc w:val="center"/>
              <w:rPr>
                <w:rFonts w:hAnsi="宋体" w:eastAsia="宋体"/>
                <w:snapToGrid w:val="0"/>
                <w:kern w:val="52"/>
                <w:sz w:val="21"/>
                <w:szCs w:val="22"/>
              </w:rPr>
            </w:pPr>
            <w:r>
              <w:rPr>
                <w:rFonts w:hint="eastAsia" w:hAnsi="宋体" w:eastAsia="宋体"/>
                <w:snapToGrid w:val="0"/>
                <w:kern w:val="52"/>
                <w:sz w:val="21"/>
                <w:szCs w:val="22"/>
              </w:rPr>
              <w:t>交由有危险废物处置资质的单位处理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 w:type="pct"/>
            <w:vMerge w:val="continue"/>
            <w:vAlign w:val="center"/>
          </w:tcPr>
          <w:p>
            <w:pPr>
              <w:jc w:val="center"/>
              <w:rPr>
                <w:rFonts w:eastAsia="宋体"/>
                <w:snapToGrid w:val="0"/>
                <w:sz w:val="21"/>
                <w:szCs w:val="22"/>
              </w:rPr>
            </w:pPr>
          </w:p>
        </w:tc>
        <w:tc>
          <w:tcPr>
            <w:tcW w:w="218" w:type="pct"/>
            <w:vMerge w:val="continue"/>
            <w:vAlign w:val="center"/>
          </w:tcPr>
          <w:p>
            <w:pPr>
              <w:jc w:val="center"/>
              <w:rPr>
                <w:rFonts w:eastAsia="宋体"/>
                <w:snapToGrid w:val="0"/>
                <w:sz w:val="21"/>
                <w:szCs w:val="22"/>
              </w:rPr>
            </w:pPr>
          </w:p>
        </w:tc>
        <w:tc>
          <w:tcPr>
            <w:tcW w:w="854" w:type="pct"/>
            <w:vAlign w:val="center"/>
          </w:tcPr>
          <w:p>
            <w:pPr>
              <w:jc w:val="center"/>
              <w:rPr>
                <w:rFonts w:hAnsi="宋体" w:eastAsia="宋体"/>
                <w:snapToGrid w:val="0"/>
                <w:kern w:val="52"/>
                <w:sz w:val="21"/>
                <w:szCs w:val="22"/>
              </w:rPr>
            </w:pPr>
            <w:r>
              <w:rPr>
                <w:rFonts w:hint="eastAsia" w:hAnsi="宋体" w:eastAsia="宋体"/>
                <w:snapToGrid w:val="0"/>
                <w:kern w:val="52"/>
                <w:sz w:val="21"/>
                <w:szCs w:val="22"/>
              </w:rPr>
              <w:t>设备更换</w:t>
            </w:r>
          </w:p>
        </w:tc>
        <w:tc>
          <w:tcPr>
            <w:tcW w:w="751" w:type="pct"/>
            <w:vAlign w:val="center"/>
          </w:tcPr>
          <w:p>
            <w:pPr>
              <w:tabs>
                <w:tab w:val="left" w:pos="675"/>
              </w:tabs>
              <w:jc w:val="center"/>
              <w:rPr>
                <w:rFonts w:hAnsi="宋体" w:eastAsia="宋体"/>
                <w:snapToGrid w:val="0"/>
                <w:kern w:val="52"/>
                <w:sz w:val="21"/>
                <w:szCs w:val="22"/>
              </w:rPr>
            </w:pPr>
            <w:r>
              <w:rPr>
                <w:rFonts w:hint="eastAsia" w:hAnsi="宋体" w:eastAsia="宋体"/>
                <w:snapToGrid w:val="0"/>
                <w:kern w:val="52"/>
                <w:sz w:val="21"/>
                <w:szCs w:val="22"/>
              </w:rPr>
              <w:t>废铅蓄电池</w:t>
            </w:r>
          </w:p>
        </w:tc>
        <w:tc>
          <w:tcPr>
            <w:tcW w:w="1364" w:type="pct"/>
            <w:gridSpan w:val="2"/>
            <w:vAlign w:val="center"/>
          </w:tcPr>
          <w:p>
            <w:pPr>
              <w:tabs>
                <w:tab w:val="left" w:pos="675"/>
              </w:tabs>
              <w:jc w:val="center"/>
              <w:rPr>
                <w:rFonts w:hAnsi="宋体" w:eastAsia="宋体"/>
                <w:snapToGrid w:val="0"/>
                <w:kern w:val="52"/>
                <w:sz w:val="21"/>
                <w:szCs w:val="22"/>
              </w:rPr>
            </w:pPr>
            <w:r>
              <w:rPr>
                <w:rFonts w:hint="eastAsia" w:hAnsi="宋体" w:eastAsia="宋体"/>
                <w:snapToGrid w:val="0"/>
                <w:kern w:val="52"/>
                <w:sz w:val="21"/>
                <w:szCs w:val="22"/>
              </w:rPr>
              <w:t>少量</w:t>
            </w:r>
          </w:p>
        </w:tc>
        <w:tc>
          <w:tcPr>
            <w:tcW w:w="1491" w:type="pct"/>
            <w:gridSpan w:val="2"/>
            <w:vMerge w:val="continue"/>
          </w:tcPr>
          <w:p>
            <w:pPr>
              <w:rPr>
                <w:rFonts w:hAnsi="宋体" w:eastAsia="宋体"/>
                <w:snapToGrid w:val="0"/>
                <w:kern w:val="52"/>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gridSpan w:val="2"/>
            <w:vAlign w:val="center"/>
          </w:tcPr>
          <w:p>
            <w:pPr>
              <w:jc w:val="center"/>
              <w:rPr>
                <w:rFonts w:hAnsi="宋体" w:eastAsia="宋体"/>
                <w:snapToGrid w:val="0"/>
                <w:sz w:val="21"/>
                <w:szCs w:val="22"/>
              </w:rPr>
            </w:pPr>
            <w:r>
              <w:rPr>
                <w:rFonts w:hint="eastAsia" w:hAnsi="宋体" w:eastAsia="宋体"/>
                <w:snapToGrid w:val="0"/>
                <w:sz w:val="21"/>
                <w:szCs w:val="22"/>
              </w:rPr>
              <w:t>其他</w:t>
            </w:r>
          </w:p>
        </w:tc>
        <w:tc>
          <w:tcPr>
            <w:tcW w:w="4460" w:type="pct"/>
            <w:gridSpan w:val="6"/>
            <w:vAlign w:val="center"/>
          </w:tcPr>
          <w:p>
            <w:pPr>
              <w:spacing w:line="520" w:lineRule="exact"/>
              <w:ind w:firstLine="420" w:firstLineChars="200"/>
              <w:rPr>
                <w:rFonts w:eastAsia="宋体"/>
                <w:sz w:val="21"/>
                <w:szCs w:val="21"/>
              </w:rPr>
            </w:pPr>
            <w:r>
              <w:rPr>
                <w:rFonts w:eastAsia="宋体"/>
                <w:sz w:val="21"/>
                <w:szCs w:val="21"/>
              </w:rPr>
              <w:t>升压站投入运行后，将对站外环境产生工频电场、工频磁场影响，但在升压站围墙外，工频电场、工频磁场能够满足相应标准要求；事故状态和检修时可能引起油泄漏造成环境风险，升压站内设置有</w:t>
            </w:r>
            <w:r>
              <w:rPr>
                <w:rFonts w:hint="eastAsia" w:eastAsia="宋体"/>
                <w:sz w:val="21"/>
                <w:szCs w:val="21"/>
              </w:rPr>
              <w:t>50m</w:t>
            </w:r>
            <w:r>
              <w:rPr>
                <w:rFonts w:hint="eastAsia" w:eastAsia="宋体"/>
                <w:sz w:val="21"/>
                <w:szCs w:val="21"/>
                <w:vertAlign w:val="superscript"/>
              </w:rPr>
              <w:t>3</w:t>
            </w:r>
            <w:r>
              <w:rPr>
                <w:rFonts w:eastAsia="宋体"/>
                <w:sz w:val="21"/>
                <w:szCs w:val="21"/>
              </w:rPr>
              <w:t>事故油池，在发生事故时，事故漏油流入事故油池</w:t>
            </w:r>
            <w:r>
              <w:rPr>
                <w:rFonts w:eastAsia="宋体"/>
                <w:spacing w:val="-2"/>
                <w:kern w:val="16"/>
                <w:sz w:val="21"/>
                <w:szCs w:val="21"/>
              </w:rPr>
              <w:t>，油水分离后废油交由具有处置资质的危险废物处理处置单位进行处理</w:t>
            </w:r>
            <w:r>
              <w:rPr>
                <w:rFonts w:eastAsia="宋体"/>
                <w:sz w:val="21"/>
                <w:szCs w:val="21"/>
              </w:rPr>
              <w:t>，不会对外环境产生不良影响。</w:t>
            </w:r>
          </w:p>
          <w:p>
            <w:pPr>
              <w:spacing w:line="520" w:lineRule="exact"/>
              <w:ind w:firstLine="420" w:firstLineChars="200"/>
              <w:rPr>
                <w:rFonts w:hAnsi="宋体" w:eastAsia="宋体"/>
                <w:snapToGrid w:val="0"/>
                <w:sz w:val="21"/>
                <w:szCs w:val="22"/>
              </w:rPr>
            </w:pPr>
            <w:r>
              <w:rPr>
                <w:rFonts w:eastAsia="宋体"/>
                <w:sz w:val="21"/>
                <w:szCs w:val="21"/>
              </w:rPr>
              <w:t>输电线路投入运行后，将对线路边界附近环境产生工频电场、工频磁场影响，通过合理选择导线、金具及绝缘子等电气设备、设施，经过不同地区时严格按照规程设计导线对地距离、交叉跨越距离等，保证线路附近评价范围内居民区电磁环境符合相应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8"/>
            <w:vAlign w:val="center"/>
          </w:tcPr>
          <w:p>
            <w:pPr>
              <w:spacing w:line="500" w:lineRule="exact"/>
              <w:rPr>
                <w:rFonts w:ascii="黑体" w:hAnsi="黑体" w:eastAsia="黑体"/>
                <w:snapToGrid w:val="0"/>
                <w:szCs w:val="28"/>
              </w:rPr>
            </w:pPr>
            <w:r>
              <w:rPr>
                <w:rFonts w:ascii="黑体" w:hAnsi="黑体" w:eastAsia="黑体"/>
                <w:snapToGrid w:val="0"/>
                <w:szCs w:val="28"/>
              </w:rPr>
              <w:t>主要生态影响</w:t>
            </w:r>
            <w:r>
              <w:rPr>
                <w:rFonts w:hint="eastAsia" w:ascii="黑体" w:hAnsi="黑体" w:eastAsia="黑体"/>
                <w:snapToGrid w:val="0"/>
                <w:szCs w:val="28"/>
              </w:rPr>
              <w:t>（</w:t>
            </w:r>
            <w:r>
              <w:rPr>
                <w:rFonts w:ascii="黑体" w:hAnsi="黑体" w:eastAsia="黑体"/>
                <w:snapToGrid w:val="0"/>
                <w:szCs w:val="28"/>
              </w:rPr>
              <w:t>不够时可附另页</w:t>
            </w:r>
            <w:r>
              <w:rPr>
                <w:rFonts w:hint="eastAsia" w:ascii="黑体" w:hAnsi="黑体" w:eastAsia="黑体"/>
                <w:snapToGrid w:val="0"/>
                <w:szCs w:val="28"/>
              </w:rPr>
              <w:t>）</w:t>
            </w:r>
            <w:r>
              <w:rPr>
                <w:rFonts w:ascii="黑体" w:hAnsi="黑体" w:eastAsia="黑体"/>
                <w:snapToGrid w:val="0"/>
                <w:szCs w:val="28"/>
              </w:rPr>
              <w:t>：</w:t>
            </w:r>
          </w:p>
          <w:p>
            <w:pPr>
              <w:widowControl/>
              <w:adjustRightInd w:val="0"/>
              <w:snapToGrid w:val="0"/>
              <w:spacing w:line="500" w:lineRule="exact"/>
              <w:ind w:firstLine="480" w:firstLineChars="200"/>
              <w:rPr>
                <w:rFonts w:eastAsia="宋体"/>
                <w:sz w:val="24"/>
              </w:rPr>
            </w:pPr>
            <w:r>
              <w:rPr>
                <w:rFonts w:hint="eastAsia" w:eastAsia="宋体"/>
                <w:sz w:val="24"/>
              </w:rPr>
              <w:t>工程对生态环境影响主要因工程占地及施工扰动，对区域生态环境的影响主要表现为土壤扰动后，地表植被被破坏，可能造成土壤侵蚀和水土流失。施工噪声亦会对当地野生动物栖息环境造成影响。在施工过程中应采取必要的水土保持措施，在工程完工后应在可绿化地表进行绿化，将工程建设造成的不良生态影响降至最小。</w:t>
            </w:r>
          </w:p>
        </w:tc>
      </w:tr>
    </w:tbl>
    <w:p>
      <w:pPr>
        <w:rPr>
          <w:rFonts w:eastAsia="宋体"/>
          <w:b/>
          <w:bCs/>
          <w:sz w:val="30"/>
          <w:szCs w:val="30"/>
        </w:rPr>
      </w:pPr>
      <w:r>
        <w:rPr>
          <w:rFonts w:hint="eastAsia" w:eastAsia="宋体"/>
          <w:b/>
          <w:bCs/>
          <w:sz w:val="30"/>
          <w:szCs w:val="30"/>
        </w:rPr>
        <w:t>七、</w:t>
      </w:r>
      <w:r>
        <w:rPr>
          <w:rFonts w:eastAsia="宋体"/>
          <w:b/>
          <w:bCs/>
          <w:sz w:val="30"/>
          <w:szCs w:val="30"/>
        </w:rPr>
        <w:t>环境影响分析</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522" w:type="dxa"/>
          </w:tcPr>
          <w:p>
            <w:pPr>
              <w:adjustRightInd w:val="0"/>
              <w:snapToGrid w:val="0"/>
              <w:spacing w:line="520" w:lineRule="exact"/>
              <w:ind w:firstLine="480" w:firstLineChars="200"/>
              <w:rPr>
                <w:rFonts w:eastAsia="宋体"/>
                <w:sz w:val="24"/>
              </w:rPr>
            </w:pPr>
            <w:r>
              <w:rPr>
                <w:rFonts w:eastAsia="宋体"/>
                <w:sz w:val="24"/>
              </w:rPr>
              <w:t>因本项目目前已经投入运行，施工期已经结束，因此不再对施工期内容进行分析。</w:t>
            </w:r>
          </w:p>
          <w:p>
            <w:pPr>
              <w:adjustRightInd w:val="0"/>
              <w:spacing w:line="520" w:lineRule="exact"/>
              <w:rPr>
                <w:rFonts w:eastAsia="宋体"/>
                <w:b/>
                <w:sz w:val="24"/>
              </w:rPr>
            </w:pPr>
            <w:r>
              <w:rPr>
                <w:rFonts w:eastAsia="宋体"/>
                <w:b/>
                <w:sz w:val="24"/>
              </w:rPr>
              <w:t>7.1运营期环境影响评价</w:t>
            </w:r>
          </w:p>
          <w:p>
            <w:pPr>
              <w:adjustRightInd w:val="0"/>
              <w:snapToGrid w:val="0"/>
              <w:spacing w:line="520" w:lineRule="exact"/>
              <w:rPr>
                <w:rFonts w:eastAsia="宋体"/>
                <w:b/>
                <w:sz w:val="24"/>
              </w:rPr>
            </w:pPr>
            <w:r>
              <w:rPr>
                <w:rFonts w:eastAsia="宋体"/>
                <w:b/>
                <w:sz w:val="24"/>
              </w:rPr>
              <w:t>7.1.1电磁环境影响分析</w:t>
            </w:r>
          </w:p>
          <w:p>
            <w:pPr>
              <w:spacing w:line="520" w:lineRule="exact"/>
              <w:ind w:firstLine="480" w:firstLineChars="200"/>
              <w:rPr>
                <w:rFonts w:eastAsia="宋体"/>
                <w:sz w:val="24"/>
              </w:rPr>
            </w:pPr>
            <w:r>
              <w:rPr>
                <w:rFonts w:eastAsia="宋体"/>
                <w:sz w:val="24"/>
              </w:rPr>
              <w:t>根据《环境影响技术导则 输变电工程》（HJ 24-2014），110kV升压站评价等级为二级，采用类比监测的方法进行评价。本期110kV线路评价等级为二级，采用类比分析及模式预测分析投运后产生的电磁环境影响。本工程按照导则要求电磁环境影响进行了专题评价，在此仅作结论性分析。</w:t>
            </w:r>
          </w:p>
          <w:p>
            <w:pPr>
              <w:adjustRightInd w:val="0"/>
              <w:snapToGrid w:val="0"/>
              <w:spacing w:line="520" w:lineRule="exact"/>
              <w:jc w:val="left"/>
              <w:rPr>
                <w:rFonts w:eastAsia="宋体"/>
                <w:b/>
                <w:sz w:val="24"/>
              </w:rPr>
            </w:pPr>
            <w:r>
              <w:rPr>
                <w:rFonts w:eastAsia="宋体"/>
                <w:b/>
                <w:sz w:val="24"/>
              </w:rPr>
              <w:t>7.2.1升压站电磁环境影响分析</w:t>
            </w:r>
          </w:p>
          <w:p>
            <w:pPr>
              <w:spacing w:line="520" w:lineRule="exact"/>
              <w:ind w:firstLine="480" w:firstLineChars="200"/>
              <w:rPr>
                <w:rFonts w:eastAsia="宋体"/>
                <w:color w:val="000000" w:themeColor="text1"/>
                <w:sz w:val="24"/>
              </w:rPr>
            </w:pPr>
            <w:r>
              <w:rPr>
                <w:rFonts w:eastAsia="宋体"/>
                <w:color w:val="000000" w:themeColor="text1"/>
                <w:sz w:val="24"/>
              </w:rPr>
              <w:t>本工程110kV升压站的类比对象选择的是</w:t>
            </w:r>
            <w:r>
              <w:rPr>
                <w:rFonts w:hint="eastAsia" w:eastAsia="宋体"/>
                <w:color w:val="000000" w:themeColor="text1"/>
                <w:sz w:val="24"/>
              </w:rPr>
              <w:t>濮阳润丰新能源有限公司润清风电场新建 110 千伏升压站</w:t>
            </w:r>
            <w:r>
              <w:rPr>
                <w:rFonts w:eastAsia="宋体"/>
                <w:color w:val="000000" w:themeColor="text1"/>
                <w:sz w:val="24"/>
              </w:rPr>
              <w:t>。根据类比监测结果，本工程110kV升压站运行期产生工频电场强度及工频磁感应强度能够满足《电磁环境控制限值》（GB8702-2014）4kV/m和0.1mT的公众曝露控制限值的评价标准。</w:t>
            </w:r>
          </w:p>
          <w:p>
            <w:pPr>
              <w:spacing w:line="520" w:lineRule="exact"/>
              <w:ind w:firstLine="480" w:firstLineChars="200"/>
              <w:rPr>
                <w:color w:val="000000" w:themeColor="text1"/>
                <w:sz w:val="24"/>
              </w:rPr>
            </w:pPr>
            <w:r>
              <w:rPr>
                <w:rFonts w:eastAsia="宋体"/>
                <w:color w:val="000000" w:themeColor="text1"/>
                <w:sz w:val="24"/>
              </w:rPr>
              <w:t>根据类比监测结果及其变化规律，110kV升压站本期建成投运后该敏感点的电磁环境影响因子能分别满足相应评价标准。</w:t>
            </w:r>
          </w:p>
          <w:p>
            <w:pPr>
              <w:adjustRightInd w:val="0"/>
              <w:snapToGrid w:val="0"/>
              <w:spacing w:line="520" w:lineRule="exact"/>
              <w:jc w:val="left"/>
              <w:rPr>
                <w:rFonts w:eastAsia="宋体"/>
                <w:b/>
                <w:sz w:val="24"/>
              </w:rPr>
            </w:pPr>
            <w:r>
              <w:rPr>
                <w:rFonts w:eastAsia="宋体"/>
                <w:b/>
                <w:sz w:val="24"/>
              </w:rPr>
              <w:t>7.2.2输电线路电磁环境影响分析</w:t>
            </w:r>
          </w:p>
          <w:p>
            <w:pPr>
              <w:spacing w:line="520" w:lineRule="exact"/>
              <w:ind w:firstLine="480" w:firstLineChars="200"/>
              <w:rPr>
                <w:rFonts w:eastAsia="宋体"/>
                <w:sz w:val="24"/>
              </w:rPr>
            </w:pPr>
            <w:r>
              <w:rPr>
                <w:rFonts w:hAnsi="宋体" w:eastAsia="宋体"/>
                <w:sz w:val="24"/>
              </w:rPr>
              <w:t>本项目</w:t>
            </w:r>
            <w:r>
              <w:rPr>
                <w:rFonts w:eastAsia="宋体"/>
                <w:sz w:val="24"/>
              </w:rPr>
              <w:t>输电线路电磁环境影响分析采用类比监测及模式预测来进行分析、预测及评价线路投运后产生的电磁环境影响。</w:t>
            </w:r>
          </w:p>
          <w:p>
            <w:pPr>
              <w:spacing w:line="520" w:lineRule="exact"/>
              <w:ind w:firstLine="480" w:firstLineChars="200"/>
              <w:rPr>
                <w:rFonts w:eastAsia="宋体"/>
                <w:sz w:val="24"/>
              </w:rPr>
            </w:pPr>
            <w:r>
              <w:rPr>
                <w:rFonts w:eastAsia="宋体"/>
                <w:sz w:val="24"/>
              </w:rPr>
              <w:t>（1）线路电磁环境影响类比监测及分析</w:t>
            </w:r>
          </w:p>
          <w:p>
            <w:pPr>
              <w:spacing w:line="520" w:lineRule="exact"/>
              <w:ind w:firstLine="480" w:firstLineChars="200"/>
              <w:rPr>
                <w:rFonts w:eastAsia="宋体"/>
                <w:sz w:val="24"/>
              </w:rPr>
            </w:pPr>
            <w:r>
              <w:rPr>
                <w:rFonts w:eastAsia="宋体"/>
                <w:sz w:val="24"/>
              </w:rPr>
              <w:t>本项目架空输电线路采用同塔单回路架设。本次评价从电压等级、杆塔型式、导线排列方式及所在区域等方面，类比对象选择</w:t>
            </w:r>
            <w:r>
              <w:rPr>
                <w:rFonts w:eastAsia="宋体"/>
                <w:color w:val="000000" w:themeColor="text1"/>
                <w:sz w:val="24"/>
              </w:rPr>
              <w:t>了位于安阳境内2014年通过竣工环境保护验收的110kV蓝万线Ⅱ回线路。</w:t>
            </w:r>
            <w:r>
              <w:rPr>
                <w:rFonts w:eastAsia="宋体"/>
                <w:sz w:val="24"/>
              </w:rPr>
              <w:t>根据类比线路监测结果，类比线路工频电场为29.95～210.3V/m，最大值出现在距离线路走廊5m处，最大值为210.3V/m；工频磁感应强度为0.0571～0.1875μT。最大值出现在线下，最大值为0.1875μT。满足《电磁环境控制限值》（GB8702-2014）中4kV/m和0.1mT的公众曝露控制限值的评价标准。因此，本工程110kV架空输电线路投运后产生的工频电场强度及工频磁感应强度满足《电磁环境控制限值》（GB8702-2014）中4kV/m和0.1mT的公众曝露控制限值的评价标准。</w:t>
            </w:r>
          </w:p>
          <w:p>
            <w:pPr>
              <w:spacing w:line="520" w:lineRule="exact"/>
              <w:ind w:firstLine="480" w:firstLineChars="200"/>
              <w:rPr>
                <w:rFonts w:eastAsia="宋体"/>
                <w:sz w:val="24"/>
              </w:rPr>
            </w:pPr>
            <w:r>
              <w:rPr>
                <w:rFonts w:eastAsia="宋体"/>
                <w:sz w:val="24"/>
              </w:rPr>
              <w:t>（2）输电线路电磁环境影响模式预测</w:t>
            </w:r>
          </w:p>
          <w:p>
            <w:pPr>
              <w:spacing w:line="520" w:lineRule="exact"/>
              <w:ind w:firstLine="480" w:firstLineChars="200"/>
              <w:rPr>
                <w:rFonts w:eastAsia="宋体"/>
                <w:sz w:val="24"/>
              </w:rPr>
            </w:pPr>
            <w:r>
              <w:rPr>
                <w:rFonts w:eastAsia="宋体"/>
                <w:sz w:val="24"/>
              </w:rPr>
              <w:t>本项目参照HJ 24-2014《环境影响评价技术导则  输变电工程》推荐的方法，根据线路的杆塔型式、导线排列方式，导线对地距离、线间距、导线结构和运行工况，预测计算本工程配套线路运行时产生的工频电场、工频磁场，分析线路投运后的电磁环境影响程度及范围。</w:t>
            </w:r>
          </w:p>
          <w:p>
            <w:pPr>
              <w:spacing w:line="520" w:lineRule="exact"/>
              <w:ind w:firstLine="480" w:firstLineChars="200"/>
              <w:rPr>
                <w:rFonts w:eastAsia="宋体"/>
                <w:sz w:val="24"/>
              </w:rPr>
            </w:pPr>
            <w:r>
              <w:rPr>
                <w:rFonts w:eastAsia="宋体"/>
                <w:snapToGrid w:val="0"/>
                <w:kern w:val="16"/>
                <w:sz w:val="24"/>
              </w:rPr>
              <w:t>预</w:t>
            </w:r>
            <w:r>
              <w:rPr>
                <w:rFonts w:eastAsia="宋体"/>
                <w:sz w:val="24"/>
              </w:rPr>
              <w:t>测结果如下：</w:t>
            </w:r>
          </w:p>
          <w:p>
            <w:pPr>
              <w:spacing w:line="520" w:lineRule="exact"/>
              <w:ind w:firstLine="480" w:firstLineChars="200"/>
              <w:rPr>
                <w:rFonts w:eastAsia="宋体"/>
                <w:color w:val="000000" w:themeColor="text1"/>
                <w:sz w:val="24"/>
              </w:rPr>
            </w:pPr>
            <w:r>
              <w:rPr>
                <w:rFonts w:eastAsia="宋体"/>
                <w:snapToGrid w:val="0"/>
                <w:color w:val="000000" w:themeColor="text1"/>
                <w:kern w:val="16"/>
                <w:sz w:val="24"/>
                <w:szCs w:val="20"/>
              </w:rPr>
              <w:t>工频电场</w:t>
            </w:r>
            <w:r>
              <w:rPr>
                <w:rFonts w:hint="eastAsia" w:eastAsia="宋体"/>
                <w:snapToGrid w:val="0"/>
                <w:color w:val="000000" w:themeColor="text1"/>
                <w:kern w:val="16"/>
                <w:sz w:val="24"/>
                <w:szCs w:val="20"/>
              </w:rPr>
              <w:t>、工频电场：</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1）导线对地最小距离为6m（非居民区）时：</w:t>
            </w:r>
          </w:p>
          <w:p>
            <w:pPr>
              <w:spacing w:line="520" w:lineRule="exact"/>
              <w:ind w:firstLine="480" w:firstLineChars="200"/>
              <w:rPr>
                <w:rFonts w:eastAsia="宋体"/>
                <w:color w:val="000000" w:themeColor="text1"/>
                <w:spacing w:val="-2"/>
                <w:kern w:val="16"/>
                <w:sz w:val="24"/>
              </w:rPr>
            </w:pPr>
            <w:r>
              <w:rPr>
                <w:rFonts w:hAnsi="宋体" w:eastAsia="宋体"/>
                <w:snapToGrid w:val="0"/>
                <w:color w:val="000000" w:themeColor="text1"/>
                <w:kern w:val="16"/>
                <w:sz w:val="24"/>
              </w:rPr>
              <w:t>由表</w:t>
            </w:r>
            <w:r>
              <w:rPr>
                <w:rFonts w:eastAsia="宋体"/>
                <w:snapToGrid w:val="0"/>
                <w:color w:val="000000" w:themeColor="text1"/>
                <w:kern w:val="16"/>
                <w:sz w:val="24"/>
              </w:rPr>
              <w:t>14</w:t>
            </w:r>
            <w:r>
              <w:rPr>
                <w:rFonts w:hAnsi="宋体" w:eastAsia="宋体"/>
                <w:snapToGrid w:val="0"/>
                <w:color w:val="000000" w:themeColor="text1"/>
                <w:kern w:val="16"/>
                <w:sz w:val="24"/>
              </w:rPr>
              <w:t>预测结果可知，本工程</w:t>
            </w:r>
            <w:r>
              <w:rPr>
                <w:rFonts w:eastAsia="宋体"/>
                <w:snapToGrid w:val="0"/>
                <w:color w:val="000000" w:themeColor="text1"/>
                <w:kern w:val="16"/>
                <w:sz w:val="24"/>
              </w:rPr>
              <w:t>110kV</w:t>
            </w:r>
            <w:r>
              <w:rPr>
                <w:rFonts w:hAnsi="宋体" w:eastAsia="宋体"/>
                <w:snapToGrid w:val="0"/>
                <w:color w:val="000000" w:themeColor="text1"/>
                <w:kern w:val="16"/>
                <w:sz w:val="24"/>
              </w:rPr>
              <w:t>输电线路经过非居民区线下道路等场所线路段，导线对地最小距离为</w:t>
            </w:r>
            <w:r>
              <w:rPr>
                <w:rFonts w:eastAsia="宋体"/>
                <w:snapToGrid w:val="0"/>
                <w:color w:val="000000" w:themeColor="text1"/>
                <w:kern w:val="16"/>
                <w:sz w:val="24"/>
              </w:rPr>
              <w:t>6m</w:t>
            </w:r>
            <w:r>
              <w:rPr>
                <w:rFonts w:hAnsi="宋体" w:eastAsia="宋体"/>
                <w:snapToGrid w:val="0"/>
                <w:color w:val="000000" w:themeColor="text1"/>
                <w:kern w:val="16"/>
                <w:sz w:val="24"/>
              </w:rPr>
              <w:t>，距地面</w:t>
            </w:r>
            <w:r>
              <w:rPr>
                <w:rFonts w:eastAsia="宋体"/>
                <w:snapToGrid w:val="0"/>
                <w:color w:val="000000" w:themeColor="text1"/>
                <w:kern w:val="16"/>
                <w:sz w:val="24"/>
              </w:rPr>
              <w:t>1.5m</w:t>
            </w:r>
            <w:r>
              <w:rPr>
                <w:rFonts w:hAnsi="宋体" w:eastAsia="宋体"/>
                <w:snapToGrid w:val="0"/>
                <w:color w:val="000000" w:themeColor="text1"/>
                <w:kern w:val="16"/>
                <w:sz w:val="24"/>
              </w:rPr>
              <w:t>高度处，</w:t>
            </w:r>
            <w:r>
              <w:rPr>
                <w:rFonts w:hAnsi="宋体" w:eastAsia="宋体"/>
                <w:color w:val="000000" w:themeColor="text1"/>
                <w:sz w:val="24"/>
              </w:rPr>
              <w:t>工频电场强度最大预测值为</w:t>
            </w:r>
            <w:r>
              <w:rPr>
                <w:rFonts w:hint="eastAsia" w:eastAsia="宋体"/>
                <w:color w:val="000000" w:themeColor="text1"/>
                <w:kern w:val="0"/>
                <w:sz w:val="24"/>
              </w:rPr>
              <w:t>2.64</w:t>
            </w:r>
            <w:r>
              <w:rPr>
                <w:rFonts w:eastAsia="宋体"/>
                <w:color w:val="000000" w:themeColor="text1"/>
                <w:kern w:val="0"/>
                <w:sz w:val="24"/>
              </w:rPr>
              <w:t xml:space="preserve"> kV/m</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w:t>
            </w:r>
            <w:r>
              <w:rPr>
                <w:rFonts w:hAnsi="宋体" w:eastAsia="宋体"/>
                <w:color w:val="000000" w:themeColor="text1"/>
                <w:kern w:val="0"/>
                <w:sz w:val="24"/>
              </w:rPr>
              <w:t>，</w:t>
            </w:r>
            <w:r>
              <w:rPr>
                <w:rFonts w:hAnsi="宋体" w:eastAsia="宋体"/>
                <w:color w:val="000000" w:themeColor="text1"/>
                <w:sz w:val="24"/>
              </w:rPr>
              <w:t>磁感应强度最大预测值为</w:t>
            </w:r>
            <w:r>
              <w:rPr>
                <w:rFonts w:hint="eastAsia" w:eastAsia="宋体"/>
                <w:color w:val="000000" w:themeColor="text1"/>
                <w:sz w:val="24"/>
              </w:rPr>
              <w:t>28.16</w:t>
            </w:r>
            <w:r>
              <w:rPr>
                <w:rFonts w:eastAsia="宋体"/>
                <w:color w:val="000000" w:themeColor="text1"/>
                <w:kern w:val="0"/>
                <w:sz w:val="24"/>
              </w:rPr>
              <w:t>μT</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处，满足</w:t>
            </w:r>
            <w:r>
              <w:rPr>
                <w:rFonts w:hAnsi="宋体" w:eastAsia="宋体"/>
                <w:color w:val="000000" w:themeColor="text1"/>
                <w:spacing w:val="-2"/>
                <w:kern w:val="16"/>
                <w:sz w:val="24"/>
              </w:rPr>
              <w:t>《电磁环境控制限值》（</w:t>
            </w:r>
            <w:r>
              <w:rPr>
                <w:rFonts w:eastAsia="宋体"/>
                <w:color w:val="000000" w:themeColor="text1"/>
                <w:spacing w:val="-2"/>
                <w:kern w:val="16"/>
                <w:sz w:val="24"/>
              </w:rPr>
              <w:t>GB8702-2014</w:t>
            </w:r>
            <w:r>
              <w:rPr>
                <w:rFonts w:hAnsi="宋体" w:eastAsia="宋体"/>
                <w:color w:val="000000" w:themeColor="text1"/>
                <w:spacing w:val="-2"/>
                <w:kern w:val="16"/>
                <w:sz w:val="24"/>
              </w:rPr>
              <w:t>）中</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hAnsi="宋体" w:eastAsia="宋体"/>
                <w:color w:val="000000" w:themeColor="text1"/>
                <w:spacing w:val="-2"/>
                <w:kern w:val="16"/>
                <w:sz w:val="24"/>
              </w:rPr>
              <w:t>的公众曝露控制限值的评价标准。</w:t>
            </w:r>
          </w:p>
          <w:p>
            <w:pPr>
              <w:adjustRightInd w:val="0"/>
              <w:snapToGrid w:val="0"/>
              <w:spacing w:line="520" w:lineRule="exact"/>
              <w:ind w:firstLine="480" w:firstLineChars="200"/>
              <w:rPr>
                <w:rFonts w:eastAsia="宋体"/>
                <w:snapToGrid w:val="0"/>
                <w:kern w:val="16"/>
                <w:sz w:val="24"/>
                <w:szCs w:val="20"/>
              </w:rPr>
            </w:pPr>
            <w:r>
              <w:rPr>
                <w:rFonts w:hint="eastAsia" w:eastAsia="宋体"/>
                <w:snapToGrid w:val="0"/>
                <w:kern w:val="16"/>
                <w:sz w:val="24"/>
                <w:szCs w:val="20"/>
              </w:rPr>
              <w:t>2</w:t>
            </w:r>
            <w:r>
              <w:rPr>
                <w:rFonts w:eastAsia="宋体"/>
                <w:snapToGrid w:val="0"/>
                <w:kern w:val="16"/>
                <w:sz w:val="24"/>
                <w:szCs w:val="20"/>
              </w:rPr>
              <w:t>）导线对地最小距离为</w:t>
            </w:r>
            <w:r>
              <w:rPr>
                <w:rFonts w:hint="eastAsia" w:eastAsia="宋体"/>
                <w:snapToGrid w:val="0"/>
                <w:kern w:val="16"/>
                <w:sz w:val="24"/>
                <w:szCs w:val="20"/>
              </w:rPr>
              <w:t>7</w:t>
            </w:r>
            <w:r>
              <w:rPr>
                <w:rFonts w:eastAsia="宋体"/>
                <w:snapToGrid w:val="0"/>
                <w:kern w:val="16"/>
                <w:sz w:val="24"/>
                <w:szCs w:val="20"/>
              </w:rPr>
              <w:t>m（居民区</w:t>
            </w:r>
            <w:r>
              <w:rPr>
                <w:rFonts w:hint="eastAsia" w:eastAsia="宋体"/>
                <w:snapToGrid w:val="0"/>
                <w:kern w:val="16"/>
                <w:sz w:val="24"/>
                <w:szCs w:val="20"/>
              </w:rPr>
              <w:t>、</w:t>
            </w:r>
            <w:r>
              <w:rPr>
                <w:rFonts w:eastAsia="宋体"/>
                <w:snapToGrid w:val="0"/>
                <w:kern w:val="16"/>
                <w:sz w:val="24"/>
                <w:szCs w:val="20"/>
              </w:rPr>
              <w:t>不跨越房屋）时：</w:t>
            </w:r>
          </w:p>
          <w:p>
            <w:pPr>
              <w:spacing w:line="520" w:lineRule="exact"/>
              <w:ind w:firstLine="480" w:firstLineChars="200"/>
              <w:rPr>
                <w:rFonts w:eastAsia="宋体"/>
                <w:color w:val="000000" w:themeColor="text1"/>
                <w:spacing w:val="-2"/>
                <w:kern w:val="16"/>
                <w:sz w:val="24"/>
              </w:rPr>
            </w:pPr>
            <w:r>
              <w:rPr>
                <w:rFonts w:hAnsi="宋体" w:eastAsia="宋体"/>
                <w:snapToGrid w:val="0"/>
                <w:color w:val="000000" w:themeColor="text1"/>
                <w:kern w:val="16"/>
                <w:sz w:val="24"/>
              </w:rPr>
              <w:t>由表</w:t>
            </w:r>
            <w:r>
              <w:rPr>
                <w:rFonts w:eastAsia="宋体"/>
                <w:snapToGrid w:val="0"/>
                <w:color w:val="000000" w:themeColor="text1"/>
                <w:kern w:val="16"/>
                <w:sz w:val="24"/>
              </w:rPr>
              <w:t>14</w:t>
            </w:r>
            <w:r>
              <w:rPr>
                <w:rFonts w:hAnsi="宋体" w:eastAsia="宋体"/>
                <w:snapToGrid w:val="0"/>
                <w:color w:val="000000" w:themeColor="text1"/>
                <w:kern w:val="16"/>
                <w:sz w:val="24"/>
              </w:rPr>
              <w:t>预测结果可知，本工程</w:t>
            </w:r>
            <w:r>
              <w:rPr>
                <w:rFonts w:eastAsia="宋体"/>
                <w:snapToGrid w:val="0"/>
                <w:color w:val="000000" w:themeColor="text1"/>
                <w:kern w:val="16"/>
                <w:sz w:val="24"/>
              </w:rPr>
              <w:t>110kV</w:t>
            </w:r>
            <w:r>
              <w:rPr>
                <w:rFonts w:hAnsi="宋体" w:eastAsia="宋体"/>
                <w:snapToGrid w:val="0"/>
                <w:color w:val="000000" w:themeColor="text1"/>
                <w:kern w:val="16"/>
                <w:sz w:val="24"/>
              </w:rPr>
              <w:t>输电线路经过居民区</w:t>
            </w:r>
            <w:r>
              <w:rPr>
                <w:rFonts w:hint="eastAsia" w:hAnsi="宋体" w:eastAsia="宋体"/>
                <w:snapToGrid w:val="0"/>
                <w:color w:val="000000" w:themeColor="text1"/>
                <w:kern w:val="16"/>
                <w:sz w:val="24"/>
              </w:rPr>
              <w:t>且</w:t>
            </w:r>
            <w:r>
              <w:rPr>
                <w:rFonts w:eastAsia="宋体"/>
                <w:snapToGrid w:val="0"/>
                <w:kern w:val="16"/>
                <w:sz w:val="24"/>
                <w:szCs w:val="20"/>
              </w:rPr>
              <w:t>不跨越房屋</w:t>
            </w:r>
            <w:r>
              <w:rPr>
                <w:rFonts w:hAnsi="宋体" w:eastAsia="宋体"/>
                <w:snapToGrid w:val="0"/>
                <w:color w:val="000000" w:themeColor="text1"/>
                <w:kern w:val="16"/>
                <w:sz w:val="24"/>
              </w:rPr>
              <w:t>等场所线路段，导线对地最小距离为</w:t>
            </w:r>
            <w:r>
              <w:rPr>
                <w:rFonts w:hint="eastAsia" w:eastAsia="宋体"/>
                <w:snapToGrid w:val="0"/>
                <w:color w:val="000000" w:themeColor="text1"/>
                <w:kern w:val="16"/>
                <w:sz w:val="24"/>
              </w:rPr>
              <w:t>7</w:t>
            </w:r>
            <w:r>
              <w:rPr>
                <w:rFonts w:eastAsia="宋体"/>
                <w:snapToGrid w:val="0"/>
                <w:color w:val="000000" w:themeColor="text1"/>
                <w:kern w:val="16"/>
                <w:sz w:val="24"/>
              </w:rPr>
              <w:t>m</w:t>
            </w:r>
            <w:r>
              <w:rPr>
                <w:rFonts w:hAnsi="宋体" w:eastAsia="宋体"/>
                <w:snapToGrid w:val="0"/>
                <w:color w:val="000000" w:themeColor="text1"/>
                <w:kern w:val="16"/>
                <w:sz w:val="24"/>
              </w:rPr>
              <w:t>，距地面</w:t>
            </w:r>
            <w:r>
              <w:rPr>
                <w:rFonts w:eastAsia="宋体"/>
                <w:snapToGrid w:val="0"/>
                <w:color w:val="000000" w:themeColor="text1"/>
                <w:kern w:val="16"/>
                <w:sz w:val="24"/>
              </w:rPr>
              <w:t>1.5m</w:t>
            </w:r>
            <w:r>
              <w:rPr>
                <w:rFonts w:hAnsi="宋体" w:eastAsia="宋体"/>
                <w:snapToGrid w:val="0"/>
                <w:color w:val="000000" w:themeColor="text1"/>
                <w:kern w:val="16"/>
                <w:sz w:val="24"/>
              </w:rPr>
              <w:t>高度处，</w:t>
            </w:r>
            <w:r>
              <w:rPr>
                <w:rFonts w:hAnsi="宋体" w:eastAsia="宋体"/>
                <w:color w:val="000000" w:themeColor="text1"/>
                <w:sz w:val="24"/>
              </w:rPr>
              <w:t>工频电场强度最大预测值为</w:t>
            </w:r>
            <w:r>
              <w:rPr>
                <w:rFonts w:eastAsia="宋体"/>
                <w:color w:val="000000" w:themeColor="text1"/>
                <w:kern w:val="0"/>
                <w:sz w:val="24"/>
              </w:rPr>
              <w:t>1.</w:t>
            </w:r>
            <w:r>
              <w:rPr>
                <w:rFonts w:hint="eastAsia" w:eastAsia="宋体"/>
                <w:color w:val="000000" w:themeColor="text1"/>
                <w:kern w:val="0"/>
                <w:sz w:val="24"/>
              </w:rPr>
              <w:t>67</w:t>
            </w:r>
            <w:r>
              <w:rPr>
                <w:rFonts w:eastAsia="宋体"/>
                <w:color w:val="000000" w:themeColor="text1"/>
                <w:kern w:val="0"/>
                <w:sz w:val="24"/>
              </w:rPr>
              <w:t>kV/m</w:t>
            </w:r>
            <w:r>
              <w:rPr>
                <w:rFonts w:hAnsi="宋体" w:eastAsia="宋体"/>
                <w:color w:val="000000" w:themeColor="text1"/>
                <w:kern w:val="0"/>
                <w:sz w:val="24"/>
              </w:rPr>
              <w:t>，位于边导线内，线路中心</w:t>
            </w:r>
            <w:r>
              <w:rPr>
                <w:rFonts w:hAnsi="宋体" w:eastAsia="宋体"/>
                <w:color w:val="000000" w:themeColor="text1"/>
                <w:sz w:val="24"/>
              </w:rPr>
              <w:t>处</w:t>
            </w:r>
            <w:r>
              <w:rPr>
                <w:rFonts w:hAnsi="宋体" w:eastAsia="宋体"/>
                <w:color w:val="000000" w:themeColor="text1"/>
                <w:kern w:val="0"/>
                <w:sz w:val="24"/>
              </w:rPr>
              <w:t>，</w:t>
            </w:r>
            <w:r>
              <w:rPr>
                <w:rFonts w:hAnsi="宋体" w:eastAsia="宋体"/>
                <w:color w:val="000000" w:themeColor="text1"/>
                <w:sz w:val="24"/>
              </w:rPr>
              <w:t>磁感应强度最大预测值为</w:t>
            </w:r>
            <w:r>
              <w:rPr>
                <w:rFonts w:eastAsia="宋体"/>
                <w:color w:val="000000" w:themeColor="text1"/>
                <w:sz w:val="24"/>
              </w:rPr>
              <w:t>2</w:t>
            </w:r>
            <w:r>
              <w:rPr>
                <w:rFonts w:hint="eastAsia" w:eastAsia="宋体"/>
                <w:color w:val="000000" w:themeColor="text1"/>
                <w:sz w:val="24"/>
              </w:rPr>
              <w:t>4.24</w:t>
            </w:r>
            <w:r>
              <w:rPr>
                <w:rFonts w:eastAsia="宋体"/>
                <w:color w:val="000000" w:themeColor="text1"/>
                <w:kern w:val="0"/>
                <w:sz w:val="24"/>
              </w:rPr>
              <w:t>μT</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处，满足</w:t>
            </w:r>
            <w:r>
              <w:rPr>
                <w:rFonts w:hAnsi="宋体" w:eastAsia="宋体"/>
                <w:color w:val="000000" w:themeColor="text1"/>
                <w:spacing w:val="-2"/>
                <w:kern w:val="16"/>
                <w:sz w:val="24"/>
              </w:rPr>
              <w:t>《电磁环境控制限值》（</w:t>
            </w:r>
            <w:r>
              <w:rPr>
                <w:rFonts w:eastAsia="宋体"/>
                <w:color w:val="000000" w:themeColor="text1"/>
                <w:spacing w:val="-2"/>
                <w:kern w:val="16"/>
                <w:sz w:val="24"/>
              </w:rPr>
              <w:t>GB8702-2014</w:t>
            </w:r>
            <w:r>
              <w:rPr>
                <w:rFonts w:hAnsi="宋体" w:eastAsia="宋体"/>
                <w:color w:val="000000" w:themeColor="text1"/>
                <w:spacing w:val="-2"/>
                <w:kern w:val="16"/>
                <w:sz w:val="24"/>
              </w:rPr>
              <w:t>）中</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hAnsi="宋体" w:eastAsia="宋体"/>
                <w:color w:val="000000" w:themeColor="text1"/>
                <w:spacing w:val="-2"/>
                <w:kern w:val="16"/>
                <w:sz w:val="24"/>
              </w:rPr>
              <w:t>的公众曝露控制限值的评价标准。</w:t>
            </w:r>
          </w:p>
          <w:p>
            <w:pPr>
              <w:adjustRightInd w:val="0"/>
              <w:snapToGrid w:val="0"/>
              <w:spacing w:line="520" w:lineRule="exact"/>
              <w:ind w:firstLine="480" w:firstLineChars="200"/>
              <w:rPr>
                <w:rFonts w:eastAsia="宋体"/>
                <w:snapToGrid w:val="0"/>
                <w:color w:val="000000" w:themeColor="text1"/>
                <w:kern w:val="16"/>
                <w:sz w:val="24"/>
              </w:rPr>
            </w:pPr>
            <w:r>
              <w:rPr>
                <w:rFonts w:hint="eastAsia" w:eastAsia="宋体"/>
                <w:snapToGrid w:val="0"/>
                <w:color w:val="000000" w:themeColor="text1"/>
                <w:kern w:val="16"/>
                <w:sz w:val="24"/>
              </w:rPr>
              <w:t>3</w:t>
            </w:r>
            <w:r>
              <w:rPr>
                <w:rFonts w:eastAsia="宋体"/>
                <w:snapToGrid w:val="0"/>
                <w:color w:val="000000" w:themeColor="text1"/>
                <w:kern w:val="16"/>
                <w:sz w:val="24"/>
              </w:rPr>
              <w:t>）线路环境保护目标处预测</w:t>
            </w:r>
          </w:p>
          <w:p>
            <w:pPr>
              <w:adjustRightInd w:val="0"/>
              <w:snapToGrid w:val="0"/>
              <w:spacing w:line="520" w:lineRule="exact"/>
              <w:ind w:firstLine="480" w:firstLineChars="200"/>
              <w:rPr>
                <w:rFonts w:eastAsia="宋体"/>
                <w:snapToGrid w:val="0"/>
                <w:color w:val="000000" w:themeColor="text1"/>
                <w:kern w:val="16"/>
                <w:sz w:val="24"/>
              </w:rPr>
            </w:pPr>
            <w:r>
              <w:rPr>
                <w:rFonts w:eastAsia="宋体"/>
                <w:snapToGrid w:val="0"/>
                <w:color w:val="000000" w:themeColor="text1"/>
                <w:kern w:val="16"/>
                <w:sz w:val="24"/>
              </w:rPr>
              <w:t>本项目环境保护目标处的预测值见下表。</w:t>
            </w:r>
          </w:p>
          <w:p>
            <w:pPr>
              <w:adjustRightInd w:val="0"/>
              <w:snapToGrid w:val="0"/>
              <w:spacing w:line="520" w:lineRule="exact"/>
              <w:ind w:firstLine="482" w:firstLineChars="200"/>
              <w:rPr>
                <w:rFonts w:hAnsi="黑体" w:eastAsia="黑体"/>
                <w:b/>
                <w:sz w:val="24"/>
              </w:rPr>
            </w:pPr>
          </w:p>
          <w:p>
            <w:pPr>
              <w:adjustRightInd w:val="0"/>
              <w:snapToGrid w:val="0"/>
              <w:spacing w:line="520" w:lineRule="exact"/>
              <w:ind w:firstLine="482" w:firstLineChars="200"/>
              <w:rPr>
                <w:rFonts w:hAnsi="黑体" w:eastAsia="黑体"/>
                <w:b/>
                <w:sz w:val="24"/>
              </w:rPr>
            </w:pPr>
          </w:p>
          <w:p>
            <w:pPr>
              <w:adjustRightInd w:val="0"/>
              <w:snapToGrid w:val="0"/>
              <w:spacing w:line="520" w:lineRule="exact"/>
              <w:ind w:firstLine="480" w:firstLineChars="200"/>
              <w:rPr>
                <w:rFonts w:eastAsia="黑体"/>
                <w:sz w:val="24"/>
              </w:rPr>
            </w:pPr>
            <w:r>
              <w:rPr>
                <w:rFonts w:hAnsi="黑体" w:eastAsia="黑体"/>
                <w:sz w:val="24"/>
              </w:rPr>
              <w:t>表</w:t>
            </w:r>
            <w:r>
              <w:rPr>
                <w:rFonts w:eastAsia="黑体"/>
                <w:sz w:val="24"/>
              </w:rPr>
              <w:t xml:space="preserve">7-1          </w:t>
            </w:r>
            <w:r>
              <w:rPr>
                <w:rFonts w:hAnsi="黑体" w:eastAsia="黑体"/>
                <w:sz w:val="24"/>
              </w:rPr>
              <w:t>环境保护目标处工频电场预测值</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5"/>
              <w:gridCol w:w="1795"/>
              <w:gridCol w:w="1701"/>
              <w:gridCol w:w="1559"/>
              <w:gridCol w:w="1418"/>
              <w:gridCol w:w="12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序号</w:t>
                  </w:r>
                </w:p>
              </w:tc>
              <w:tc>
                <w:tcPr>
                  <w:tcW w:w="1795" w:type="dxa"/>
                  <w:vAlign w:val="center"/>
                </w:tcPr>
                <w:p>
                  <w:pPr>
                    <w:spacing w:line="360" w:lineRule="exact"/>
                    <w:jc w:val="center"/>
                    <w:rPr>
                      <w:rFonts w:eastAsia="宋体"/>
                      <w:sz w:val="21"/>
                      <w:szCs w:val="21"/>
                    </w:rPr>
                  </w:pPr>
                  <w:r>
                    <w:rPr>
                      <w:rFonts w:eastAsia="宋体"/>
                      <w:sz w:val="21"/>
                      <w:szCs w:val="21"/>
                    </w:rPr>
                    <w:t>敏感点名称</w:t>
                  </w:r>
                </w:p>
              </w:tc>
              <w:tc>
                <w:tcPr>
                  <w:tcW w:w="1701" w:type="dxa"/>
                  <w:vAlign w:val="center"/>
                </w:tcPr>
                <w:p>
                  <w:pPr>
                    <w:spacing w:line="360" w:lineRule="exact"/>
                    <w:jc w:val="center"/>
                    <w:rPr>
                      <w:rFonts w:eastAsia="宋体"/>
                      <w:sz w:val="21"/>
                      <w:szCs w:val="21"/>
                    </w:rPr>
                  </w:pPr>
                  <w:r>
                    <w:rPr>
                      <w:rFonts w:eastAsia="宋体"/>
                      <w:sz w:val="21"/>
                      <w:szCs w:val="21"/>
                    </w:rPr>
                    <w:t>现状方位及距离</w:t>
                  </w:r>
                </w:p>
              </w:tc>
              <w:tc>
                <w:tcPr>
                  <w:tcW w:w="1559" w:type="dxa"/>
                  <w:vAlign w:val="center"/>
                </w:tcPr>
                <w:p>
                  <w:pPr>
                    <w:spacing w:line="360" w:lineRule="exact"/>
                    <w:jc w:val="center"/>
                    <w:rPr>
                      <w:rFonts w:eastAsia="宋体"/>
                      <w:sz w:val="21"/>
                      <w:szCs w:val="21"/>
                    </w:rPr>
                  </w:pPr>
                  <w:r>
                    <w:rPr>
                      <w:rFonts w:hint="eastAsia" w:eastAsia="宋体"/>
                      <w:sz w:val="21"/>
                      <w:szCs w:val="21"/>
                    </w:rPr>
                    <w:t>导线垂直距离</w:t>
                  </w:r>
                </w:p>
              </w:tc>
              <w:tc>
                <w:tcPr>
                  <w:tcW w:w="1418" w:type="dxa"/>
                  <w:vAlign w:val="center"/>
                </w:tcPr>
                <w:p>
                  <w:pPr>
                    <w:spacing w:line="360" w:lineRule="exact"/>
                    <w:jc w:val="center"/>
                    <w:rPr>
                      <w:rFonts w:eastAsia="宋体"/>
                      <w:sz w:val="21"/>
                      <w:szCs w:val="21"/>
                    </w:rPr>
                  </w:pPr>
                  <w:r>
                    <w:rPr>
                      <w:rFonts w:hint="eastAsia" w:eastAsia="宋体"/>
                      <w:sz w:val="21"/>
                      <w:szCs w:val="21"/>
                    </w:rPr>
                    <w:t>预测值（kV/m</w:t>
                  </w:r>
                  <w:r>
                    <w:rPr>
                      <w:rFonts w:eastAsia="宋体"/>
                      <w:sz w:val="21"/>
                      <w:szCs w:val="21"/>
                    </w:rPr>
                    <w:t>）</w:t>
                  </w:r>
                </w:p>
              </w:tc>
              <w:tc>
                <w:tcPr>
                  <w:tcW w:w="1218" w:type="dxa"/>
                  <w:vAlign w:val="center"/>
                </w:tcPr>
                <w:p>
                  <w:pPr>
                    <w:spacing w:line="360" w:lineRule="exact"/>
                    <w:jc w:val="center"/>
                    <w:rPr>
                      <w:rFonts w:eastAsia="宋体"/>
                      <w:sz w:val="21"/>
                      <w:szCs w:val="21"/>
                    </w:rPr>
                  </w:pPr>
                  <w:r>
                    <w:rPr>
                      <w:rFonts w:hint="eastAsia" w:eastAsia="宋体"/>
                      <w:sz w:val="21"/>
                      <w:szCs w:val="21"/>
                    </w:rPr>
                    <w:t>预测值（</w:t>
                  </w:r>
                  <w:r>
                    <w:rPr>
                      <w:rFonts w:eastAsia="宋体"/>
                      <w:snapToGrid w:val="0"/>
                      <w:kern w:val="16"/>
                      <w:sz w:val="21"/>
                      <w:szCs w:val="21"/>
                    </w:rPr>
                    <w:t>μT</w:t>
                  </w:r>
                  <w:r>
                    <w:rPr>
                      <w:rFonts w:eastAsia="宋体"/>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1</w:t>
                  </w:r>
                </w:p>
              </w:tc>
              <w:tc>
                <w:tcPr>
                  <w:tcW w:w="1795" w:type="dxa"/>
                  <w:vAlign w:val="center"/>
                </w:tcPr>
                <w:p>
                  <w:pPr>
                    <w:widowControl/>
                    <w:spacing w:line="360" w:lineRule="exact"/>
                    <w:jc w:val="center"/>
                    <w:rPr>
                      <w:rFonts w:eastAsia="宋体"/>
                      <w:color w:val="000000" w:themeColor="text1"/>
                      <w:kern w:val="0"/>
                      <w:sz w:val="21"/>
                      <w:szCs w:val="21"/>
                    </w:rPr>
                  </w:pPr>
                  <w:r>
                    <w:rPr>
                      <w:rFonts w:eastAsia="宋体"/>
                      <w:color w:val="000000" w:themeColor="text1"/>
                      <w:kern w:val="0"/>
                      <w:sz w:val="21"/>
                      <w:szCs w:val="21"/>
                    </w:rPr>
                    <w:t>杨桥村常海超家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线北侧</w:t>
                  </w:r>
                  <w:r>
                    <w:rPr>
                      <w:rFonts w:ascii="Times New Roman" w:hAnsi="Times New Roman" w:eastAsia="宋体"/>
                      <w:sz w:val="21"/>
                      <w:szCs w:val="21"/>
                    </w:rPr>
                    <w:t>2</w:t>
                  </w:r>
                  <w:r>
                    <w:rPr>
                      <w:rFonts w:hint="eastAsia" w:ascii="Times New Roman" w:hAnsi="Times New Roman" w:eastAsia="宋体"/>
                      <w:sz w:val="21"/>
                      <w:szCs w:val="21"/>
                    </w:rPr>
                    <w:t>3</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31</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0.11</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5.09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2</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张垌村王娟家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南</w:t>
                  </w:r>
                  <w:r>
                    <w:rPr>
                      <w:rFonts w:ascii="Times New Roman" w:hAnsi="宋体" w:eastAsia="宋体"/>
                      <w:sz w:val="21"/>
                      <w:szCs w:val="21"/>
                    </w:rPr>
                    <w:t>侧</w:t>
                  </w:r>
                  <w:r>
                    <w:rPr>
                      <w:rFonts w:hint="eastAsia" w:ascii="Times New Roman" w:hAnsi="Times New Roman" w:eastAsia="宋体"/>
                      <w:sz w:val="21"/>
                      <w:szCs w:val="21"/>
                    </w:rPr>
                    <w:t>12</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32</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0.12</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5.86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3</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张垌村范国明家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东北侧30m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30</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0.09</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4.60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4</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黑龙沟于发海家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21</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0.20</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5</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黑龙沟于保成家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21</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0.20</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7.06</w:t>
                  </w:r>
                </w:p>
              </w:tc>
            </w:tr>
          </w:tbl>
          <w:p>
            <w:pPr>
              <w:adjustRightInd w:val="0"/>
              <w:snapToGrid w:val="0"/>
              <w:spacing w:line="520" w:lineRule="exact"/>
              <w:ind w:firstLine="480" w:firstLineChars="200"/>
              <w:rPr>
                <w:rFonts w:eastAsia="宋体"/>
                <w:snapToGrid w:val="0"/>
                <w:kern w:val="16"/>
                <w:sz w:val="24"/>
              </w:rPr>
            </w:pPr>
            <w:r>
              <w:rPr>
                <w:rFonts w:hint="eastAsia" w:hAnsi="宋体" w:eastAsia="宋体"/>
                <w:kern w:val="0"/>
                <w:sz w:val="24"/>
              </w:rPr>
              <w:t>由预测结果显示，</w:t>
            </w:r>
            <w:r>
              <w:rPr>
                <w:rFonts w:eastAsia="宋体"/>
                <w:snapToGrid w:val="0"/>
                <w:kern w:val="16"/>
                <w:sz w:val="24"/>
              </w:rPr>
              <w:t>本项目环境保护目标</w:t>
            </w:r>
            <w:r>
              <w:rPr>
                <w:rFonts w:eastAsia="宋体"/>
                <w:sz w:val="24"/>
              </w:rPr>
              <w:t>处的预测值</w:t>
            </w:r>
            <w:r>
              <w:rPr>
                <w:rFonts w:hint="eastAsia" w:eastAsia="宋体"/>
                <w:sz w:val="24"/>
              </w:rPr>
              <w:t>最大</w:t>
            </w:r>
            <w:r>
              <w:rPr>
                <w:rFonts w:eastAsia="宋体"/>
                <w:sz w:val="24"/>
              </w:rPr>
              <w:t>为</w:t>
            </w:r>
            <w:r>
              <w:rPr>
                <w:rFonts w:hint="eastAsia" w:eastAsia="宋体"/>
                <w:color w:val="000000" w:themeColor="text1"/>
                <w:spacing w:val="-2"/>
                <w:kern w:val="16"/>
                <w:sz w:val="24"/>
              </w:rPr>
              <w:t>0.20</w:t>
            </w:r>
            <w:r>
              <w:rPr>
                <w:rFonts w:hint="eastAsia" w:eastAsia="宋体"/>
                <w:sz w:val="24"/>
              </w:rPr>
              <w:t xml:space="preserve"> kV/m和 7.06</w:t>
            </w:r>
            <w:r>
              <w:rPr>
                <w:rFonts w:eastAsia="宋体"/>
                <w:snapToGrid w:val="0"/>
                <w:kern w:val="16"/>
                <w:sz w:val="24"/>
              </w:rPr>
              <w:t>μT，低于</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eastAsia="宋体"/>
                <w:snapToGrid w:val="0"/>
                <w:kern w:val="16"/>
                <w:sz w:val="24"/>
              </w:rPr>
              <w:t>的标准要求</w:t>
            </w:r>
            <w:r>
              <w:rPr>
                <w:rFonts w:hint="eastAsia" w:eastAsia="宋体"/>
                <w:snapToGrid w:val="0"/>
                <w:kern w:val="16"/>
                <w:sz w:val="24"/>
              </w:rPr>
              <w:t>。因此预测</w:t>
            </w:r>
            <w:r>
              <w:rPr>
                <w:rFonts w:eastAsia="宋体"/>
                <w:snapToGrid w:val="0"/>
                <w:kern w:val="16"/>
                <w:sz w:val="24"/>
              </w:rPr>
              <w:t>本项目运行后敏感点</w:t>
            </w:r>
            <w:r>
              <w:rPr>
                <w:rFonts w:hint="eastAsia" w:eastAsia="宋体"/>
                <w:snapToGrid w:val="0"/>
                <w:kern w:val="16"/>
                <w:sz w:val="24"/>
              </w:rPr>
              <w:t>处</w:t>
            </w:r>
            <w:r>
              <w:rPr>
                <w:rFonts w:eastAsia="宋体"/>
                <w:snapToGrid w:val="0"/>
                <w:kern w:val="16"/>
                <w:sz w:val="24"/>
              </w:rPr>
              <w:t>的</w:t>
            </w:r>
            <w:r>
              <w:rPr>
                <w:rFonts w:hint="eastAsia" w:eastAsia="宋体"/>
                <w:snapToGrid w:val="0"/>
                <w:kern w:val="16"/>
                <w:sz w:val="24"/>
              </w:rPr>
              <w:t>工频磁感应</w:t>
            </w:r>
            <w:r>
              <w:rPr>
                <w:rFonts w:eastAsia="宋体"/>
                <w:snapToGrid w:val="0"/>
                <w:kern w:val="16"/>
                <w:sz w:val="24"/>
              </w:rPr>
              <w:t>强度能够满足标准要求。</w:t>
            </w:r>
          </w:p>
          <w:p>
            <w:pPr>
              <w:adjustRightInd w:val="0"/>
              <w:snapToGrid w:val="0"/>
              <w:spacing w:line="520" w:lineRule="exact"/>
              <w:ind w:firstLine="480" w:firstLineChars="200"/>
              <w:rPr>
                <w:rFonts w:eastAsia="宋体"/>
                <w:snapToGrid w:val="0"/>
                <w:kern w:val="16"/>
                <w:sz w:val="24"/>
              </w:rPr>
            </w:pPr>
            <w:r>
              <w:rPr>
                <w:rFonts w:hint="eastAsia" w:eastAsia="宋体"/>
                <w:snapToGrid w:val="0"/>
                <w:kern w:val="16"/>
                <w:sz w:val="24"/>
              </w:rPr>
              <w:t>由于本项目敏感目标的房屋均为一层平顶结构，房屋顶层可能存在人为活动，根据现场调查，房屋层高为4.5m。因此现对敏感目标的房屋屋顶处4.5m处进行电磁辐射预测，预测值见下表。</w:t>
            </w:r>
          </w:p>
          <w:p>
            <w:pPr>
              <w:adjustRightInd w:val="0"/>
              <w:snapToGrid w:val="0"/>
              <w:spacing w:line="520" w:lineRule="exact"/>
              <w:ind w:firstLine="480" w:firstLineChars="200"/>
              <w:rPr>
                <w:rFonts w:hAnsi="黑体" w:eastAsia="黑体"/>
                <w:snapToGrid w:val="0"/>
                <w:kern w:val="16"/>
                <w:sz w:val="24"/>
                <w:szCs w:val="20"/>
              </w:rPr>
            </w:pPr>
            <w:r>
              <w:rPr>
                <w:rFonts w:hAnsi="黑体" w:eastAsia="黑体"/>
                <w:snapToGrid w:val="0"/>
                <w:kern w:val="16"/>
                <w:sz w:val="24"/>
                <w:szCs w:val="20"/>
              </w:rPr>
              <w:t>表</w:t>
            </w:r>
            <w:r>
              <w:rPr>
                <w:rFonts w:hint="eastAsia" w:eastAsia="黑体"/>
                <w:snapToGrid w:val="0"/>
                <w:kern w:val="16"/>
                <w:sz w:val="24"/>
                <w:szCs w:val="20"/>
              </w:rPr>
              <w:t>7-2</w:t>
            </w:r>
            <w:r>
              <w:rPr>
                <w:rFonts w:eastAsia="黑体"/>
                <w:snapToGrid w:val="0"/>
                <w:kern w:val="16"/>
                <w:sz w:val="24"/>
                <w:szCs w:val="20"/>
              </w:rPr>
              <w:t xml:space="preserve">             </w:t>
            </w:r>
            <w:r>
              <w:rPr>
                <w:rFonts w:hAnsi="黑体" w:eastAsia="黑体"/>
                <w:snapToGrid w:val="0"/>
                <w:kern w:val="16"/>
                <w:sz w:val="24"/>
                <w:szCs w:val="20"/>
              </w:rPr>
              <w:t>环境保护目标处工频电场预测值</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5"/>
              <w:gridCol w:w="1795"/>
              <w:gridCol w:w="1701"/>
              <w:gridCol w:w="1559"/>
              <w:gridCol w:w="1418"/>
              <w:gridCol w:w="12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序号</w:t>
                  </w:r>
                </w:p>
              </w:tc>
              <w:tc>
                <w:tcPr>
                  <w:tcW w:w="1795" w:type="dxa"/>
                  <w:vAlign w:val="center"/>
                </w:tcPr>
                <w:p>
                  <w:pPr>
                    <w:spacing w:line="360" w:lineRule="exact"/>
                    <w:jc w:val="center"/>
                    <w:rPr>
                      <w:rFonts w:eastAsia="宋体"/>
                      <w:sz w:val="21"/>
                      <w:szCs w:val="21"/>
                    </w:rPr>
                  </w:pPr>
                  <w:r>
                    <w:rPr>
                      <w:rFonts w:eastAsia="宋体"/>
                      <w:sz w:val="21"/>
                      <w:szCs w:val="21"/>
                    </w:rPr>
                    <w:t>敏感点名称</w:t>
                  </w:r>
                </w:p>
              </w:tc>
              <w:tc>
                <w:tcPr>
                  <w:tcW w:w="1701" w:type="dxa"/>
                  <w:vAlign w:val="center"/>
                </w:tcPr>
                <w:p>
                  <w:pPr>
                    <w:spacing w:line="360" w:lineRule="exact"/>
                    <w:jc w:val="center"/>
                    <w:rPr>
                      <w:rFonts w:eastAsia="宋体"/>
                      <w:sz w:val="21"/>
                      <w:szCs w:val="21"/>
                    </w:rPr>
                  </w:pPr>
                  <w:r>
                    <w:rPr>
                      <w:rFonts w:eastAsia="宋体"/>
                      <w:sz w:val="21"/>
                      <w:szCs w:val="21"/>
                    </w:rPr>
                    <w:t>现状方位及距离</w:t>
                  </w:r>
                </w:p>
              </w:tc>
              <w:tc>
                <w:tcPr>
                  <w:tcW w:w="1559" w:type="dxa"/>
                  <w:vAlign w:val="center"/>
                </w:tcPr>
                <w:p>
                  <w:pPr>
                    <w:spacing w:line="360" w:lineRule="exact"/>
                    <w:jc w:val="center"/>
                    <w:rPr>
                      <w:rFonts w:eastAsia="宋体"/>
                      <w:sz w:val="21"/>
                      <w:szCs w:val="21"/>
                    </w:rPr>
                  </w:pPr>
                  <w:r>
                    <w:rPr>
                      <w:rFonts w:hint="eastAsia" w:eastAsia="宋体"/>
                      <w:sz w:val="21"/>
                      <w:szCs w:val="21"/>
                    </w:rPr>
                    <w:t>导线垂直距离</w:t>
                  </w:r>
                </w:p>
              </w:tc>
              <w:tc>
                <w:tcPr>
                  <w:tcW w:w="1418" w:type="dxa"/>
                  <w:vAlign w:val="center"/>
                </w:tcPr>
                <w:p>
                  <w:pPr>
                    <w:spacing w:line="360" w:lineRule="exact"/>
                    <w:jc w:val="center"/>
                    <w:rPr>
                      <w:rFonts w:eastAsia="宋体"/>
                      <w:sz w:val="21"/>
                      <w:szCs w:val="21"/>
                    </w:rPr>
                  </w:pPr>
                  <w:r>
                    <w:rPr>
                      <w:rFonts w:hint="eastAsia" w:eastAsia="宋体"/>
                      <w:sz w:val="21"/>
                      <w:szCs w:val="21"/>
                    </w:rPr>
                    <w:t>预测值（kV/m</w:t>
                  </w:r>
                  <w:r>
                    <w:rPr>
                      <w:rFonts w:eastAsia="宋体"/>
                      <w:sz w:val="21"/>
                      <w:szCs w:val="21"/>
                    </w:rPr>
                    <w:t>）</w:t>
                  </w:r>
                </w:p>
              </w:tc>
              <w:tc>
                <w:tcPr>
                  <w:tcW w:w="1218" w:type="dxa"/>
                  <w:vAlign w:val="center"/>
                </w:tcPr>
                <w:p>
                  <w:pPr>
                    <w:spacing w:line="360" w:lineRule="exact"/>
                    <w:jc w:val="center"/>
                    <w:rPr>
                      <w:rFonts w:eastAsia="宋体"/>
                      <w:sz w:val="21"/>
                      <w:szCs w:val="21"/>
                    </w:rPr>
                  </w:pPr>
                  <w:r>
                    <w:rPr>
                      <w:rFonts w:hint="eastAsia" w:eastAsia="宋体"/>
                      <w:sz w:val="21"/>
                      <w:szCs w:val="21"/>
                    </w:rPr>
                    <w:t>预测值（</w:t>
                  </w:r>
                  <w:r>
                    <w:rPr>
                      <w:rFonts w:eastAsia="宋体"/>
                      <w:snapToGrid w:val="0"/>
                      <w:kern w:val="16"/>
                      <w:sz w:val="24"/>
                    </w:rPr>
                    <w:t>μT</w:t>
                  </w:r>
                  <w:r>
                    <w:rPr>
                      <w:rFonts w:eastAsia="宋体"/>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1</w:t>
                  </w:r>
                </w:p>
              </w:tc>
              <w:tc>
                <w:tcPr>
                  <w:tcW w:w="1795" w:type="dxa"/>
                  <w:vAlign w:val="center"/>
                </w:tcPr>
                <w:p>
                  <w:pPr>
                    <w:widowControl/>
                    <w:spacing w:line="360" w:lineRule="exact"/>
                    <w:jc w:val="center"/>
                    <w:rPr>
                      <w:rFonts w:eastAsia="宋体"/>
                      <w:color w:val="000000" w:themeColor="text1"/>
                      <w:kern w:val="0"/>
                      <w:sz w:val="21"/>
                      <w:szCs w:val="21"/>
                    </w:rPr>
                  </w:pPr>
                  <w:r>
                    <w:rPr>
                      <w:rFonts w:eastAsia="宋体"/>
                      <w:color w:val="000000" w:themeColor="text1"/>
                      <w:kern w:val="0"/>
                      <w:sz w:val="21"/>
                      <w:szCs w:val="21"/>
                    </w:rPr>
                    <w:t>杨桥村常海超家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线北侧</w:t>
                  </w:r>
                  <w:r>
                    <w:rPr>
                      <w:rFonts w:ascii="Times New Roman" w:hAnsi="Times New Roman" w:eastAsia="宋体"/>
                      <w:sz w:val="21"/>
                      <w:szCs w:val="21"/>
                    </w:rPr>
                    <w:t>2</w:t>
                  </w:r>
                  <w:r>
                    <w:rPr>
                      <w:rFonts w:hint="eastAsia" w:ascii="Times New Roman" w:hAnsi="Times New Roman" w:eastAsia="宋体"/>
                      <w:sz w:val="21"/>
                      <w:szCs w:val="21"/>
                    </w:rPr>
                    <w:t>3</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26.5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0.12</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5.53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2</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张垌村王娟家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南</w:t>
                  </w:r>
                  <w:r>
                    <w:rPr>
                      <w:rFonts w:ascii="Times New Roman" w:hAnsi="宋体" w:eastAsia="宋体"/>
                      <w:sz w:val="21"/>
                      <w:szCs w:val="21"/>
                    </w:rPr>
                    <w:t>侧</w:t>
                  </w:r>
                  <w:r>
                    <w:rPr>
                      <w:rFonts w:hint="eastAsia" w:ascii="Times New Roman" w:hAnsi="Times New Roman" w:eastAsia="宋体"/>
                      <w:sz w:val="21"/>
                      <w:szCs w:val="21"/>
                    </w:rPr>
                    <w:t>12</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27.5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0.16</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6.59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3</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张垌村范国明家</w:t>
                  </w:r>
                </w:p>
              </w:tc>
              <w:tc>
                <w:tcPr>
                  <w:tcW w:w="1701" w:type="dxa"/>
                  <w:vAlign w:val="center"/>
                </w:tcPr>
                <w:p>
                  <w:pPr>
                    <w:pStyle w:val="4"/>
                    <w:spacing w:line="360" w:lineRule="exact"/>
                    <w:jc w:val="center"/>
                    <w:rPr>
                      <w:rFonts w:ascii="Times New Roman" w:hAnsi="Times New Roman" w:eastAsia="宋体"/>
                      <w:color w:val="000000" w:themeColor="text1"/>
                      <w:sz w:val="21"/>
                      <w:szCs w:val="21"/>
                    </w:rPr>
                  </w:pPr>
                  <w:r>
                    <w:rPr>
                      <w:rFonts w:ascii="Times New Roman" w:hAnsi="宋体" w:eastAsia="宋体"/>
                      <w:color w:val="000000" w:themeColor="text1"/>
                      <w:sz w:val="21"/>
                      <w:szCs w:val="21"/>
                    </w:rPr>
                    <w:t>线</w:t>
                  </w:r>
                  <w:r>
                    <w:rPr>
                      <w:rFonts w:hint="eastAsia" w:ascii="Times New Roman" w:hAnsi="宋体" w:eastAsia="宋体"/>
                      <w:color w:val="000000" w:themeColor="text1"/>
                      <w:sz w:val="21"/>
                      <w:szCs w:val="21"/>
                    </w:rPr>
                    <w:t>东北侧30m</w:t>
                  </w:r>
                </w:p>
              </w:tc>
              <w:tc>
                <w:tcPr>
                  <w:tcW w:w="1559" w:type="dxa"/>
                  <w:vAlign w:val="center"/>
                </w:tcPr>
                <w:p>
                  <w:pPr>
                    <w:spacing w:line="360" w:lineRule="exact"/>
                    <w:jc w:val="center"/>
                    <w:rPr>
                      <w:rFonts w:hAnsi="宋体" w:eastAsia="宋体"/>
                      <w:color w:val="000000" w:themeColor="text1"/>
                      <w:kern w:val="0"/>
                      <w:sz w:val="21"/>
                      <w:szCs w:val="21"/>
                    </w:rPr>
                  </w:pPr>
                  <w:r>
                    <w:rPr>
                      <w:rFonts w:hint="eastAsia" w:hAnsi="宋体" w:eastAsia="宋体"/>
                      <w:color w:val="000000" w:themeColor="text1"/>
                      <w:kern w:val="0"/>
                      <w:sz w:val="21"/>
                      <w:szCs w:val="21"/>
                    </w:rPr>
                    <w:t>25.5</w:t>
                  </w:r>
                </w:p>
              </w:tc>
              <w:tc>
                <w:tcPr>
                  <w:tcW w:w="1418" w:type="dxa"/>
                  <w:vAlign w:val="center"/>
                </w:tcPr>
                <w:p>
                  <w:pPr>
                    <w:spacing w:line="360" w:lineRule="exact"/>
                    <w:jc w:val="center"/>
                    <w:rPr>
                      <w:rFonts w:hAnsi="宋体" w:eastAsia="宋体"/>
                      <w:color w:val="000000" w:themeColor="text1"/>
                      <w:kern w:val="0"/>
                      <w:sz w:val="21"/>
                      <w:szCs w:val="21"/>
                    </w:rPr>
                  </w:pPr>
                  <w:r>
                    <w:rPr>
                      <w:rFonts w:hint="eastAsia" w:hAnsi="宋体" w:eastAsia="宋体"/>
                      <w:color w:val="000000" w:themeColor="text1"/>
                      <w:kern w:val="0"/>
                      <w:sz w:val="21"/>
                      <w:szCs w:val="21"/>
                    </w:rPr>
                    <w:t>0.09</w:t>
                  </w:r>
                </w:p>
              </w:tc>
              <w:tc>
                <w:tcPr>
                  <w:tcW w:w="1218" w:type="dxa"/>
                  <w:vAlign w:val="center"/>
                </w:tcPr>
                <w:p>
                  <w:pPr>
                    <w:spacing w:line="360" w:lineRule="exact"/>
                    <w:jc w:val="center"/>
                    <w:rPr>
                      <w:rFonts w:hAnsi="宋体" w:eastAsia="宋体"/>
                      <w:color w:val="000000" w:themeColor="text1"/>
                      <w:kern w:val="0"/>
                      <w:sz w:val="21"/>
                      <w:szCs w:val="21"/>
                    </w:rPr>
                  </w:pPr>
                  <w:r>
                    <w:rPr>
                      <w:rFonts w:hint="eastAsia" w:hAnsi="宋体" w:eastAsia="宋体"/>
                      <w:color w:val="000000" w:themeColor="text1"/>
                      <w:kern w:val="0"/>
                      <w:sz w:val="21"/>
                      <w:szCs w:val="21"/>
                    </w:rPr>
                    <w:t>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4</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黑龙沟于发海家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16.5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0.23</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5</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黑龙沟于保成家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16.5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0.23</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7.87</w:t>
                  </w:r>
                </w:p>
              </w:tc>
            </w:tr>
          </w:tbl>
          <w:p>
            <w:pPr>
              <w:adjustRightInd w:val="0"/>
              <w:snapToGrid w:val="0"/>
              <w:spacing w:line="520" w:lineRule="exact"/>
              <w:ind w:firstLine="480" w:firstLineChars="200"/>
              <w:rPr>
                <w:rFonts w:eastAsia="宋体"/>
                <w:snapToGrid w:val="0"/>
                <w:kern w:val="16"/>
                <w:sz w:val="24"/>
              </w:rPr>
            </w:pPr>
            <w:r>
              <w:rPr>
                <w:rFonts w:hint="eastAsia" w:hAnsi="宋体" w:eastAsia="宋体"/>
                <w:kern w:val="0"/>
                <w:sz w:val="24"/>
              </w:rPr>
              <w:t>由预测结果显示，</w:t>
            </w:r>
            <w:r>
              <w:rPr>
                <w:rFonts w:eastAsia="宋体"/>
                <w:snapToGrid w:val="0"/>
                <w:kern w:val="16"/>
                <w:sz w:val="24"/>
              </w:rPr>
              <w:t>本项目环境保护目标</w:t>
            </w:r>
            <w:r>
              <w:rPr>
                <w:rFonts w:eastAsia="宋体"/>
                <w:sz w:val="24"/>
              </w:rPr>
              <w:t>处的预测值</w:t>
            </w:r>
            <w:r>
              <w:rPr>
                <w:rFonts w:hint="eastAsia" w:eastAsia="宋体"/>
                <w:sz w:val="24"/>
              </w:rPr>
              <w:t>最大</w:t>
            </w:r>
            <w:r>
              <w:rPr>
                <w:rFonts w:eastAsia="宋体"/>
                <w:sz w:val="24"/>
              </w:rPr>
              <w:t>为</w:t>
            </w:r>
            <w:r>
              <w:rPr>
                <w:rFonts w:hint="eastAsia" w:eastAsia="宋体"/>
                <w:color w:val="000000" w:themeColor="text1"/>
                <w:spacing w:val="-2"/>
                <w:kern w:val="16"/>
                <w:sz w:val="24"/>
              </w:rPr>
              <w:t>0.23</w:t>
            </w:r>
            <w:r>
              <w:rPr>
                <w:rFonts w:hint="eastAsia" w:eastAsia="宋体"/>
                <w:sz w:val="24"/>
              </w:rPr>
              <w:t xml:space="preserve"> kV/m和 7.87</w:t>
            </w:r>
            <w:r>
              <w:rPr>
                <w:rFonts w:eastAsia="宋体"/>
                <w:snapToGrid w:val="0"/>
                <w:kern w:val="16"/>
                <w:sz w:val="24"/>
              </w:rPr>
              <w:t>μT，低于</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eastAsia="宋体"/>
                <w:snapToGrid w:val="0"/>
                <w:kern w:val="16"/>
                <w:sz w:val="24"/>
              </w:rPr>
              <w:t>的标准要求</w:t>
            </w:r>
            <w:r>
              <w:rPr>
                <w:rFonts w:hint="eastAsia" w:eastAsia="宋体"/>
                <w:snapToGrid w:val="0"/>
                <w:kern w:val="16"/>
                <w:sz w:val="24"/>
              </w:rPr>
              <w:t>。因此预测</w:t>
            </w:r>
            <w:r>
              <w:rPr>
                <w:rFonts w:eastAsia="宋体"/>
                <w:snapToGrid w:val="0"/>
                <w:kern w:val="16"/>
                <w:sz w:val="24"/>
              </w:rPr>
              <w:t>本项目运行后敏感点</w:t>
            </w:r>
            <w:r>
              <w:rPr>
                <w:rFonts w:hint="eastAsia" w:eastAsia="宋体"/>
                <w:snapToGrid w:val="0"/>
                <w:kern w:val="16"/>
                <w:sz w:val="24"/>
              </w:rPr>
              <w:t>处</w:t>
            </w:r>
            <w:r>
              <w:rPr>
                <w:rFonts w:eastAsia="宋体"/>
                <w:snapToGrid w:val="0"/>
                <w:kern w:val="16"/>
                <w:sz w:val="24"/>
              </w:rPr>
              <w:t>的</w:t>
            </w:r>
            <w:r>
              <w:rPr>
                <w:rFonts w:hint="eastAsia" w:eastAsia="宋体"/>
                <w:snapToGrid w:val="0"/>
                <w:kern w:val="16"/>
                <w:sz w:val="24"/>
              </w:rPr>
              <w:t>工频磁感应</w:t>
            </w:r>
            <w:r>
              <w:rPr>
                <w:rFonts w:eastAsia="宋体"/>
                <w:snapToGrid w:val="0"/>
                <w:kern w:val="16"/>
                <w:sz w:val="24"/>
              </w:rPr>
              <w:t>强度能够满足标准要求。</w:t>
            </w:r>
          </w:p>
          <w:p>
            <w:pPr>
              <w:adjustRightInd w:val="0"/>
              <w:snapToGrid w:val="0"/>
              <w:spacing w:line="520" w:lineRule="exact"/>
              <w:rPr>
                <w:rFonts w:eastAsia="宋体"/>
                <w:b/>
                <w:bCs/>
                <w:sz w:val="24"/>
              </w:rPr>
            </w:pPr>
            <w:r>
              <w:rPr>
                <w:rFonts w:eastAsia="宋体"/>
                <w:b/>
                <w:bCs/>
                <w:sz w:val="24"/>
              </w:rPr>
              <w:t>7.1.2声环境影响分析</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（1）升压站站址</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由表4-</w:t>
            </w:r>
            <w:r>
              <w:rPr>
                <w:rFonts w:hint="eastAsia" w:eastAsia="宋体"/>
                <w:color w:val="000000" w:themeColor="text1"/>
                <w:spacing w:val="-2"/>
                <w:kern w:val="16"/>
                <w:sz w:val="24"/>
              </w:rPr>
              <w:t>7</w:t>
            </w:r>
            <w:r>
              <w:rPr>
                <w:rFonts w:eastAsia="宋体"/>
                <w:color w:val="000000" w:themeColor="text1"/>
                <w:spacing w:val="-2"/>
                <w:kern w:val="16"/>
                <w:sz w:val="24"/>
              </w:rPr>
              <w:t>可知，110kV升压站站址四周噪声现状昼间值在40.3~49.5dB（A）之间，夜间值在40.9~44.9dB（A）之间，满足《工业企业厂界环境噪声排放标准》（GB 12348-2008）1类区标准要求。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（2）敏感点</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由表4-</w:t>
            </w:r>
            <w:r>
              <w:rPr>
                <w:rFonts w:hint="eastAsia" w:eastAsia="宋体"/>
                <w:color w:val="000000" w:themeColor="text1"/>
                <w:spacing w:val="-2"/>
                <w:kern w:val="16"/>
                <w:sz w:val="24"/>
              </w:rPr>
              <w:t>7</w:t>
            </w:r>
            <w:r>
              <w:rPr>
                <w:rFonts w:eastAsia="宋体"/>
                <w:color w:val="000000" w:themeColor="text1"/>
                <w:spacing w:val="-2"/>
                <w:kern w:val="16"/>
                <w:sz w:val="24"/>
              </w:rPr>
              <w:t>可知，敏感点噪声昼间值在</w:t>
            </w:r>
            <w:r>
              <w:rPr>
                <w:rFonts w:hint="eastAsia" w:eastAsia="宋体"/>
                <w:color w:val="000000" w:themeColor="text1"/>
                <w:spacing w:val="-2"/>
                <w:kern w:val="16"/>
                <w:sz w:val="24"/>
              </w:rPr>
              <w:t>37.4</w:t>
            </w:r>
            <w:r>
              <w:rPr>
                <w:rFonts w:eastAsia="宋体"/>
                <w:color w:val="000000" w:themeColor="text1"/>
                <w:spacing w:val="-2"/>
                <w:kern w:val="16"/>
                <w:sz w:val="24"/>
              </w:rPr>
              <w:t>~</w:t>
            </w:r>
            <w:r>
              <w:rPr>
                <w:rFonts w:hint="eastAsia" w:eastAsia="宋体"/>
                <w:color w:val="000000" w:themeColor="text1"/>
                <w:spacing w:val="-2"/>
                <w:kern w:val="16"/>
                <w:sz w:val="24"/>
              </w:rPr>
              <w:t>50.0</w:t>
            </w:r>
            <w:r>
              <w:rPr>
                <w:rFonts w:eastAsia="宋体"/>
                <w:color w:val="000000" w:themeColor="text1"/>
                <w:spacing w:val="-2"/>
                <w:kern w:val="16"/>
                <w:sz w:val="24"/>
              </w:rPr>
              <w:t>dB（A）之间，夜间噪声值在</w:t>
            </w:r>
            <w:r>
              <w:rPr>
                <w:rFonts w:hint="eastAsia" w:eastAsia="宋体"/>
                <w:color w:val="000000" w:themeColor="text1"/>
                <w:spacing w:val="-2"/>
                <w:kern w:val="16"/>
                <w:sz w:val="24"/>
              </w:rPr>
              <w:t>36.5</w:t>
            </w:r>
            <w:r>
              <w:rPr>
                <w:rFonts w:eastAsia="宋体"/>
                <w:color w:val="000000" w:themeColor="text1"/>
                <w:spacing w:val="-2"/>
                <w:kern w:val="16"/>
                <w:sz w:val="24"/>
              </w:rPr>
              <w:t>~4</w:t>
            </w:r>
            <w:r>
              <w:rPr>
                <w:rFonts w:hint="eastAsia" w:eastAsia="宋体"/>
                <w:color w:val="000000" w:themeColor="text1"/>
                <w:spacing w:val="-2"/>
                <w:kern w:val="16"/>
                <w:sz w:val="24"/>
              </w:rPr>
              <w:t>1.7</w:t>
            </w:r>
            <w:r>
              <w:rPr>
                <w:rFonts w:eastAsia="宋体"/>
                <w:color w:val="000000" w:themeColor="text1"/>
                <w:spacing w:val="-2"/>
                <w:kern w:val="16"/>
                <w:sz w:val="24"/>
              </w:rPr>
              <w:t>dB（A）之间，满足《声环境质量标准》（GB3096-2008）1类标准。</w:t>
            </w:r>
          </w:p>
          <w:p>
            <w:pPr>
              <w:adjustRightInd w:val="0"/>
              <w:snapToGrid w:val="0"/>
              <w:spacing w:line="520" w:lineRule="exact"/>
              <w:rPr>
                <w:rFonts w:eastAsia="宋体"/>
                <w:b/>
                <w:bCs/>
                <w:sz w:val="24"/>
              </w:rPr>
            </w:pPr>
            <w:r>
              <w:rPr>
                <w:rFonts w:eastAsia="宋体"/>
                <w:b/>
                <w:bCs/>
                <w:sz w:val="24"/>
              </w:rPr>
              <w:t>7.1.3水环境影响分析</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（1）新建</w:t>
            </w:r>
            <w:r>
              <w:rPr>
                <w:rFonts w:hint="eastAsia" w:eastAsia="宋体"/>
                <w:snapToGrid w:val="0"/>
                <w:kern w:val="16"/>
                <w:sz w:val="24"/>
              </w:rPr>
              <w:t>升压站</w:t>
            </w:r>
            <w:r>
              <w:rPr>
                <w:rFonts w:eastAsia="宋体"/>
                <w:snapToGrid w:val="0"/>
                <w:kern w:val="16"/>
                <w:sz w:val="24"/>
              </w:rPr>
              <w:t>工程</w:t>
            </w:r>
          </w:p>
          <w:p>
            <w:pPr>
              <w:spacing w:line="520" w:lineRule="exact"/>
              <w:ind w:firstLine="480" w:firstLineChars="200"/>
              <w:rPr>
                <w:rFonts w:hAnsi="宋体" w:eastAsia="宋体"/>
                <w:snapToGrid w:val="0"/>
                <w:sz w:val="24"/>
              </w:rPr>
            </w:pPr>
            <w:r>
              <w:rPr>
                <w:rFonts w:hAnsi="宋体" w:eastAsia="宋体"/>
                <w:sz w:val="24"/>
              </w:rPr>
              <w:t>营运期废水主要为工作人员生活污水，项目设管理人员及风电场运行维护人员共</w:t>
            </w:r>
            <w:r>
              <w:rPr>
                <w:rFonts w:eastAsia="宋体"/>
                <w:sz w:val="24"/>
              </w:rPr>
              <w:t>14</w:t>
            </w:r>
            <w:r>
              <w:rPr>
                <w:rFonts w:hAnsi="宋体" w:eastAsia="宋体"/>
                <w:sz w:val="24"/>
              </w:rPr>
              <w:t>人，员工均在升压站内食宿，根据实际情况，生活用水量按</w:t>
            </w:r>
            <w:r>
              <w:rPr>
                <w:rFonts w:eastAsia="宋体"/>
                <w:sz w:val="24"/>
              </w:rPr>
              <w:t>100L/</w:t>
            </w:r>
            <w:r>
              <w:rPr>
                <w:rFonts w:hAnsi="宋体" w:eastAsia="宋体"/>
                <w:sz w:val="24"/>
              </w:rPr>
              <w:t>（人</w:t>
            </w:r>
            <w:r>
              <w:rPr>
                <w:rFonts w:eastAsia="宋体"/>
                <w:sz w:val="24"/>
              </w:rPr>
              <w:t>•d</w:t>
            </w:r>
            <w:r>
              <w:rPr>
                <w:rFonts w:hAnsi="宋体" w:eastAsia="宋体"/>
                <w:sz w:val="24"/>
              </w:rPr>
              <w:t>）计，则本项目生活用水量为</w:t>
            </w:r>
            <w:r>
              <w:rPr>
                <w:rFonts w:eastAsia="宋体"/>
                <w:sz w:val="24"/>
              </w:rPr>
              <w:t>1.4m</w:t>
            </w:r>
            <w:r>
              <w:rPr>
                <w:rFonts w:eastAsia="宋体"/>
                <w:sz w:val="24"/>
                <w:vertAlign w:val="superscript"/>
              </w:rPr>
              <w:t>3</w:t>
            </w:r>
            <w:r>
              <w:rPr>
                <w:rFonts w:eastAsia="宋体"/>
                <w:sz w:val="24"/>
              </w:rPr>
              <w:t>/d</w:t>
            </w:r>
            <w:r>
              <w:rPr>
                <w:rFonts w:hAnsi="宋体" w:eastAsia="宋体"/>
                <w:sz w:val="24"/>
              </w:rPr>
              <w:t>（</w:t>
            </w:r>
            <w:r>
              <w:rPr>
                <w:rFonts w:eastAsia="宋体"/>
                <w:sz w:val="24"/>
              </w:rPr>
              <w:t>511m</w:t>
            </w:r>
            <w:r>
              <w:rPr>
                <w:rFonts w:eastAsia="宋体"/>
                <w:sz w:val="24"/>
                <w:vertAlign w:val="superscript"/>
              </w:rPr>
              <w:t>3</w:t>
            </w:r>
            <w:r>
              <w:rPr>
                <w:rFonts w:eastAsia="宋体"/>
                <w:sz w:val="24"/>
              </w:rPr>
              <w:t>/a</w:t>
            </w:r>
            <w:r>
              <w:rPr>
                <w:rFonts w:hAnsi="宋体" w:eastAsia="宋体"/>
                <w:sz w:val="24"/>
              </w:rPr>
              <w:t>），排污系数按</w:t>
            </w:r>
            <w:r>
              <w:rPr>
                <w:rFonts w:eastAsia="宋体"/>
                <w:sz w:val="24"/>
              </w:rPr>
              <w:t>0.8</w:t>
            </w:r>
            <w:r>
              <w:rPr>
                <w:rFonts w:hAnsi="宋体" w:eastAsia="宋体"/>
                <w:sz w:val="24"/>
              </w:rPr>
              <w:t>计，则生活污水产生量为</w:t>
            </w:r>
            <w:r>
              <w:rPr>
                <w:rFonts w:eastAsia="宋体"/>
                <w:sz w:val="24"/>
              </w:rPr>
              <w:t>1.12m</w:t>
            </w:r>
            <w:r>
              <w:rPr>
                <w:rFonts w:eastAsia="宋体"/>
                <w:sz w:val="24"/>
                <w:vertAlign w:val="superscript"/>
              </w:rPr>
              <w:t>3</w:t>
            </w:r>
            <w:r>
              <w:rPr>
                <w:rFonts w:eastAsia="宋体"/>
                <w:sz w:val="24"/>
              </w:rPr>
              <w:t>/d</w:t>
            </w:r>
            <w:r>
              <w:rPr>
                <w:rFonts w:hAnsi="宋体" w:eastAsia="宋体"/>
                <w:sz w:val="24"/>
              </w:rPr>
              <w:t>（</w:t>
            </w:r>
            <w:r>
              <w:rPr>
                <w:rFonts w:eastAsia="宋体"/>
                <w:sz w:val="24"/>
              </w:rPr>
              <w:t>408.8m</w:t>
            </w:r>
            <w:r>
              <w:rPr>
                <w:rFonts w:eastAsia="宋体"/>
                <w:sz w:val="24"/>
                <w:vertAlign w:val="superscript"/>
              </w:rPr>
              <w:t>3</w:t>
            </w:r>
            <w:r>
              <w:rPr>
                <w:rFonts w:eastAsia="宋体"/>
                <w:sz w:val="24"/>
              </w:rPr>
              <w:t>/a</w:t>
            </w:r>
            <w:r>
              <w:rPr>
                <w:rFonts w:hAnsi="宋体" w:eastAsia="宋体"/>
                <w:sz w:val="24"/>
              </w:rPr>
              <w:t>）。</w:t>
            </w:r>
            <w:r>
              <w:rPr>
                <w:rFonts w:hint="eastAsia" w:hAnsi="宋体" w:eastAsia="宋体"/>
                <w:snapToGrid w:val="0"/>
                <w:sz w:val="24"/>
              </w:rPr>
              <w:t>根据类比分析，生活污水中</w:t>
            </w:r>
            <w:r>
              <w:rPr>
                <w:rFonts w:hAnsi="宋体" w:eastAsia="宋体"/>
                <w:snapToGrid w:val="0"/>
                <w:sz w:val="24"/>
              </w:rPr>
              <w:t>主要污染物浓度为COD 380mg/L、SS 280mg/L、NH</w:t>
            </w:r>
            <w:r>
              <w:rPr>
                <w:rFonts w:hAnsi="宋体" w:eastAsia="宋体"/>
                <w:snapToGrid w:val="0"/>
                <w:sz w:val="24"/>
                <w:vertAlign w:val="subscript"/>
              </w:rPr>
              <w:t>3</w:t>
            </w:r>
            <w:r>
              <w:rPr>
                <w:rFonts w:hAnsi="宋体" w:eastAsia="宋体"/>
                <w:snapToGrid w:val="0"/>
                <w:sz w:val="24"/>
              </w:rPr>
              <w:t>-N 30mg/L</w:t>
            </w:r>
            <w:r>
              <w:rPr>
                <w:rFonts w:hint="eastAsia" w:hAnsi="宋体" w:eastAsia="宋体"/>
                <w:snapToGrid w:val="0"/>
                <w:sz w:val="24"/>
              </w:rPr>
              <w:t>。生活污水水质较为简单，属于低浓度有机废水，在升压站内设置</w:t>
            </w:r>
            <w:r>
              <w:rPr>
                <w:rFonts w:eastAsia="宋体"/>
                <w:snapToGrid w:val="0"/>
                <w:sz w:val="24"/>
              </w:rPr>
              <w:t>1</w:t>
            </w:r>
            <w:r>
              <w:rPr>
                <w:rFonts w:hint="eastAsia" w:eastAsia="宋体"/>
                <w:snapToGrid w:val="0"/>
                <w:sz w:val="24"/>
              </w:rPr>
              <w:t>套一体化污水处理设备（处理污水量为0.5m</w:t>
            </w:r>
            <w:r>
              <w:rPr>
                <w:rFonts w:hint="eastAsia" w:eastAsia="宋体"/>
                <w:snapToGrid w:val="0"/>
                <w:sz w:val="24"/>
                <w:vertAlign w:val="superscript"/>
              </w:rPr>
              <w:t>3</w:t>
            </w:r>
            <w:r>
              <w:rPr>
                <w:rFonts w:hint="eastAsia" w:eastAsia="宋体"/>
                <w:snapToGrid w:val="0"/>
                <w:sz w:val="24"/>
              </w:rPr>
              <w:t>/h，污染物去除效率为</w:t>
            </w:r>
            <w:r>
              <w:rPr>
                <w:rFonts w:hAnsi="宋体" w:eastAsia="宋体"/>
                <w:snapToGrid w:val="0"/>
                <w:sz w:val="24"/>
              </w:rPr>
              <w:t xml:space="preserve">COD </w:t>
            </w:r>
            <w:r>
              <w:rPr>
                <w:rFonts w:hint="eastAsia" w:hAnsi="宋体" w:eastAsia="宋体"/>
                <w:snapToGrid w:val="0"/>
                <w:sz w:val="24"/>
              </w:rPr>
              <w:t>80%</w:t>
            </w:r>
            <w:r>
              <w:rPr>
                <w:rFonts w:hAnsi="宋体" w:eastAsia="宋体"/>
                <w:snapToGrid w:val="0"/>
                <w:sz w:val="24"/>
              </w:rPr>
              <w:t>、SS</w:t>
            </w:r>
            <w:r>
              <w:rPr>
                <w:rFonts w:hint="eastAsia" w:hAnsi="宋体" w:eastAsia="宋体"/>
                <w:snapToGrid w:val="0"/>
                <w:sz w:val="24"/>
              </w:rPr>
              <w:t>85%</w:t>
            </w:r>
            <w:r>
              <w:rPr>
                <w:rFonts w:hAnsi="宋体" w:eastAsia="宋体"/>
                <w:snapToGrid w:val="0"/>
                <w:sz w:val="24"/>
              </w:rPr>
              <w:t>、NH</w:t>
            </w:r>
            <w:r>
              <w:rPr>
                <w:rFonts w:hAnsi="宋体" w:eastAsia="宋体"/>
                <w:snapToGrid w:val="0"/>
                <w:sz w:val="24"/>
                <w:vertAlign w:val="subscript"/>
              </w:rPr>
              <w:t>3</w:t>
            </w:r>
            <w:r>
              <w:rPr>
                <w:rFonts w:hAnsi="宋体" w:eastAsia="宋体"/>
                <w:snapToGrid w:val="0"/>
                <w:sz w:val="24"/>
              </w:rPr>
              <w:t>-N</w:t>
            </w:r>
            <w:r>
              <w:rPr>
                <w:rFonts w:hint="eastAsia" w:hAnsi="宋体" w:eastAsia="宋体"/>
                <w:snapToGrid w:val="0"/>
                <w:sz w:val="24"/>
              </w:rPr>
              <w:t>60%</w:t>
            </w:r>
            <w:r>
              <w:rPr>
                <w:rFonts w:hint="eastAsia" w:eastAsia="宋体"/>
                <w:snapToGrid w:val="0"/>
                <w:sz w:val="24"/>
              </w:rPr>
              <w:t>），生活污水经处理后</w:t>
            </w:r>
            <w:r>
              <w:rPr>
                <w:rFonts w:eastAsia="宋体"/>
                <w:snapToGrid w:val="0"/>
                <w:sz w:val="24"/>
              </w:rPr>
              <w:t>，</w:t>
            </w:r>
            <w:r>
              <w:rPr>
                <w:rFonts w:hint="eastAsia" w:eastAsia="宋体"/>
                <w:snapToGrid w:val="0"/>
                <w:sz w:val="24"/>
              </w:rPr>
              <w:t>出水水质</w:t>
            </w:r>
            <w:r>
              <w:rPr>
                <w:rFonts w:hAnsi="宋体" w:eastAsia="宋体"/>
                <w:snapToGrid w:val="0"/>
                <w:sz w:val="24"/>
              </w:rPr>
              <w:t>为COD</w:t>
            </w:r>
            <w:r>
              <w:rPr>
                <w:rFonts w:hint="eastAsia" w:hAnsi="宋体" w:eastAsia="宋体"/>
                <w:snapToGrid w:val="0"/>
                <w:sz w:val="24"/>
              </w:rPr>
              <w:t>76</w:t>
            </w:r>
            <w:r>
              <w:rPr>
                <w:rFonts w:hAnsi="宋体" w:eastAsia="宋体"/>
                <w:snapToGrid w:val="0"/>
                <w:sz w:val="24"/>
              </w:rPr>
              <w:t>mg/L</w:t>
            </w:r>
            <w:r>
              <w:rPr>
                <w:rFonts w:hint="eastAsia" w:hAnsi="宋体" w:eastAsia="宋体"/>
                <w:snapToGrid w:val="0"/>
                <w:sz w:val="24"/>
              </w:rPr>
              <w:t>、</w:t>
            </w:r>
            <w:r>
              <w:rPr>
                <w:rFonts w:hAnsi="宋体" w:eastAsia="宋体"/>
                <w:snapToGrid w:val="0"/>
                <w:sz w:val="24"/>
              </w:rPr>
              <w:t>SS4</w:t>
            </w:r>
            <w:r>
              <w:rPr>
                <w:rFonts w:hint="eastAsia" w:hAnsi="宋体" w:eastAsia="宋体"/>
                <w:snapToGrid w:val="0"/>
                <w:sz w:val="24"/>
              </w:rPr>
              <w:t>2</w:t>
            </w:r>
            <w:r>
              <w:rPr>
                <w:rFonts w:hAnsi="宋体" w:eastAsia="宋体"/>
                <w:snapToGrid w:val="0"/>
                <w:sz w:val="24"/>
              </w:rPr>
              <w:t>mg/L</w:t>
            </w:r>
            <w:r>
              <w:rPr>
                <w:rFonts w:hint="eastAsia" w:hAnsi="宋体" w:eastAsia="宋体"/>
                <w:snapToGrid w:val="0"/>
                <w:sz w:val="24"/>
              </w:rPr>
              <w:t>、</w:t>
            </w:r>
            <w:r>
              <w:rPr>
                <w:rFonts w:hAnsi="宋体" w:eastAsia="宋体"/>
                <w:snapToGrid w:val="0"/>
                <w:sz w:val="24"/>
              </w:rPr>
              <w:t>NH</w:t>
            </w:r>
            <w:r>
              <w:rPr>
                <w:rFonts w:hAnsi="宋体" w:eastAsia="宋体"/>
                <w:snapToGrid w:val="0"/>
                <w:sz w:val="24"/>
                <w:vertAlign w:val="subscript"/>
              </w:rPr>
              <w:t>3</w:t>
            </w:r>
            <w:r>
              <w:rPr>
                <w:rFonts w:hAnsi="宋体" w:eastAsia="宋体"/>
                <w:snapToGrid w:val="0"/>
                <w:sz w:val="24"/>
              </w:rPr>
              <w:t>-N</w:t>
            </w:r>
            <w:r>
              <w:rPr>
                <w:rFonts w:hint="eastAsia" w:hAnsi="宋体" w:eastAsia="宋体"/>
                <w:snapToGrid w:val="0"/>
                <w:sz w:val="24"/>
              </w:rPr>
              <w:t>12</w:t>
            </w:r>
            <w:r>
              <w:rPr>
                <w:rFonts w:hAnsi="宋体" w:eastAsia="宋体"/>
                <w:snapToGrid w:val="0"/>
                <w:sz w:val="24"/>
              </w:rPr>
              <w:t>mg/L</w:t>
            </w:r>
            <w:r>
              <w:rPr>
                <w:rFonts w:hint="eastAsia" w:hAnsi="宋体" w:eastAsia="宋体"/>
                <w:snapToGrid w:val="0"/>
                <w:sz w:val="24"/>
              </w:rPr>
              <w:t>，经</w:t>
            </w:r>
            <w:r>
              <w:rPr>
                <w:rFonts w:hAnsi="宋体" w:eastAsia="宋体"/>
                <w:snapToGrid w:val="0"/>
                <w:sz w:val="24"/>
              </w:rPr>
              <w:t>处理后的水</w:t>
            </w:r>
            <w:r>
              <w:rPr>
                <w:rFonts w:hint="eastAsia" w:hAnsi="宋体" w:eastAsia="宋体"/>
                <w:snapToGrid w:val="0"/>
                <w:sz w:val="24"/>
              </w:rPr>
              <w:t>用作升压站内以及周边的</w:t>
            </w:r>
            <w:r>
              <w:rPr>
                <w:rFonts w:hAnsi="宋体" w:eastAsia="宋体"/>
                <w:snapToGrid w:val="0"/>
                <w:sz w:val="24"/>
              </w:rPr>
              <w:t>绿化用水</w:t>
            </w:r>
            <w:r>
              <w:rPr>
                <w:rFonts w:hint="eastAsia" w:hAnsi="宋体" w:eastAsia="宋体"/>
                <w:snapToGrid w:val="0"/>
                <w:sz w:val="24"/>
              </w:rPr>
              <w:t>，不向地表水体排放，不会对环境造成不利影响。</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（2）新建输电线路工程</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配套线路运行期无废污水产生，不会对附近水环境产生影响。</w:t>
            </w:r>
          </w:p>
          <w:p>
            <w:pPr>
              <w:adjustRightInd w:val="0"/>
              <w:snapToGrid w:val="0"/>
              <w:spacing w:line="520" w:lineRule="exact"/>
              <w:rPr>
                <w:rFonts w:eastAsia="宋体"/>
                <w:b/>
                <w:bCs/>
                <w:sz w:val="24"/>
              </w:rPr>
            </w:pPr>
            <w:r>
              <w:rPr>
                <w:rFonts w:eastAsia="宋体"/>
                <w:b/>
                <w:bCs/>
                <w:sz w:val="24"/>
              </w:rPr>
              <w:t>7.1.4生态环境影响分析</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本工程评价范围内不涉及珍稀野生植物集中分布区域及古树名木，也不涉及国家级、省级保护的珍稀濒危野生动物集中栖息地。</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本工程投运后对周围生态没有影响，道路绿化带、草皮、树木、农作物等生长没有异常，也未发现影响农业作物的生长和产量。因此，可认为本工程运行期不会对周围的生态环境造成不良影响。</w:t>
            </w:r>
          </w:p>
          <w:p>
            <w:pPr>
              <w:adjustRightInd w:val="0"/>
              <w:snapToGrid w:val="0"/>
              <w:spacing w:line="520" w:lineRule="exact"/>
              <w:rPr>
                <w:rFonts w:eastAsia="宋体"/>
                <w:snapToGrid w:val="0"/>
                <w:kern w:val="16"/>
                <w:sz w:val="24"/>
              </w:rPr>
            </w:pPr>
            <w:r>
              <w:rPr>
                <w:rFonts w:eastAsia="宋体"/>
                <w:b/>
                <w:bCs/>
                <w:sz w:val="24"/>
              </w:rPr>
              <w:t>7.1</w:t>
            </w:r>
            <w:r>
              <w:rPr>
                <w:rFonts w:eastAsia="宋体"/>
                <w:b/>
                <w:snapToGrid w:val="0"/>
                <w:kern w:val="16"/>
                <w:sz w:val="24"/>
              </w:rPr>
              <w:t>.5固体废弃物环境影响分析</w:t>
            </w:r>
          </w:p>
          <w:p>
            <w:pPr>
              <w:adjustRightInd w:val="0"/>
              <w:snapToGrid w:val="0"/>
              <w:spacing w:line="520" w:lineRule="exact"/>
              <w:ind w:firstLine="480" w:firstLineChars="200"/>
              <w:rPr>
                <w:rFonts w:eastAsia="宋体"/>
                <w:sz w:val="24"/>
              </w:rPr>
            </w:pPr>
            <w:r>
              <w:rPr>
                <w:rFonts w:hAnsi="宋体" w:eastAsia="宋体"/>
                <w:sz w:val="24"/>
              </w:rPr>
              <w:t>本项目营运期劳动定员</w:t>
            </w:r>
            <w:r>
              <w:rPr>
                <w:rFonts w:eastAsia="宋体"/>
                <w:sz w:val="24"/>
              </w:rPr>
              <w:t>14</w:t>
            </w:r>
            <w:r>
              <w:rPr>
                <w:rFonts w:hAnsi="宋体" w:eastAsia="宋体"/>
                <w:sz w:val="24"/>
              </w:rPr>
              <w:t>人，生活垃圾产生量按</w:t>
            </w:r>
            <w:r>
              <w:rPr>
                <w:rFonts w:eastAsia="宋体"/>
                <w:sz w:val="24"/>
              </w:rPr>
              <w:t>1kg/</w:t>
            </w:r>
            <w:r>
              <w:rPr>
                <w:rFonts w:hAnsi="宋体" w:eastAsia="宋体"/>
                <w:sz w:val="24"/>
              </w:rPr>
              <w:t>（人</w:t>
            </w:r>
            <w:r>
              <w:rPr>
                <w:rFonts w:eastAsia="宋体"/>
                <w:sz w:val="24"/>
              </w:rPr>
              <w:t>•d</w:t>
            </w:r>
            <w:r>
              <w:rPr>
                <w:rFonts w:hAnsi="宋体" w:eastAsia="宋体"/>
                <w:sz w:val="24"/>
              </w:rPr>
              <w:t>）计算，</w:t>
            </w:r>
            <w:r>
              <w:rPr>
                <w:rFonts w:hAnsi="宋体" w:eastAsia="宋体"/>
                <w:snapToGrid w:val="0"/>
                <w:kern w:val="16"/>
                <w:sz w:val="24"/>
              </w:rPr>
              <w:t>年工作</w:t>
            </w:r>
            <w:r>
              <w:rPr>
                <w:rFonts w:eastAsia="宋体"/>
                <w:snapToGrid w:val="0"/>
                <w:kern w:val="16"/>
                <w:sz w:val="24"/>
              </w:rPr>
              <w:t>300</w:t>
            </w:r>
            <w:r>
              <w:rPr>
                <w:rFonts w:hAnsi="宋体" w:eastAsia="宋体"/>
                <w:snapToGrid w:val="0"/>
                <w:kern w:val="16"/>
                <w:sz w:val="24"/>
              </w:rPr>
              <w:t>天</w:t>
            </w:r>
            <w:r>
              <w:rPr>
                <w:rFonts w:hAnsi="宋体" w:eastAsia="宋体"/>
                <w:sz w:val="24"/>
              </w:rPr>
              <w:t>，项目职工生活垃圾产生量</w:t>
            </w:r>
            <w:r>
              <w:rPr>
                <w:rFonts w:eastAsia="宋体"/>
                <w:sz w:val="24"/>
              </w:rPr>
              <w:t>5.11t/a</w:t>
            </w:r>
            <w:r>
              <w:rPr>
                <w:rFonts w:hAnsi="宋体" w:eastAsia="宋体"/>
                <w:sz w:val="24"/>
              </w:rPr>
              <w:t>，</w:t>
            </w:r>
            <w:r>
              <w:rPr>
                <w:rFonts w:hAnsi="宋体" w:eastAsia="宋体"/>
                <w:snapToGrid w:val="0"/>
                <w:kern w:val="16"/>
                <w:sz w:val="24"/>
              </w:rPr>
              <w:t>为避免固体废弃物污染环境，本次评价要求运行单位将生活垃圾收集后交给当地环卫部门集中处理，避免对环境的污染。新建</w:t>
            </w:r>
            <w:r>
              <w:rPr>
                <w:rFonts w:eastAsia="宋体"/>
                <w:snapToGrid w:val="0"/>
                <w:kern w:val="16"/>
                <w:sz w:val="24"/>
              </w:rPr>
              <w:t>110kV</w:t>
            </w:r>
            <w:r>
              <w:rPr>
                <w:rFonts w:hAnsi="宋体" w:eastAsia="宋体"/>
                <w:snapToGrid w:val="0"/>
                <w:kern w:val="16"/>
                <w:sz w:val="24"/>
              </w:rPr>
              <w:t>输电线路运行期无废弃物产生，对环境无影响</w:t>
            </w:r>
            <w:r>
              <w:rPr>
                <w:rFonts w:hAnsi="宋体" w:eastAsia="宋体"/>
                <w:sz w:val="24"/>
              </w:rPr>
              <w:t>。</w:t>
            </w:r>
          </w:p>
          <w:p>
            <w:pPr>
              <w:adjustRightInd w:val="0"/>
              <w:snapToGrid w:val="0"/>
              <w:spacing w:line="520" w:lineRule="exact"/>
              <w:ind w:firstLine="472" w:firstLineChars="200"/>
              <w:rPr>
                <w:rFonts w:eastAsia="宋体"/>
                <w:snapToGrid w:val="0"/>
                <w:kern w:val="16"/>
                <w:sz w:val="24"/>
              </w:rPr>
            </w:pPr>
            <w:r>
              <w:rPr>
                <w:rFonts w:hAnsi="宋体" w:eastAsia="宋体"/>
                <w:spacing w:val="-2"/>
                <w:kern w:val="16"/>
                <w:sz w:val="24"/>
              </w:rPr>
              <w:t>升压站内使用蓄电池作为信号指示、仪表记录、操作机构和储能机构电源备用，蓄电池正常使用情况下，</w:t>
            </w:r>
            <w:r>
              <w:rPr>
                <w:rFonts w:eastAsia="宋体"/>
                <w:spacing w:val="-2"/>
                <w:kern w:val="16"/>
                <w:sz w:val="24"/>
              </w:rPr>
              <w:t>6-8</w:t>
            </w:r>
            <w:r>
              <w:rPr>
                <w:rFonts w:hAnsi="宋体" w:eastAsia="宋体"/>
                <w:spacing w:val="-2"/>
                <w:kern w:val="16"/>
                <w:sz w:val="24"/>
              </w:rPr>
              <w:t>年更换一次，更换后的蓄电池作为危险废物交由具有处置资质的单位进行处理。</w:t>
            </w:r>
          </w:p>
          <w:p>
            <w:pPr>
              <w:adjustRightInd w:val="0"/>
              <w:snapToGrid w:val="0"/>
              <w:spacing w:line="520" w:lineRule="exact"/>
              <w:rPr>
                <w:rFonts w:eastAsia="宋体"/>
                <w:b/>
                <w:bCs/>
                <w:sz w:val="24"/>
              </w:rPr>
            </w:pPr>
            <w:r>
              <w:rPr>
                <w:rFonts w:eastAsia="宋体"/>
                <w:b/>
                <w:bCs/>
                <w:sz w:val="24"/>
              </w:rPr>
              <w:t>7.1.6环境风险影响分析</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变压器油为矿物油，是由天然石油加工炼制而成，为浅黄色透明液体，其成份主要为烷烃、环烷烃及芳香烃三大类，相对密度0.9。凝固点&lt;-45</w:t>
            </w:r>
            <w:r>
              <w:rPr>
                <w:rFonts w:hint="eastAsia" w:ascii="宋体" w:hAnsi="宋体" w:eastAsia="宋体" w:cs="宋体"/>
                <w:snapToGrid w:val="0"/>
                <w:kern w:val="16"/>
                <w:sz w:val="24"/>
              </w:rPr>
              <w:t>℃</w:t>
            </w:r>
            <w:r>
              <w:rPr>
                <w:rFonts w:eastAsia="宋体"/>
                <w:snapToGrid w:val="0"/>
                <w:kern w:val="16"/>
                <w:sz w:val="24"/>
              </w:rPr>
              <w:t>。根据《国家危险废物名录》（2016年版），变压器废油为危险废物。</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（1）变压器的运行维护及检测</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变压器油注入变压器后，不用更新，使用寿命与设备同步。而变压器的维护是在设备的整个服役期间经常需要进行的工作。变压器维护工作的主要目的是保证其运行条件良好，绝缘不过热，不受潮。</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一般运行工况下，升压站站内所有电气设施每季度作常规检测，对变压器油则每年由专业人员按相关规定抽样检测油的品质，根据检测结果，再定是否需做过滤或增补变压器油。整个过程无漏油，跑油现象产生，亦无弃油产生。</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（2）事故状态下变压器油环境风险分析及环保措施</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rPr>
              <w:t>变压器为了绝缘和冷却的需要，其外壳内装有大量变压器油，正常情况下变压器油不外排，在事故和检修过程中可能有油的泄漏污染环境，造成一定环境风险。</w:t>
            </w:r>
            <w:r>
              <w:rPr>
                <w:rFonts w:eastAsia="宋体"/>
                <w:snapToGrid w:val="0"/>
                <w:kern w:val="16"/>
                <w:sz w:val="24"/>
              </w:rPr>
              <w:cr/>
            </w:r>
            <w:r>
              <w:rPr>
                <w:rFonts w:eastAsia="宋体"/>
                <w:snapToGrid w:val="0"/>
                <w:kern w:val="16"/>
                <w:sz w:val="24"/>
              </w:rPr>
              <w:t xml:space="preserve">    本工程升压站内应设置污油排蓄系统，变压器下储油坑内铺设一卵石层，四周设有排油槽并与集油池相连。一旦变压器事故时排油或漏油，所有的油将渗过卵石层并通过排油槽到达集油池，在此过程中卵石层起到冷却油的作用，不易发生火灾。</w:t>
            </w:r>
          </w:p>
          <w:p>
            <w:pPr>
              <w:adjustRightInd w:val="0"/>
              <w:snapToGrid w:val="0"/>
              <w:spacing w:line="520" w:lineRule="exact"/>
              <w:ind w:firstLine="480" w:firstLineChars="200"/>
              <w:rPr>
                <w:rFonts w:eastAsia="宋体"/>
                <w:sz w:val="24"/>
              </w:rPr>
            </w:pPr>
            <w:r>
              <w:rPr>
                <w:rFonts w:eastAsia="宋体"/>
                <w:snapToGrid w:val="0"/>
                <w:kern w:val="16"/>
                <w:sz w:val="24"/>
              </w:rPr>
              <w:t>本工程升压站内设计有事故集油池，容积为</w:t>
            </w:r>
            <w:r>
              <w:rPr>
                <w:rFonts w:hint="eastAsia" w:eastAsia="宋体"/>
                <w:snapToGrid w:val="0"/>
                <w:kern w:val="16"/>
                <w:sz w:val="24"/>
              </w:rPr>
              <w:t>50</w:t>
            </w:r>
            <w:r>
              <w:rPr>
                <w:rFonts w:eastAsia="宋体"/>
                <w:snapToGrid w:val="0"/>
                <w:kern w:val="16"/>
                <w:sz w:val="24"/>
              </w:rPr>
              <w:t>m</w:t>
            </w:r>
            <w:r>
              <w:rPr>
                <w:rFonts w:eastAsia="宋体"/>
                <w:snapToGrid w:val="0"/>
                <w:kern w:val="16"/>
                <w:sz w:val="24"/>
                <w:vertAlign w:val="superscript"/>
              </w:rPr>
              <w:t>3</w:t>
            </w:r>
            <w:r>
              <w:rPr>
                <w:rFonts w:eastAsia="宋体"/>
                <w:snapToGrid w:val="0"/>
                <w:kern w:val="16"/>
                <w:sz w:val="24"/>
              </w:rPr>
              <w:t>。</w:t>
            </w:r>
            <w:r>
              <w:rPr>
                <w:rFonts w:eastAsia="宋体"/>
                <w:sz w:val="24"/>
              </w:rPr>
              <w:t>本项目升压站内设置一台变压器，单台</w:t>
            </w:r>
            <w:r>
              <w:rPr>
                <w:rFonts w:hint="eastAsia" w:eastAsia="宋体"/>
                <w:sz w:val="24"/>
              </w:rPr>
              <w:t>8</w:t>
            </w:r>
            <w:r>
              <w:rPr>
                <w:rFonts w:eastAsia="宋体"/>
                <w:sz w:val="24"/>
              </w:rPr>
              <w:t>0MVA变压器含绝缘油约</w:t>
            </w:r>
            <w:r>
              <w:rPr>
                <w:rFonts w:hint="eastAsia" w:eastAsia="宋体"/>
                <w:sz w:val="24"/>
              </w:rPr>
              <w:t>22.5t</w:t>
            </w:r>
            <w:r>
              <w:rPr>
                <w:rFonts w:eastAsia="宋体"/>
                <w:sz w:val="24"/>
              </w:rPr>
              <w:t>，变压器油的密度</w:t>
            </w:r>
            <w:r>
              <w:rPr>
                <w:rFonts w:hint="eastAsia" w:eastAsia="宋体"/>
                <w:sz w:val="24"/>
              </w:rPr>
              <w:t>900</w:t>
            </w:r>
            <w:r>
              <w:rPr>
                <w:rFonts w:eastAsia="宋体"/>
                <w:sz w:val="24"/>
              </w:rPr>
              <w:t>kg/m</w:t>
            </w:r>
            <w:r>
              <w:rPr>
                <w:rFonts w:eastAsia="宋体"/>
                <w:sz w:val="24"/>
                <w:vertAlign w:val="superscript"/>
              </w:rPr>
              <w:t>3</w:t>
            </w:r>
            <w:r>
              <w:rPr>
                <w:rFonts w:eastAsia="宋体"/>
                <w:sz w:val="24"/>
              </w:rPr>
              <w:t>，所以该变压器油箱最大储油量约为</w:t>
            </w:r>
            <w:r>
              <w:rPr>
                <w:rFonts w:hint="eastAsia" w:eastAsia="宋体"/>
                <w:sz w:val="24"/>
              </w:rPr>
              <w:t>50</w:t>
            </w:r>
            <w:r>
              <w:rPr>
                <w:rFonts w:eastAsia="宋体"/>
                <w:sz w:val="24"/>
              </w:rPr>
              <w:t>m</w:t>
            </w:r>
            <w:r>
              <w:rPr>
                <w:rFonts w:eastAsia="宋体"/>
                <w:sz w:val="24"/>
                <w:vertAlign w:val="superscript"/>
              </w:rPr>
              <w:t>3</w:t>
            </w:r>
            <w:r>
              <w:rPr>
                <w:rFonts w:eastAsia="宋体"/>
                <w:sz w:val="24"/>
              </w:rPr>
              <w:t>。事故油池有油水分离的功能，变压器事故状态下需排油时，经主变下部的贮油坑与排油管排至事故油池。根据《3-110kV高压配电装置设计规范》（GB50060-2008）中“应设置能容纳100%油量的贮油设施”规定，本项目事故油池量可以满足本项目发生事故状况下的需求。</w:t>
            </w:r>
          </w:p>
          <w:p>
            <w:pPr>
              <w:adjustRightInd w:val="0"/>
              <w:snapToGrid w:val="0"/>
              <w:spacing w:line="520" w:lineRule="exact"/>
              <w:ind w:firstLine="480" w:firstLineChars="200"/>
              <w:rPr>
                <w:snapToGrid w:val="0"/>
                <w:sz w:val="24"/>
              </w:rPr>
            </w:pPr>
            <w:r>
              <w:rPr>
                <w:rFonts w:eastAsia="宋体"/>
                <w:snapToGrid w:val="0"/>
                <w:kern w:val="16"/>
                <w:sz w:val="24"/>
              </w:rPr>
              <w:t>本工程升压站内设事故集油池，容积为</w:t>
            </w:r>
            <w:r>
              <w:rPr>
                <w:rFonts w:hint="eastAsia" w:eastAsia="宋体"/>
                <w:snapToGrid w:val="0"/>
                <w:kern w:val="16"/>
                <w:sz w:val="24"/>
              </w:rPr>
              <w:t>50</w:t>
            </w:r>
            <w:r>
              <w:rPr>
                <w:rFonts w:eastAsia="宋体"/>
                <w:snapToGrid w:val="0"/>
                <w:kern w:val="16"/>
                <w:sz w:val="24"/>
              </w:rPr>
              <w:t>m</w:t>
            </w:r>
            <w:r>
              <w:rPr>
                <w:rFonts w:eastAsia="宋体"/>
                <w:snapToGrid w:val="0"/>
                <w:kern w:val="16"/>
                <w:sz w:val="24"/>
                <w:vertAlign w:val="superscript"/>
              </w:rPr>
              <w:t>3</w:t>
            </w:r>
            <w:r>
              <w:rPr>
                <w:rFonts w:eastAsia="宋体"/>
                <w:snapToGrid w:val="0"/>
                <w:kern w:val="16"/>
                <w:sz w:val="24"/>
              </w:rPr>
              <w:t>，满足1台主变发生事故状态下的需求，将事故状态下的废油及废水全部收集起来，收集的废变压器油及废水全部具有相应资格的危险废物处理机构进行妥善处理。避免造成其对外环境的污染。可将事故状态下的废油及废水全部收集起来，收集的废变压器油及废水全部具有相应资格的危险废物处理机构进行妥善处理。避免造成其对外环境的污染。事故油池需按照《危险废物贮存污染控制标准》（GB18597-2001）(2013年修改)中的有关规定，做好防渗、防漏及设置警示标志</w:t>
            </w:r>
            <w:r>
              <w:rPr>
                <w:snapToGrid w:val="0"/>
                <w:sz w:val="24"/>
              </w:rPr>
              <w:t>。</w:t>
            </w:r>
          </w:p>
          <w:p>
            <w:pPr>
              <w:adjustRightInd w:val="0"/>
              <w:snapToGrid w:val="0"/>
              <w:spacing w:line="520" w:lineRule="exact"/>
              <w:ind w:firstLine="480" w:firstLineChars="200"/>
              <w:rPr>
                <w:rFonts w:eastAsia="宋体"/>
                <w:snapToGrid w:val="0"/>
                <w:kern w:val="16"/>
                <w:sz w:val="24"/>
              </w:rPr>
            </w:pPr>
            <w:r>
              <w:rPr>
                <w:rFonts w:hint="eastAsia" w:eastAsia="宋体"/>
                <w:sz w:val="24"/>
                <w:szCs w:val="28"/>
              </w:rPr>
              <w:t>由于事故油池为户外式，雨水天气下雨水会流入事故油池，因此，建设单位需定期清理事故油池的雨水。</w:t>
            </w:r>
          </w:p>
          <w:p>
            <w:pPr>
              <w:adjustRightInd w:val="0"/>
              <w:snapToGrid w:val="0"/>
              <w:spacing w:line="520" w:lineRule="exact"/>
              <w:ind w:firstLine="480" w:firstLineChars="200"/>
              <w:rPr>
                <w:rFonts w:eastAsia="宋体"/>
                <w:snapToGrid w:val="0"/>
                <w:kern w:val="16"/>
                <w:sz w:val="24"/>
                <w:szCs w:val="2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p>
            <w:pPr>
              <w:rPr>
                <w:rFonts w:eastAsia="宋体"/>
                <w:b/>
                <w:bCs/>
                <w:sz w:val="24"/>
                <w:szCs w:val="30"/>
              </w:rPr>
            </w:pPr>
          </w:p>
        </w:tc>
      </w:tr>
    </w:tbl>
    <w:p>
      <w:pPr>
        <w:outlineLvl w:val="0"/>
        <w:rPr>
          <w:rFonts w:eastAsia="宋体"/>
          <w:b/>
          <w:bCs/>
          <w:sz w:val="30"/>
          <w:szCs w:val="30"/>
        </w:rPr>
      </w:pPr>
      <w:bookmarkStart w:id="30" w:name="_Toc37923286"/>
      <w:bookmarkStart w:id="31" w:name="_Toc307124771"/>
      <w:r>
        <w:rPr>
          <w:rFonts w:eastAsia="宋体"/>
          <w:b/>
          <w:bCs/>
          <w:sz w:val="30"/>
          <w:szCs w:val="30"/>
        </w:rPr>
        <w:t>八、建设项目拟采取的防治措施及预期治理效果</w:t>
      </w:r>
      <w:bookmarkEnd w:id="30"/>
      <w:bookmarkEnd w:id="31"/>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448"/>
        <w:gridCol w:w="565"/>
        <w:gridCol w:w="1199"/>
        <w:gridCol w:w="1109"/>
        <w:gridCol w:w="3106"/>
        <w:gridCol w:w="2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98" w:type="pct"/>
            <w:gridSpan w:val="2"/>
            <w:tcBorders>
              <w:bottom w:val="single" w:color="000000" w:sz="4" w:space="0"/>
              <w:tl2br w:val="single" w:color="auto" w:sz="4" w:space="0"/>
            </w:tcBorders>
            <w:vAlign w:val="center"/>
          </w:tcPr>
          <w:p>
            <w:pPr>
              <w:ind w:left="370" w:leftChars="57" w:hanging="210" w:hangingChars="100"/>
              <w:jc w:val="right"/>
              <w:rPr>
                <w:rFonts w:eastAsia="宋体"/>
                <w:snapToGrid w:val="0"/>
                <w:sz w:val="21"/>
                <w:szCs w:val="22"/>
              </w:rPr>
            </w:pPr>
            <w:r>
              <w:rPr>
                <w:rFonts w:eastAsia="宋体"/>
                <w:snapToGrid w:val="0"/>
                <w:sz w:val="21"/>
                <w:szCs w:val="22"/>
              </w:rPr>
              <w:t>内容</w:t>
            </w:r>
          </w:p>
          <w:p>
            <w:pPr>
              <w:rPr>
                <w:rFonts w:eastAsia="宋体"/>
                <w:snapToGrid w:val="0"/>
                <w:sz w:val="21"/>
                <w:szCs w:val="22"/>
              </w:rPr>
            </w:pPr>
            <w:r>
              <w:rPr>
                <w:rFonts w:eastAsia="宋体"/>
                <w:snapToGrid w:val="0"/>
                <w:sz w:val="21"/>
                <w:szCs w:val="22"/>
              </w:rPr>
              <w:t>类型</w:t>
            </w:r>
          </w:p>
        </w:tc>
        <w:tc>
          <w:tcPr>
            <w:tcW w:w="707" w:type="pct"/>
            <w:tcBorders>
              <w:bottom w:val="single" w:color="000000" w:sz="4" w:space="0"/>
            </w:tcBorders>
            <w:vAlign w:val="center"/>
          </w:tcPr>
          <w:p>
            <w:pPr>
              <w:jc w:val="center"/>
              <w:rPr>
                <w:rFonts w:eastAsia="宋体"/>
                <w:snapToGrid w:val="0"/>
                <w:sz w:val="21"/>
                <w:szCs w:val="22"/>
              </w:rPr>
            </w:pPr>
            <w:r>
              <w:rPr>
                <w:rFonts w:eastAsia="宋体"/>
                <w:snapToGrid w:val="0"/>
                <w:sz w:val="21"/>
                <w:szCs w:val="22"/>
              </w:rPr>
              <w:t>排放源</w:t>
            </w:r>
          </w:p>
          <w:p>
            <w:pPr>
              <w:jc w:val="center"/>
              <w:rPr>
                <w:rFonts w:eastAsia="宋体"/>
                <w:snapToGrid w:val="0"/>
                <w:sz w:val="21"/>
                <w:szCs w:val="22"/>
              </w:rPr>
            </w:pPr>
            <w:r>
              <w:rPr>
                <w:rFonts w:eastAsia="宋体"/>
                <w:snapToGrid w:val="0"/>
                <w:sz w:val="21"/>
                <w:szCs w:val="22"/>
              </w:rPr>
              <w:t>(编号)</w:t>
            </w:r>
          </w:p>
        </w:tc>
        <w:tc>
          <w:tcPr>
            <w:tcW w:w="654" w:type="pct"/>
            <w:vAlign w:val="center"/>
          </w:tcPr>
          <w:p>
            <w:pPr>
              <w:jc w:val="center"/>
              <w:rPr>
                <w:rFonts w:eastAsia="宋体"/>
                <w:snapToGrid w:val="0"/>
                <w:sz w:val="21"/>
                <w:szCs w:val="22"/>
              </w:rPr>
            </w:pPr>
            <w:r>
              <w:rPr>
                <w:rFonts w:eastAsia="宋体"/>
                <w:snapToGrid w:val="0"/>
                <w:sz w:val="21"/>
                <w:szCs w:val="22"/>
              </w:rPr>
              <w:t>污染物名称</w:t>
            </w:r>
          </w:p>
        </w:tc>
        <w:tc>
          <w:tcPr>
            <w:tcW w:w="1832" w:type="pct"/>
            <w:vAlign w:val="center"/>
          </w:tcPr>
          <w:p>
            <w:pPr>
              <w:jc w:val="center"/>
              <w:rPr>
                <w:rFonts w:eastAsia="宋体"/>
                <w:snapToGrid w:val="0"/>
                <w:sz w:val="21"/>
                <w:szCs w:val="22"/>
              </w:rPr>
            </w:pPr>
            <w:r>
              <w:rPr>
                <w:rFonts w:eastAsia="宋体"/>
                <w:snapToGrid w:val="0"/>
                <w:sz w:val="21"/>
                <w:szCs w:val="22"/>
              </w:rPr>
              <w:t>防治措施</w:t>
            </w:r>
          </w:p>
        </w:tc>
        <w:tc>
          <w:tcPr>
            <w:tcW w:w="1209" w:type="pct"/>
            <w:vAlign w:val="center"/>
          </w:tcPr>
          <w:p>
            <w:pPr>
              <w:jc w:val="center"/>
              <w:rPr>
                <w:rFonts w:eastAsia="宋体"/>
                <w:snapToGrid w:val="0"/>
                <w:sz w:val="21"/>
                <w:szCs w:val="22"/>
              </w:rPr>
            </w:pPr>
            <w:r>
              <w:rPr>
                <w:rFonts w:eastAsia="宋体"/>
                <w:snapToGrid w:val="0"/>
                <w:sz w:val="21"/>
                <w:szCs w:val="22"/>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65" w:type="pct"/>
            <w:tcBorders>
              <w:top w:val="single" w:color="000000" w:sz="4" w:space="0"/>
            </w:tcBorders>
            <w:vAlign w:val="center"/>
          </w:tcPr>
          <w:p>
            <w:pPr>
              <w:jc w:val="center"/>
              <w:rPr>
                <w:rFonts w:eastAsia="宋体"/>
                <w:snapToGrid w:val="0"/>
                <w:sz w:val="21"/>
                <w:szCs w:val="22"/>
              </w:rPr>
            </w:pPr>
            <w:r>
              <w:rPr>
                <w:rFonts w:hint="eastAsia" w:eastAsia="宋体"/>
                <w:snapToGrid w:val="0"/>
                <w:sz w:val="21"/>
                <w:szCs w:val="22"/>
              </w:rPr>
              <w:t>大气污染物</w:t>
            </w:r>
          </w:p>
        </w:tc>
        <w:tc>
          <w:tcPr>
            <w:tcW w:w="333" w:type="pct"/>
            <w:tcBorders>
              <w:top w:val="single" w:color="000000" w:sz="4" w:space="0"/>
            </w:tcBorders>
            <w:vAlign w:val="center"/>
          </w:tcPr>
          <w:p>
            <w:pPr>
              <w:spacing w:line="360" w:lineRule="exact"/>
              <w:jc w:val="center"/>
              <w:rPr>
                <w:rFonts w:eastAsia="宋体"/>
                <w:snapToGrid w:val="0"/>
                <w:sz w:val="21"/>
                <w:szCs w:val="22"/>
              </w:rPr>
            </w:pPr>
            <w:r>
              <w:rPr>
                <w:rFonts w:hint="eastAsia" w:eastAsia="宋体"/>
                <w:snapToGrid w:val="0"/>
                <w:sz w:val="21"/>
                <w:szCs w:val="22"/>
              </w:rPr>
              <w:t>营运期</w:t>
            </w:r>
          </w:p>
        </w:tc>
        <w:tc>
          <w:tcPr>
            <w:tcW w:w="707" w:type="pct"/>
            <w:tcBorders>
              <w:top w:val="single" w:color="000000" w:sz="4" w:space="0"/>
            </w:tcBorders>
            <w:vAlign w:val="center"/>
          </w:tcPr>
          <w:p>
            <w:pPr>
              <w:spacing w:line="360" w:lineRule="exact"/>
              <w:jc w:val="center"/>
              <w:rPr>
                <w:rFonts w:eastAsia="宋体"/>
                <w:snapToGrid w:val="0"/>
                <w:sz w:val="21"/>
                <w:szCs w:val="22"/>
              </w:rPr>
            </w:pPr>
            <w:r>
              <w:rPr>
                <w:rFonts w:hint="eastAsia" w:eastAsia="宋体"/>
                <w:snapToGrid w:val="0"/>
                <w:sz w:val="21"/>
                <w:szCs w:val="22"/>
              </w:rPr>
              <w:t>食堂</w:t>
            </w:r>
          </w:p>
        </w:tc>
        <w:tc>
          <w:tcPr>
            <w:tcW w:w="654" w:type="pct"/>
            <w:vAlign w:val="center"/>
          </w:tcPr>
          <w:p>
            <w:pPr>
              <w:spacing w:line="360" w:lineRule="exact"/>
              <w:jc w:val="center"/>
              <w:rPr>
                <w:rFonts w:eastAsia="宋体"/>
                <w:snapToGrid w:val="0"/>
                <w:sz w:val="21"/>
                <w:szCs w:val="22"/>
              </w:rPr>
            </w:pPr>
            <w:r>
              <w:rPr>
                <w:rFonts w:hint="eastAsia" w:eastAsia="宋体"/>
                <w:snapToGrid w:val="0"/>
                <w:sz w:val="21"/>
                <w:szCs w:val="22"/>
              </w:rPr>
              <w:t>油烟</w:t>
            </w:r>
          </w:p>
        </w:tc>
        <w:tc>
          <w:tcPr>
            <w:tcW w:w="1832" w:type="pct"/>
            <w:vAlign w:val="center"/>
          </w:tcPr>
          <w:p>
            <w:pPr>
              <w:spacing w:line="360" w:lineRule="exact"/>
              <w:jc w:val="center"/>
              <w:rPr>
                <w:rFonts w:eastAsia="宋体"/>
                <w:snapToGrid w:val="0"/>
                <w:sz w:val="21"/>
                <w:szCs w:val="22"/>
              </w:rPr>
            </w:pPr>
            <w:r>
              <w:rPr>
                <w:rFonts w:hint="eastAsia" w:eastAsia="宋体"/>
                <w:snapToGrid w:val="0"/>
                <w:sz w:val="21"/>
                <w:szCs w:val="22"/>
              </w:rPr>
              <w:t>经油烟净化器处理后排放</w:t>
            </w:r>
          </w:p>
        </w:tc>
        <w:tc>
          <w:tcPr>
            <w:tcW w:w="1209" w:type="pct"/>
            <w:vAlign w:val="center"/>
          </w:tcPr>
          <w:p>
            <w:pPr>
              <w:spacing w:line="360" w:lineRule="exact"/>
              <w:jc w:val="center"/>
              <w:rPr>
                <w:rFonts w:eastAsia="宋体"/>
                <w:snapToGrid w:val="0"/>
                <w:sz w:val="21"/>
                <w:szCs w:val="22"/>
              </w:rPr>
            </w:pPr>
            <w:r>
              <w:rPr>
                <w:rFonts w:hint="eastAsia" w:eastAsia="宋体"/>
                <w:snapToGrid w:val="0"/>
                <w:sz w:val="21"/>
                <w:szCs w:val="22"/>
              </w:rPr>
              <w:t>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65" w:type="pct"/>
            <w:vAlign w:val="center"/>
          </w:tcPr>
          <w:p>
            <w:pPr>
              <w:jc w:val="center"/>
              <w:rPr>
                <w:rFonts w:eastAsia="宋体"/>
                <w:snapToGrid w:val="0"/>
                <w:sz w:val="21"/>
                <w:szCs w:val="22"/>
              </w:rPr>
            </w:pPr>
            <w:r>
              <w:rPr>
                <w:rFonts w:eastAsia="宋体"/>
                <w:snapToGrid w:val="0"/>
                <w:sz w:val="21"/>
                <w:szCs w:val="22"/>
              </w:rPr>
              <w:t>水污</w:t>
            </w:r>
          </w:p>
          <w:p>
            <w:pPr>
              <w:jc w:val="center"/>
              <w:rPr>
                <w:rFonts w:eastAsia="宋体"/>
                <w:snapToGrid w:val="0"/>
                <w:sz w:val="21"/>
                <w:szCs w:val="22"/>
              </w:rPr>
            </w:pPr>
            <w:r>
              <w:rPr>
                <w:rFonts w:eastAsia="宋体"/>
                <w:snapToGrid w:val="0"/>
                <w:sz w:val="21"/>
                <w:szCs w:val="22"/>
              </w:rPr>
              <w:t>染物</w:t>
            </w:r>
          </w:p>
        </w:tc>
        <w:tc>
          <w:tcPr>
            <w:tcW w:w="333" w:type="pct"/>
            <w:vAlign w:val="center"/>
          </w:tcPr>
          <w:p>
            <w:pPr>
              <w:jc w:val="center"/>
              <w:rPr>
                <w:rFonts w:eastAsia="宋体"/>
                <w:snapToGrid w:val="0"/>
                <w:sz w:val="21"/>
                <w:szCs w:val="22"/>
              </w:rPr>
            </w:pPr>
            <w:r>
              <w:rPr>
                <w:rFonts w:hint="eastAsia" w:eastAsia="宋体"/>
                <w:snapToGrid w:val="0"/>
                <w:sz w:val="21"/>
                <w:szCs w:val="22"/>
              </w:rPr>
              <w:t>营</w:t>
            </w:r>
          </w:p>
          <w:p>
            <w:pPr>
              <w:jc w:val="center"/>
              <w:rPr>
                <w:rFonts w:eastAsia="宋体"/>
                <w:snapToGrid w:val="0"/>
                <w:sz w:val="21"/>
                <w:szCs w:val="22"/>
              </w:rPr>
            </w:pPr>
            <w:r>
              <w:rPr>
                <w:rFonts w:hint="eastAsia" w:eastAsia="宋体"/>
                <w:snapToGrid w:val="0"/>
                <w:sz w:val="21"/>
                <w:szCs w:val="22"/>
              </w:rPr>
              <w:t>运</w:t>
            </w:r>
          </w:p>
          <w:p>
            <w:pPr>
              <w:jc w:val="center"/>
              <w:rPr>
                <w:rFonts w:eastAsia="宋体"/>
                <w:snapToGrid w:val="0"/>
                <w:sz w:val="21"/>
                <w:szCs w:val="22"/>
              </w:rPr>
            </w:pPr>
            <w:r>
              <w:rPr>
                <w:rFonts w:hint="eastAsia" w:eastAsia="宋体"/>
                <w:snapToGrid w:val="0"/>
                <w:sz w:val="21"/>
                <w:szCs w:val="22"/>
              </w:rPr>
              <w:t>期</w:t>
            </w:r>
          </w:p>
        </w:tc>
        <w:tc>
          <w:tcPr>
            <w:tcW w:w="707" w:type="pct"/>
            <w:vAlign w:val="center"/>
          </w:tcPr>
          <w:p>
            <w:pPr>
              <w:jc w:val="center"/>
              <w:rPr>
                <w:rFonts w:eastAsia="宋体"/>
                <w:snapToGrid w:val="0"/>
                <w:sz w:val="21"/>
                <w:szCs w:val="22"/>
              </w:rPr>
            </w:pPr>
            <w:r>
              <w:rPr>
                <w:rFonts w:hint="eastAsia" w:eastAsia="宋体"/>
                <w:snapToGrid w:val="0"/>
                <w:sz w:val="21"/>
                <w:szCs w:val="22"/>
              </w:rPr>
              <w:t>工作人员生活</w:t>
            </w:r>
          </w:p>
        </w:tc>
        <w:tc>
          <w:tcPr>
            <w:tcW w:w="654" w:type="pct"/>
            <w:shd w:val="clear" w:color="auto" w:fill="auto"/>
            <w:vAlign w:val="center"/>
          </w:tcPr>
          <w:p>
            <w:pPr>
              <w:tabs>
                <w:tab w:val="left" w:pos="994"/>
              </w:tabs>
              <w:jc w:val="center"/>
              <w:rPr>
                <w:rFonts w:eastAsia="宋体"/>
                <w:snapToGrid w:val="0"/>
                <w:sz w:val="21"/>
                <w:szCs w:val="22"/>
              </w:rPr>
            </w:pPr>
            <w:r>
              <w:rPr>
                <w:rFonts w:hint="eastAsia" w:eastAsia="宋体"/>
                <w:snapToGrid w:val="0"/>
                <w:sz w:val="21"/>
                <w:szCs w:val="22"/>
              </w:rPr>
              <w:t>生活污水</w:t>
            </w:r>
          </w:p>
        </w:tc>
        <w:tc>
          <w:tcPr>
            <w:tcW w:w="1832" w:type="pct"/>
            <w:shd w:val="clear" w:color="auto" w:fill="auto"/>
            <w:vAlign w:val="center"/>
          </w:tcPr>
          <w:p>
            <w:pPr>
              <w:jc w:val="center"/>
              <w:rPr>
                <w:rFonts w:eastAsia="宋体"/>
                <w:snapToGrid w:val="0"/>
                <w:sz w:val="21"/>
                <w:szCs w:val="22"/>
              </w:rPr>
            </w:pPr>
            <w:r>
              <w:rPr>
                <w:rFonts w:hint="eastAsia" w:eastAsia="宋体"/>
                <w:snapToGrid w:val="0"/>
                <w:sz w:val="21"/>
                <w:szCs w:val="22"/>
              </w:rPr>
              <w:t>经一体化污水处理设施处理后用于绿化综合利用，不外排。</w:t>
            </w:r>
          </w:p>
        </w:tc>
        <w:tc>
          <w:tcPr>
            <w:tcW w:w="1209" w:type="pct"/>
            <w:shd w:val="clear" w:color="auto" w:fill="auto"/>
            <w:vAlign w:val="center"/>
          </w:tcPr>
          <w:p>
            <w:pPr>
              <w:jc w:val="center"/>
              <w:rPr>
                <w:rFonts w:eastAsia="宋体"/>
                <w:snapToGrid w:val="0"/>
                <w:sz w:val="21"/>
                <w:szCs w:val="22"/>
              </w:rPr>
            </w:pPr>
            <w:r>
              <w:rPr>
                <w:rFonts w:hint="eastAsia" w:eastAsia="宋体"/>
                <w:snapToGrid w:val="0"/>
                <w:sz w:val="21"/>
                <w:szCs w:val="22"/>
              </w:rPr>
              <w:t>废水不外排，对周围环境影响小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65" w:type="pct"/>
            <w:vMerge w:val="restart"/>
            <w:vAlign w:val="center"/>
          </w:tcPr>
          <w:p>
            <w:pPr>
              <w:jc w:val="center"/>
              <w:rPr>
                <w:rFonts w:eastAsia="宋体"/>
                <w:snapToGrid w:val="0"/>
                <w:sz w:val="21"/>
                <w:szCs w:val="22"/>
              </w:rPr>
            </w:pPr>
            <w:r>
              <w:rPr>
                <w:rFonts w:eastAsia="宋体"/>
                <w:snapToGrid w:val="0"/>
                <w:sz w:val="21"/>
                <w:szCs w:val="22"/>
              </w:rPr>
              <w:t>固</w:t>
            </w:r>
          </w:p>
          <w:p>
            <w:pPr>
              <w:jc w:val="center"/>
              <w:rPr>
                <w:rFonts w:eastAsia="宋体"/>
                <w:snapToGrid w:val="0"/>
                <w:sz w:val="21"/>
                <w:szCs w:val="22"/>
              </w:rPr>
            </w:pPr>
            <w:r>
              <w:rPr>
                <w:rFonts w:eastAsia="宋体"/>
                <w:snapToGrid w:val="0"/>
                <w:sz w:val="21"/>
                <w:szCs w:val="22"/>
              </w:rPr>
              <w:t>体</w:t>
            </w:r>
          </w:p>
          <w:p>
            <w:pPr>
              <w:jc w:val="center"/>
              <w:rPr>
                <w:rFonts w:eastAsia="宋体"/>
                <w:snapToGrid w:val="0"/>
                <w:sz w:val="21"/>
                <w:szCs w:val="22"/>
              </w:rPr>
            </w:pPr>
            <w:r>
              <w:rPr>
                <w:rFonts w:eastAsia="宋体"/>
                <w:snapToGrid w:val="0"/>
                <w:sz w:val="21"/>
                <w:szCs w:val="22"/>
              </w:rPr>
              <w:t>废</w:t>
            </w:r>
          </w:p>
          <w:p>
            <w:pPr>
              <w:jc w:val="center"/>
              <w:rPr>
                <w:rFonts w:eastAsia="宋体"/>
                <w:snapToGrid w:val="0"/>
                <w:sz w:val="21"/>
                <w:szCs w:val="22"/>
              </w:rPr>
            </w:pPr>
            <w:r>
              <w:rPr>
                <w:rFonts w:eastAsia="宋体"/>
                <w:snapToGrid w:val="0"/>
                <w:sz w:val="21"/>
                <w:szCs w:val="22"/>
              </w:rPr>
              <w:t>物</w:t>
            </w:r>
          </w:p>
        </w:tc>
        <w:tc>
          <w:tcPr>
            <w:tcW w:w="333" w:type="pct"/>
            <w:vMerge w:val="restart"/>
            <w:vAlign w:val="center"/>
          </w:tcPr>
          <w:p>
            <w:pPr>
              <w:jc w:val="center"/>
              <w:rPr>
                <w:rFonts w:eastAsia="宋体"/>
                <w:snapToGrid w:val="0"/>
                <w:sz w:val="21"/>
                <w:szCs w:val="22"/>
              </w:rPr>
            </w:pPr>
            <w:r>
              <w:rPr>
                <w:rFonts w:hint="eastAsia" w:eastAsia="宋体"/>
                <w:snapToGrid w:val="0"/>
                <w:sz w:val="21"/>
                <w:szCs w:val="22"/>
              </w:rPr>
              <w:t>营运</w:t>
            </w:r>
          </w:p>
          <w:p>
            <w:pPr>
              <w:jc w:val="center"/>
              <w:rPr>
                <w:rFonts w:eastAsia="宋体"/>
                <w:snapToGrid w:val="0"/>
                <w:sz w:val="21"/>
                <w:szCs w:val="22"/>
              </w:rPr>
            </w:pPr>
            <w:r>
              <w:rPr>
                <w:rFonts w:hint="eastAsia" w:eastAsia="宋体"/>
                <w:snapToGrid w:val="0"/>
                <w:sz w:val="21"/>
                <w:szCs w:val="22"/>
              </w:rPr>
              <w:t>期</w:t>
            </w:r>
          </w:p>
        </w:tc>
        <w:tc>
          <w:tcPr>
            <w:tcW w:w="707" w:type="pct"/>
            <w:shd w:val="clear" w:color="auto" w:fill="auto"/>
            <w:vAlign w:val="center"/>
          </w:tcPr>
          <w:p>
            <w:pPr>
              <w:jc w:val="center"/>
              <w:rPr>
                <w:rFonts w:hAnsi="宋体" w:eastAsia="宋体"/>
                <w:snapToGrid w:val="0"/>
                <w:sz w:val="21"/>
                <w:szCs w:val="22"/>
              </w:rPr>
            </w:pPr>
            <w:r>
              <w:rPr>
                <w:rFonts w:hint="eastAsia" w:hAnsi="宋体" w:eastAsia="宋体"/>
                <w:snapToGrid w:val="0"/>
                <w:sz w:val="21"/>
                <w:szCs w:val="22"/>
              </w:rPr>
              <w:t>变压器事故</w:t>
            </w:r>
          </w:p>
        </w:tc>
        <w:tc>
          <w:tcPr>
            <w:tcW w:w="654" w:type="pct"/>
            <w:vAlign w:val="center"/>
          </w:tcPr>
          <w:p>
            <w:pPr>
              <w:tabs>
                <w:tab w:val="left" w:pos="675"/>
              </w:tabs>
              <w:jc w:val="center"/>
              <w:rPr>
                <w:rFonts w:hAnsi="宋体" w:eastAsia="宋体"/>
                <w:snapToGrid w:val="0"/>
                <w:sz w:val="21"/>
                <w:szCs w:val="22"/>
              </w:rPr>
            </w:pPr>
            <w:r>
              <w:rPr>
                <w:rFonts w:hint="eastAsia" w:hAnsi="宋体" w:eastAsia="宋体"/>
                <w:snapToGrid w:val="0"/>
                <w:sz w:val="21"/>
                <w:szCs w:val="22"/>
              </w:rPr>
              <w:t>变压器油</w:t>
            </w:r>
          </w:p>
        </w:tc>
        <w:tc>
          <w:tcPr>
            <w:tcW w:w="1832" w:type="pct"/>
            <w:shd w:val="clear" w:color="auto" w:fill="auto"/>
            <w:vAlign w:val="center"/>
          </w:tcPr>
          <w:p>
            <w:pPr>
              <w:tabs>
                <w:tab w:val="left" w:pos="675"/>
              </w:tabs>
              <w:spacing w:line="440" w:lineRule="exact"/>
              <w:ind w:left="6"/>
              <w:jc w:val="center"/>
              <w:rPr>
                <w:rFonts w:eastAsia="宋体"/>
                <w:snapToGrid w:val="0"/>
                <w:sz w:val="21"/>
                <w:szCs w:val="22"/>
              </w:rPr>
            </w:pPr>
            <w:r>
              <w:rPr>
                <w:rFonts w:hint="eastAsia" w:eastAsia="宋体"/>
                <w:snapToGrid w:val="0"/>
                <w:sz w:val="21"/>
                <w:szCs w:val="22"/>
              </w:rPr>
              <w:t>事故油池收集后暂存在危险废物暂存间，委托有资质单位处理</w:t>
            </w:r>
          </w:p>
        </w:tc>
        <w:tc>
          <w:tcPr>
            <w:tcW w:w="1209" w:type="pct"/>
            <w:vMerge w:val="restart"/>
            <w:shd w:val="clear" w:color="auto" w:fill="auto"/>
            <w:vAlign w:val="center"/>
          </w:tcPr>
          <w:p>
            <w:pPr>
              <w:jc w:val="center"/>
              <w:rPr>
                <w:rFonts w:eastAsia="宋体"/>
                <w:snapToGrid w:val="0"/>
                <w:sz w:val="21"/>
                <w:szCs w:val="22"/>
                <w:highlight w:val="lightGray"/>
              </w:rPr>
            </w:pPr>
            <w:r>
              <w:rPr>
                <w:rFonts w:hint="eastAsia" w:eastAsia="宋体"/>
                <w:snapToGrid w:val="0"/>
                <w:sz w:val="21"/>
                <w:szCs w:val="22"/>
              </w:rPr>
              <w:t>固废</w:t>
            </w:r>
            <w:r>
              <w:rPr>
                <w:rFonts w:eastAsia="宋体"/>
                <w:snapToGrid w:val="0"/>
                <w:sz w:val="21"/>
                <w:szCs w:val="22"/>
              </w:rPr>
              <w:t>全部得以综合利用和妥善处置</w:t>
            </w:r>
            <w:r>
              <w:rPr>
                <w:rFonts w:hint="eastAsia" w:eastAsia="宋体"/>
                <w:snapToGrid w:val="0"/>
                <w:sz w:val="21"/>
                <w:szCs w:val="22"/>
              </w:rPr>
              <w:t>，不对周围环境产生大的不利影响。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65" w:type="pct"/>
            <w:vMerge w:val="continue"/>
            <w:vAlign w:val="center"/>
          </w:tcPr>
          <w:p>
            <w:pPr>
              <w:jc w:val="center"/>
              <w:rPr>
                <w:rFonts w:eastAsia="宋体"/>
                <w:snapToGrid w:val="0"/>
                <w:sz w:val="21"/>
                <w:szCs w:val="22"/>
              </w:rPr>
            </w:pPr>
          </w:p>
        </w:tc>
        <w:tc>
          <w:tcPr>
            <w:tcW w:w="333" w:type="pct"/>
            <w:vMerge w:val="continue"/>
            <w:vAlign w:val="center"/>
          </w:tcPr>
          <w:p>
            <w:pPr>
              <w:jc w:val="center"/>
              <w:rPr>
                <w:rFonts w:eastAsia="宋体"/>
                <w:snapToGrid w:val="0"/>
                <w:sz w:val="21"/>
                <w:szCs w:val="22"/>
              </w:rPr>
            </w:pPr>
          </w:p>
        </w:tc>
        <w:tc>
          <w:tcPr>
            <w:tcW w:w="707" w:type="pct"/>
            <w:shd w:val="clear" w:color="auto" w:fill="auto"/>
            <w:vAlign w:val="center"/>
          </w:tcPr>
          <w:p>
            <w:pPr>
              <w:jc w:val="center"/>
              <w:rPr>
                <w:rFonts w:hAnsi="宋体" w:eastAsia="宋体"/>
                <w:snapToGrid w:val="0"/>
                <w:sz w:val="21"/>
                <w:szCs w:val="22"/>
              </w:rPr>
            </w:pPr>
            <w:r>
              <w:rPr>
                <w:rFonts w:hint="eastAsia" w:hAnsi="宋体" w:eastAsia="宋体"/>
                <w:snapToGrid w:val="0"/>
                <w:sz w:val="21"/>
                <w:szCs w:val="22"/>
              </w:rPr>
              <w:t>设备更换</w:t>
            </w:r>
          </w:p>
        </w:tc>
        <w:tc>
          <w:tcPr>
            <w:tcW w:w="654" w:type="pct"/>
            <w:vAlign w:val="center"/>
          </w:tcPr>
          <w:p>
            <w:pPr>
              <w:tabs>
                <w:tab w:val="left" w:pos="675"/>
              </w:tabs>
              <w:jc w:val="center"/>
              <w:rPr>
                <w:rFonts w:hAnsi="宋体" w:eastAsia="宋体"/>
                <w:snapToGrid w:val="0"/>
                <w:sz w:val="21"/>
                <w:szCs w:val="22"/>
              </w:rPr>
            </w:pPr>
            <w:r>
              <w:rPr>
                <w:rFonts w:hint="eastAsia" w:hAnsi="宋体" w:eastAsia="宋体"/>
                <w:snapToGrid w:val="0"/>
                <w:sz w:val="21"/>
                <w:szCs w:val="22"/>
              </w:rPr>
              <w:t>废蓄电池</w:t>
            </w:r>
          </w:p>
        </w:tc>
        <w:tc>
          <w:tcPr>
            <w:tcW w:w="1832" w:type="pct"/>
            <w:shd w:val="clear" w:color="auto" w:fill="auto"/>
            <w:vAlign w:val="center"/>
          </w:tcPr>
          <w:p>
            <w:pPr>
              <w:tabs>
                <w:tab w:val="left" w:pos="675"/>
              </w:tabs>
              <w:spacing w:line="440" w:lineRule="exact"/>
              <w:ind w:left="6"/>
              <w:jc w:val="center"/>
              <w:rPr>
                <w:rFonts w:eastAsia="宋体"/>
                <w:snapToGrid w:val="0"/>
                <w:sz w:val="21"/>
                <w:szCs w:val="22"/>
              </w:rPr>
            </w:pPr>
            <w:r>
              <w:rPr>
                <w:rFonts w:hint="eastAsia" w:eastAsia="宋体"/>
                <w:snapToGrid w:val="0"/>
                <w:sz w:val="21"/>
                <w:szCs w:val="22"/>
              </w:rPr>
              <w:t>委托有资质单位处理</w:t>
            </w:r>
          </w:p>
        </w:tc>
        <w:tc>
          <w:tcPr>
            <w:tcW w:w="1209" w:type="pct"/>
            <w:vMerge w:val="continue"/>
            <w:shd w:val="clear" w:color="auto" w:fill="auto"/>
            <w:vAlign w:val="center"/>
          </w:tcPr>
          <w:p>
            <w:pPr>
              <w:jc w:val="center"/>
              <w:rPr>
                <w:rFonts w:eastAsia="宋体"/>
                <w:snapToGrid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65" w:type="pct"/>
            <w:vMerge w:val="continue"/>
            <w:vAlign w:val="center"/>
          </w:tcPr>
          <w:p>
            <w:pPr>
              <w:jc w:val="center"/>
              <w:rPr>
                <w:rFonts w:eastAsia="宋体"/>
                <w:snapToGrid w:val="0"/>
                <w:sz w:val="21"/>
                <w:szCs w:val="22"/>
              </w:rPr>
            </w:pPr>
          </w:p>
        </w:tc>
        <w:tc>
          <w:tcPr>
            <w:tcW w:w="333" w:type="pct"/>
            <w:vMerge w:val="continue"/>
            <w:vAlign w:val="center"/>
          </w:tcPr>
          <w:p>
            <w:pPr>
              <w:jc w:val="center"/>
              <w:rPr>
                <w:rFonts w:eastAsia="宋体"/>
                <w:snapToGrid w:val="0"/>
                <w:sz w:val="21"/>
                <w:szCs w:val="22"/>
              </w:rPr>
            </w:pPr>
          </w:p>
        </w:tc>
        <w:tc>
          <w:tcPr>
            <w:tcW w:w="707" w:type="pct"/>
            <w:shd w:val="clear" w:color="auto" w:fill="auto"/>
            <w:vAlign w:val="center"/>
          </w:tcPr>
          <w:p>
            <w:pPr>
              <w:jc w:val="center"/>
              <w:rPr>
                <w:rFonts w:eastAsia="宋体"/>
                <w:snapToGrid w:val="0"/>
                <w:sz w:val="21"/>
                <w:szCs w:val="22"/>
              </w:rPr>
            </w:pPr>
            <w:r>
              <w:rPr>
                <w:rFonts w:hint="eastAsia" w:eastAsia="宋体"/>
                <w:snapToGrid w:val="0"/>
                <w:sz w:val="21"/>
                <w:szCs w:val="22"/>
              </w:rPr>
              <w:t>职工生活</w:t>
            </w:r>
          </w:p>
        </w:tc>
        <w:tc>
          <w:tcPr>
            <w:tcW w:w="654" w:type="pct"/>
            <w:vAlign w:val="center"/>
          </w:tcPr>
          <w:p>
            <w:pPr>
              <w:tabs>
                <w:tab w:val="left" w:pos="675"/>
              </w:tabs>
              <w:jc w:val="center"/>
              <w:rPr>
                <w:rFonts w:eastAsia="宋体"/>
                <w:snapToGrid w:val="0"/>
                <w:sz w:val="21"/>
                <w:szCs w:val="22"/>
              </w:rPr>
            </w:pPr>
            <w:r>
              <w:rPr>
                <w:rFonts w:hint="eastAsia" w:eastAsia="宋体"/>
                <w:snapToGrid w:val="0"/>
                <w:sz w:val="21"/>
                <w:szCs w:val="22"/>
              </w:rPr>
              <w:t>生活垃圾</w:t>
            </w:r>
          </w:p>
        </w:tc>
        <w:tc>
          <w:tcPr>
            <w:tcW w:w="1832" w:type="pct"/>
            <w:shd w:val="clear" w:color="auto" w:fill="auto"/>
            <w:vAlign w:val="center"/>
          </w:tcPr>
          <w:p>
            <w:pPr>
              <w:tabs>
                <w:tab w:val="left" w:pos="675"/>
              </w:tabs>
              <w:ind w:left="6"/>
              <w:jc w:val="center"/>
              <w:rPr>
                <w:rFonts w:eastAsia="宋体"/>
                <w:snapToGrid w:val="0"/>
                <w:sz w:val="21"/>
                <w:szCs w:val="22"/>
              </w:rPr>
            </w:pPr>
            <w:r>
              <w:rPr>
                <w:rFonts w:eastAsia="宋体"/>
                <w:sz w:val="21"/>
                <w:szCs w:val="21"/>
              </w:rPr>
              <w:t>收集后交环卫部门集中处理</w:t>
            </w:r>
          </w:p>
        </w:tc>
        <w:tc>
          <w:tcPr>
            <w:tcW w:w="1209" w:type="pct"/>
            <w:vMerge w:val="continue"/>
            <w:shd w:val="clear" w:color="auto" w:fill="auto"/>
            <w:vAlign w:val="center"/>
          </w:tcPr>
          <w:p>
            <w:pPr>
              <w:jc w:val="center"/>
              <w:rPr>
                <w:rFonts w:eastAsia="宋体"/>
                <w:snapToGrid w:val="0"/>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65" w:type="pct"/>
            <w:vAlign w:val="center"/>
          </w:tcPr>
          <w:p>
            <w:pPr>
              <w:jc w:val="center"/>
              <w:rPr>
                <w:rFonts w:eastAsia="宋体"/>
                <w:snapToGrid w:val="0"/>
                <w:sz w:val="21"/>
                <w:szCs w:val="22"/>
              </w:rPr>
            </w:pPr>
            <w:r>
              <w:rPr>
                <w:rFonts w:eastAsia="宋体"/>
                <w:snapToGrid w:val="0"/>
                <w:sz w:val="21"/>
                <w:szCs w:val="22"/>
              </w:rPr>
              <w:t>噪声</w:t>
            </w:r>
          </w:p>
        </w:tc>
        <w:tc>
          <w:tcPr>
            <w:tcW w:w="333" w:type="pct"/>
            <w:vAlign w:val="center"/>
          </w:tcPr>
          <w:p>
            <w:pPr>
              <w:snapToGrid w:val="0"/>
              <w:jc w:val="center"/>
              <w:rPr>
                <w:rFonts w:eastAsia="宋体"/>
                <w:snapToGrid w:val="0"/>
                <w:sz w:val="21"/>
                <w:szCs w:val="22"/>
              </w:rPr>
            </w:pPr>
            <w:r>
              <w:rPr>
                <w:rFonts w:hint="eastAsia" w:eastAsia="宋体"/>
                <w:snapToGrid w:val="0"/>
                <w:sz w:val="21"/>
                <w:szCs w:val="22"/>
              </w:rPr>
              <w:t>营</w:t>
            </w:r>
          </w:p>
          <w:p>
            <w:pPr>
              <w:snapToGrid w:val="0"/>
              <w:jc w:val="center"/>
              <w:rPr>
                <w:rFonts w:eastAsia="宋体"/>
                <w:snapToGrid w:val="0"/>
                <w:sz w:val="21"/>
                <w:szCs w:val="22"/>
              </w:rPr>
            </w:pPr>
            <w:r>
              <w:rPr>
                <w:rFonts w:hint="eastAsia" w:eastAsia="宋体"/>
                <w:snapToGrid w:val="0"/>
                <w:sz w:val="21"/>
                <w:szCs w:val="22"/>
              </w:rPr>
              <w:t>运</w:t>
            </w:r>
          </w:p>
          <w:p>
            <w:pPr>
              <w:snapToGrid w:val="0"/>
              <w:jc w:val="center"/>
              <w:rPr>
                <w:rFonts w:eastAsia="宋体"/>
                <w:snapToGrid w:val="0"/>
                <w:sz w:val="21"/>
                <w:szCs w:val="22"/>
              </w:rPr>
            </w:pPr>
            <w:r>
              <w:rPr>
                <w:rFonts w:hint="eastAsia" w:eastAsia="宋体"/>
                <w:snapToGrid w:val="0"/>
                <w:sz w:val="21"/>
                <w:szCs w:val="22"/>
              </w:rPr>
              <w:t>期</w:t>
            </w:r>
          </w:p>
        </w:tc>
        <w:tc>
          <w:tcPr>
            <w:tcW w:w="4402" w:type="pct"/>
            <w:gridSpan w:val="4"/>
            <w:vAlign w:val="center"/>
          </w:tcPr>
          <w:p>
            <w:pPr>
              <w:spacing w:line="360" w:lineRule="exact"/>
              <w:rPr>
                <w:rFonts w:eastAsia="宋体"/>
                <w:snapToGrid w:val="0"/>
                <w:sz w:val="21"/>
                <w:szCs w:val="22"/>
              </w:rPr>
            </w:pPr>
            <w:r>
              <w:rPr>
                <w:rFonts w:eastAsia="宋体"/>
                <w:sz w:val="21"/>
                <w:szCs w:val="21"/>
              </w:rPr>
              <w:t>在设备选型上首先选用符合国家噪声标准的设备，如主变压器定货时，对设备的噪声指标提出要求，从源头控制噪声，其声源值不得高于70dB（A）。对导线电晕放电的噪声，通过选择高压电气设备、导体等以及按晴天不出现电晕校验选择导线等措施，消除电晕放电噪声。加强植树绿化，以衰减降低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98" w:type="pct"/>
            <w:gridSpan w:val="2"/>
            <w:vAlign w:val="center"/>
          </w:tcPr>
          <w:p>
            <w:pPr>
              <w:jc w:val="center"/>
              <w:rPr>
                <w:rFonts w:eastAsia="宋体"/>
                <w:snapToGrid w:val="0"/>
                <w:sz w:val="21"/>
                <w:szCs w:val="22"/>
              </w:rPr>
            </w:pPr>
            <w:r>
              <w:rPr>
                <w:rFonts w:hint="eastAsia" w:eastAsia="宋体"/>
                <w:snapToGrid w:val="0"/>
                <w:sz w:val="21"/>
                <w:szCs w:val="22"/>
              </w:rPr>
              <w:t>其他</w:t>
            </w:r>
          </w:p>
        </w:tc>
        <w:tc>
          <w:tcPr>
            <w:tcW w:w="4402" w:type="pct"/>
            <w:gridSpan w:val="4"/>
            <w:vAlign w:val="center"/>
          </w:tcPr>
          <w:p>
            <w:pPr>
              <w:spacing w:line="360" w:lineRule="exact"/>
              <w:rPr>
                <w:rFonts w:eastAsia="宋体"/>
                <w:b/>
                <w:sz w:val="21"/>
                <w:szCs w:val="21"/>
              </w:rPr>
            </w:pPr>
            <w:r>
              <w:rPr>
                <w:rFonts w:eastAsia="宋体"/>
                <w:b/>
                <w:sz w:val="21"/>
                <w:szCs w:val="21"/>
              </w:rPr>
              <w:t>电磁环境影响减缓措施及预期治理效果</w:t>
            </w:r>
          </w:p>
          <w:p>
            <w:pPr>
              <w:spacing w:line="360" w:lineRule="exact"/>
              <w:ind w:firstLine="420" w:firstLineChars="200"/>
              <w:rPr>
                <w:rFonts w:eastAsia="宋体"/>
                <w:sz w:val="21"/>
                <w:szCs w:val="21"/>
              </w:rPr>
            </w:pPr>
            <w:r>
              <w:rPr>
                <w:rFonts w:eastAsia="宋体"/>
                <w:sz w:val="21"/>
                <w:szCs w:val="21"/>
              </w:rPr>
              <w:t>对升压站的电气设备进行合理布局，保证导线和电气设备的安全距离，并选用具有抗干扰能力的设备，设置防雷接地保护装置，选用带屏蔽层的电缆，屏蔽层接地等，降低无线电干扰和静电感应的影响；在升压站设备定货时，要求导线、母线、均压环、管母线终端球和其它金具等提高加工工艺，防止尖端放电和起电晕，降低无线电干扰水平。</w:t>
            </w:r>
          </w:p>
          <w:p>
            <w:pPr>
              <w:spacing w:line="360" w:lineRule="exact"/>
              <w:ind w:firstLine="420" w:firstLineChars="200"/>
              <w:rPr>
                <w:rFonts w:eastAsia="宋体"/>
                <w:sz w:val="21"/>
                <w:szCs w:val="21"/>
              </w:rPr>
            </w:pPr>
            <w:r>
              <w:rPr>
                <w:rFonts w:eastAsia="宋体"/>
                <w:sz w:val="21"/>
                <w:szCs w:val="21"/>
              </w:rPr>
              <w:t>配套线路采取的措施包括合理选择导线、金具及绝缘子等电气设备、设施，经过不同地区时严格按照规程设计导线对地距离、交叉跨越距离等。</w:t>
            </w:r>
          </w:p>
          <w:p>
            <w:pPr>
              <w:spacing w:line="360" w:lineRule="exact"/>
              <w:ind w:firstLine="420" w:firstLineChars="200"/>
              <w:rPr>
                <w:rFonts w:eastAsia="宋体"/>
                <w:sz w:val="21"/>
                <w:szCs w:val="21"/>
              </w:rPr>
            </w:pPr>
            <w:r>
              <w:rPr>
                <w:rFonts w:eastAsia="宋体"/>
                <w:sz w:val="21"/>
                <w:szCs w:val="21"/>
              </w:rPr>
              <w:t>已听取政府部门、环保部门、规划部门、铁路部门和当地受影响群众的意见，优化设计，线路路径尽量避开居民区，根据现场调查，规划路径30m范围内有居民居住。线路与公路、通讯线、电力线、河流交叉跨越时，严格按照规范要求留有足够净空距离，具体要求见表1-4和表1-5。</w:t>
            </w:r>
          </w:p>
          <w:p>
            <w:pPr>
              <w:spacing w:line="360" w:lineRule="exact"/>
              <w:ind w:firstLine="420" w:firstLineChars="200"/>
              <w:rPr>
                <w:rFonts w:eastAsia="宋体"/>
                <w:sz w:val="21"/>
                <w:szCs w:val="21"/>
              </w:rPr>
            </w:pPr>
            <w:r>
              <w:rPr>
                <w:rFonts w:eastAsia="宋体"/>
                <w:sz w:val="21"/>
                <w:szCs w:val="21"/>
              </w:rPr>
              <w:t>采取以上措施后，工程附近评价范围内居民类敏感点的电磁环境能够分别满足相应标准。</w:t>
            </w:r>
          </w:p>
          <w:p>
            <w:pPr>
              <w:spacing w:line="360" w:lineRule="exact"/>
              <w:rPr>
                <w:rFonts w:eastAsia="宋体"/>
                <w:sz w:val="21"/>
                <w:szCs w:val="21"/>
              </w:rPr>
            </w:pPr>
            <w:r>
              <w:rPr>
                <w:rFonts w:eastAsia="宋体"/>
                <w:sz w:val="21"/>
                <w:szCs w:val="21"/>
              </w:rPr>
              <w:t>环境风险减缓措施及预期治理效果</w:t>
            </w:r>
          </w:p>
          <w:p>
            <w:pPr>
              <w:spacing w:line="360" w:lineRule="exact"/>
              <w:ind w:firstLine="420" w:firstLineChars="200"/>
              <w:rPr>
                <w:rFonts w:eastAsia="宋体"/>
                <w:sz w:val="21"/>
                <w:szCs w:val="21"/>
              </w:rPr>
            </w:pPr>
            <w:r>
              <w:rPr>
                <w:rFonts w:eastAsia="宋体"/>
                <w:sz w:val="21"/>
                <w:szCs w:val="21"/>
              </w:rPr>
              <w:t>升压站变压器为了绝缘和冷却的需要，其外壳内装有大量变压器油，正常情况下变压器油不外排，在事故和检修过程中可能有油的泄漏。因此，本工程升压站内需设有事故集油池，收集事故状态下的变压器油。</w:t>
            </w:r>
          </w:p>
          <w:p>
            <w:pPr>
              <w:spacing w:line="360" w:lineRule="exact"/>
              <w:ind w:firstLine="420" w:firstLineChars="200"/>
              <w:rPr>
                <w:rFonts w:eastAsia="宋体"/>
                <w:sz w:val="21"/>
                <w:szCs w:val="21"/>
              </w:rPr>
            </w:pPr>
            <w:r>
              <w:rPr>
                <w:rFonts w:eastAsia="宋体"/>
                <w:sz w:val="21"/>
                <w:szCs w:val="21"/>
              </w:rPr>
              <w:t>废变压器油属于危险废物，为避免其污染环境，进入事故油池中的废油不得随意处置，必须由经环保部门批准后，由具有相应资格的危险废物处理机构进行妥善处理。</w:t>
            </w:r>
          </w:p>
          <w:p>
            <w:pPr>
              <w:spacing w:line="360" w:lineRule="exact"/>
              <w:ind w:firstLine="420" w:firstLineChars="200"/>
              <w:rPr>
                <w:rFonts w:eastAsia="宋体"/>
                <w:snapToGrid w:val="0"/>
                <w:sz w:val="21"/>
                <w:szCs w:val="22"/>
              </w:rPr>
            </w:pPr>
            <w:r>
              <w:rPr>
                <w:rFonts w:eastAsia="宋体"/>
                <w:sz w:val="21"/>
                <w:szCs w:val="21"/>
              </w:rPr>
              <w:t>采取以上措施后，工程的环境风险可以大大的减小。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000" w:type="pct"/>
            <w:gridSpan w:val="6"/>
            <w:vAlign w:val="center"/>
          </w:tcPr>
          <w:p>
            <w:pPr>
              <w:spacing w:line="520" w:lineRule="exact"/>
              <w:rPr>
                <w:rFonts w:ascii="黑体" w:hAnsi="黑体" w:eastAsia="黑体"/>
                <w:snapToGrid w:val="0"/>
                <w:szCs w:val="28"/>
              </w:rPr>
            </w:pPr>
            <w:r>
              <w:rPr>
                <w:rFonts w:ascii="黑体" w:hAnsi="黑体" w:eastAsia="黑体"/>
                <w:snapToGrid w:val="0"/>
                <w:szCs w:val="28"/>
              </w:rPr>
              <w:t>生态保护措施及预期效果</w:t>
            </w:r>
          </w:p>
          <w:p>
            <w:pPr>
              <w:autoSpaceDE w:val="0"/>
              <w:autoSpaceDN w:val="0"/>
              <w:adjustRightInd w:val="0"/>
              <w:spacing w:line="520" w:lineRule="exact"/>
              <w:ind w:firstLine="480" w:firstLineChars="200"/>
              <w:jc w:val="left"/>
            </w:pPr>
            <w:r>
              <w:rPr>
                <w:rFonts w:eastAsia="宋体"/>
                <w:sz w:val="24"/>
              </w:rPr>
              <w:t>本工程属新建工程，目前项目进度已完成，在项目建设过程中，按照设计要求，严格控制土地开挖量及开挖范围，施工时基础开挖多余的土石方不允许就地倾倒，采取回填、异地回填、弃渣场处置等方式妥善处置；减少人员的践踏，合理堆放弃石、弃渣，在各塔基施工完成后，立即清理施工迹地，严禁随地堆放弃石、弃渣，使临时占地恢复原有土地功能。</w:t>
            </w:r>
          </w:p>
          <w:p>
            <w:pPr>
              <w:spacing w:line="520" w:lineRule="exact"/>
              <w:ind w:firstLine="480" w:firstLineChars="200"/>
              <w:rPr>
                <w:rFonts w:eastAsia="宋体"/>
                <w:sz w:val="24"/>
              </w:rPr>
            </w:pPr>
            <w:r>
              <w:rPr>
                <w:rFonts w:eastAsia="宋体"/>
                <w:sz w:val="24"/>
              </w:rPr>
              <w:t>对于永久占地造成的植被破坏，业主严格按照有关规定向政府和主管部门缴纳相关青苗补偿费，并由相关部门统一安排。对于临时占地所破坏的植被，在施工过程中尽量减少人员对绿地的践踏，合理堆放弃石、弃渣；在各塔基施工完成后，立即清理施工迹地，严禁随地堆放弃石、弃渣，使施工临时占地范围内植被得以恢复。</w:t>
            </w:r>
          </w:p>
          <w:p>
            <w:pPr>
              <w:pStyle w:val="28"/>
              <w:spacing w:line="520" w:lineRule="exact"/>
              <w:ind w:firstLine="480" w:firstLineChars="200"/>
              <w:rPr>
                <w:b w:val="0"/>
              </w:rPr>
            </w:pPr>
            <w:r>
              <w:rPr>
                <w:b w:val="0"/>
              </w:rPr>
              <w:t>本项目目前施工进度已完成，在现场勘察时发现有部分塔基所占用土地还未进行绿化，现已向企业提出合理整改措施，春耕时对塔基所占地务必进行复耕及绿化，多余的土石方量进行回填。</w:t>
            </w:r>
          </w:p>
          <w:p>
            <w:pPr>
              <w:spacing w:line="360" w:lineRule="auto"/>
              <w:ind w:firstLine="480" w:firstLineChars="200"/>
              <w:rPr>
                <w:rFonts w:hAnsi="宋体" w:eastAsia="宋体"/>
                <w:snapToGrid w:val="0"/>
                <w:sz w:val="24"/>
              </w:rPr>
            </w:pPr>
          </w:p>
          <w:p>
            <w:pPr>
              <w:spacing w:line="360" w:lineRule="auto"/>
              <w:ind w:firstLine="480" w:firstLineChars="200"/>
              <w:rPr>
                <w:rFonts w:hAnsi="宋体" w:eastAsia="宋体"/>
                <w:snapToGrid w:val="0"/>
                <w:sz w:val="24"/>
              </w:rPr>
            </w:pPr>
          </w:p>
          <w:p>
            <w:pPr>
              <w:spacing w:line="360" w:lineRule="auto"/>
              <w:ind w:firstLine="480" w:firstLineChars="200"/>
              <w:rPr>
                <w:rFonts w:hAnsi="宋体" w:eastAsia="宋体"/>
                <w:snapToGrid w:val="0"/>
                <w:sz w:val="24"/>
              </w:rPr>
            </w:pPr>
          </w:p>
          <w:p>
            <w:pPr>
              <w:spacing w:line="360" w:lineRule="auto"/>
              <w:ind w:firstLine="480" w:firstLineChars="200"/>
              <w:rPr>
                <w:rFonts w:hAnsi="宋体" w:eastAsia="宋体"/>
                <w:snapToGrid w:val="0"/>
                <w:sz w:val="24"/>
              </w:rPr>
            </w:pPr>
          </w:p>
          <w:p>
            <w:pPr>
              <w:spacing w:line="360" w:lineRule="auto"/>
              <w:ind w:firstLine="480" w:firstLineChars="200"/>
              <w:rPr>
                <w:rFonts w:hAnsi="宋体" w:eastAsia="宋体"/>
                <w:snapToGrid w:val="0"/>
                <w:sz w:val="24"/>
              </w:rPr>
            </w:pPr>
          </w:p>
          <w:p>
            <w:pPr>
              <w:spacing w:line="360" w:lineRule="auto"/>
              <w:ind w:firstLine="480" w:firstLineChars="200"/>
              <w:rPr>
                <w:rFonts w:hAnsi="宋体" w:eastAsia="宋体"/>
                <w:snapToGrid w:val="0"/>
                <w:sz w:val="24"/>
              </w:rPr>
            </w:pPr>
          </w:p>
          <w:p>
            <w:pPr>
              <w:spacing w:line="360" w:lineRule="auto"/>
              <w:rPr>
                <w:rFonts w:hAnsi="宋体" w:eastAsia="宋体"/>
                <w:snapToGrid w:val="0"/>
                <w:sz w:val="24"/>
              </w:rPr>
            </w:pPr>
          </w:p>
          <w:p>
            <w:pPr>
              <w:spacing w:line="360" w:lineRule="auto"/>
              <w:rPr>
                <w:rFonts w:hAnsi="宋体" w:eastAsia="宋体"/>
                <w:snapToGrid w:val="0"/>
                <w:sz w:val="24"/>
              </w:rPr>
            </w:pPr>
          </w:p>
          <w:p>
            <w:pPr>
              <w:spacing w:line="360" w:lineRule="auto"/>
              <w:ind w:firstLine="480" w:firstLineChars="200"/>
              <w:rPr>
                <w:rFonts w:hAnsi="宋体" w:eastAsia="宋体"/>
                <w:snapToGrid w:val="0"/>
                <w:sz w:val="24"/>
              </w:rPr>
            </w:pPr>
          </w:p>
          <w:p>
            <w:pPr>
              <w:spacing w:line="360" w:lineRule="auto"/>
              <w:rPr>
                <w:rFonts w:eastAsia="宋体"/>
                <w:snapToGrid w:val="0"/>
                <w:sz w:val="24"/>
                <w:szCs w:val="28"/>
              </w:rPr>
            </w:pPr>
          </w:p>
        </w:tc>
      </w:tr>
    </w:tbl>
    <w:p>
      <w:pPr>
        <w:rPr>
          <w:rFonts w:eastAsia="宋体"/>
          <w:b/>
          <w:bCs/>
          <w:sz w:val="24"/>
          <w:szCs w:val="30"/>
        </w:rPr>
      </w:pPr>
    </w:p>
    <w:p>
      <w:pPr>
        <w:spacing w:line="360" w:lineRule="auto"/>
        <w:outlineLvl w:val="0"/>
        <w:rPr>
          <w:rFonts w:eastAsia="宋体"/>
          <w:b/>
          <w:color w:val="000000"/>
          <w:sz w:val="30"/>
          <w:szCs w:val="30"/>
        </w:rPr>
      </w:pPr>
      <w:bookmarkStart w:id="32" w:name="_Toc37923287"/>
      <w:r>
        <w:rPr>
          <w:rFonts w:eastAsia="宋体"/>
          <w:b/>
          <w:color w:val="000000"/>
          <w:sz w:val="30"/>
          <w:szCs w:val="30"/>
        </w:rPr>
        <w:t>九、环保措施及竣工环境保护一览表</w:t>
      </w:r>
      <w:bookmarkEnd w:id="32"/>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287" w:type="dxa"/>
          </w:tcPr>
          <w:p>
            <w:pPr>
              <w:pStyle w:val="4"/>
              <w:spacing w:line="520" w:lineRule="exact"/>
              <w:ind w:firstLine="480" w:firstLineChars="200"/>
              <w:rPr>
                <w:rFonts w:ascii="Times New Roman" w:hAnsi="黑体"/>
                <w:sz w:val="24"/>
                <w:szCs w:val="21"/>
              </w:rPr>
            </w:pPr>
            <w:bookmarkStart w:id="33" w:name="_Ref274304771"/>
            <w:bookmarkStart w:id="34" w:name="_Toc437271419"/>
            <w:bookmarkStart w:id="35" w:name="_Toc437271347"/>
            <w:bookmarkStart w:id="36" w:name="_Toc433361760"/>
            <w:bookmarkStart w:id="37" w:name="_Toc424225484"/>
            <w:bookmarkStart w:id="38" w:name="_Toc466491474"/>
            <w:bookmarkStart w:id="39" w:name="_Toc485813634"/>
            <w:r>
              <w:rPr>
                <w:rFonts w:ascii="Times New Roman" w:hAnsi="黑体"/>
                <w:sz w:val="24"/>
                <w:szCs w:val="21"/>
              </w:rPr>
              <w:t>表</w:t>
            </w:r>
            <w:bookmarkEnd w:id="33"/>
            <w:r>
              <w:rPr>
                <w:rFonts w:ascii="Times New Roman" w:hAnsi="黑体"/>
                <w:sz w:val="24"/>
                <w:szCs w:val="21"/>
              </w:rPr>
              <w:t>9-1          工程采取的环境保护措施一览表</w:t>
            </w:r>
            <w:bookmarkEnd w:id="34"/>
            <w:bookmarkEnd w:id="35"/>
            <w:bookmarkEnd w:id="36"/>
            <w:bookmarkEnd w:id="37"/>
            <w:bookmarkEnd w:id="38"/>
            <w:bookmarkEnd w:id="39"/>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15"/>
              <w:gridCol w:w="1299"/>
              <w:gridCol w:w="64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blHeader/>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序号</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环境影响</w:t>
                  </w:r>
                </w:p>
                <w:p>
                  <w:pPr>
                    <w:pStyle w:val="25"/>
                    <w:spacing w:line="360" w:lineRule="exact"/>
                    <w:rPr>
                      <w:rFonts w:ascii="Times New Roman" w:hAnsi="Times New Roman"/>
                      <w:color w:val="000000"/>
                      <w:szCs w:val="21"/>
                    </w:rPr>
                  </w:pPr>
                  <w:r>
                    <w:rPr>
                      <w:rFonts w:ascii="Times New Roman" w:hAnsi="Times New Roman"/>
                      <w:color w:val="000000"/>
                      <w:szCs w:val="21"/>
                    </w:rPr>
                    <w:t>因素</w:t>
                  </w:r>
                </w:p>
              </w:tc>
              <w:tc>
                <w:tcPr>
                  <w:tcW w:w="3908"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环境保护措施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5000" w:type="pct"/>
                  <w:gridSpan w:val="3"/>
                  <w:vAlign w:val="center"/>
                </w:tcPr>
                <w:p>
                  <w:pPr>
                    <w:pStyle w:val="25"/>
                    <w:spacing w:line="360" w:lineRule="exact"/>
                    <w:rPr>
                      <w:rFonts w:ascii="Times New Roman" w:hAnsi="Times New Roman"/>
                      <w:b/>
                      <w:color w:val="000000"/>
                      <w:szCs w:val="21"/>
                    </w:rPr>
                  </w:pPr>
                  <w:r>
                    <w:rPr>
                      <w:rFonts w:ascii="Times New Roman" w:hAnsi="Times New Roman"/>
                      <w:color w:val="000000"/>
                      <w:szCs w:val="21"/>
                    </w:rPr>
                    <w:t>设计阶段采取的环保措施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1</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电磁环境</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1、工程选址、选线时避让城镇规划区、村庄密集区、环境敏感区。</w:t>
                  </w:r>
                </w:p>
                <w:p>
                  <w:pPr>
                    <w:pStyle w:val="25"/>
                    <w:spacing w:line="360" w:lineRule="exact"/>
                    <w:jc w:val="both"/>
                    <w:rPr>
                      <w:rFonts w:ascii="Times New Roman" w:hAnsi="Times New Roman"/>
                      <w:color w:val="000000"/>
                      <w:szCs w:val="21"/>
                    </w:rPr>
                  </w:pPr>
                  <w:r>
                    <w:rPr>
                      <w:rFonts w:ascii="Times New Roman" w:hAnsi="Times New Roman"/>
                      <w:color w:val="000000"/>
                      <w:szCs w:val="21"/>
                    </w:rPr>
                    <w:t>2、通过选择配电架构高度、对地和相间距离，控制设备间连线离地面的最低高度，从而保证地面工频电场符合标准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2</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声环境</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1、对电晕放电的噪声，通过选择高压电气设备、导体等以及按晴天不出现电晕校验选择导线等措施，消除电晕放电噪声。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5000" w:type="pct"/>
                  <w:gridSpan w:val="3"/>
                  <w:vAlign w:val="center"/>
                </w:tcPr>
                <w:p>
                  <w:pPr>
                    <w:pStyle w:val="25"/>
                    <w:spacing w:line="360" w:lineRule="exact"/>
                    <w:rPr>
                      <w:rFonts w:ascii="Times New Roman" w:hAnsi="Times New Roman"/>
                      <w:color w:val="000000"/>
                      <w:szCs w:val="21"/>
                    </w:rPr>
                  </w:pPr>
                  <w:r>
                    <w:rPr>
                      <w:rFonts w:ascii="Times New Roman" w:hAnsi="Times New Roman"/>
                      <w:color w:val="000000"/>
                      <w:szCs w:val="21"/>
                    </w:rPr>
                    <w:t>施工阶段采取的环保措施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3</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施工扬尘</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1、加强材料转运、存放与使用的管理，合理装卸，规范操作，对于易起尘的材料应采取覆盖措施。</w:t>
                  </w:r>
                </w:p>
                <w:p>
                  <w:pPr>
                    <w:pStyle w:val="25"/>
                    <w:spacing w:line="360" w:lineRule="exact"/>
                    <w:jc w:val="both"/>
                    <w:rPr>
                      <w:rFonts w:ascii="Times New Roman" w:hAnsi="Times New Roman"/>
                      <w:color w:val="000000"/>
                      <w:szCs w:val="21"/>
                    </w:rPr>
                  </w:pPr>
                  <w:r>
                    <w:rPr>
                      <w:rFonts w:ascii="Times New Roman" w:hAnsi="Times New Roman"/>
                      <w:color w:val="000000"/>
                      <w:szCs w:val="21"/>
                    </w:rPr>
                    <w:t>2、进出场地的车辆限制车速，场内道路、堆场及车辆进出道路应定时洒水，保持湿润，避免或减少产生扬尘。</w:t>
                  </w:r>
                </w:p>
                <w:p>
                  <w:pPr>
                    <w:pStyle w:val="25"/>
                    <w:spacing w:line="360" w:lineRule="exact"/>
                    <w:jc w:val="both"/>
                    <w:rPr>
                      <w:rFonts w:ascii="Times New Roman" w:hAnsi="Times New Roman"/>
                      <w:color w:val="000000"/>
                      <w:szCs w:val="21"/>
                    </w:rPr>
                  </w:pPr>
                  <w:r>
                    <w:rPr>
                      <w:rFonts w:ascii="Times New Roman" w:hAnsi="Times New Roman"/>
                      <w:color w:val="000000"/>
                      <w:szCs w:val="21"/>
                    </w:rPr>
                    <w:t>3、合理组织施工，尽量避免扬尘二次污染。</w:t>
                  </w:r>
                </w:p>
                <w:p>
                  <w:pPr>
                    <w:pStyle w:val="25"/>
                    <w:spacing w:line="360" w:lineRule="exact"/>
                    <w:jc w:val="both"/>
                    <w:rPr>
                      <w:rFonts w:ascii="Times New Roman" w:hAnsi="Times New Roman"/>
                      <w:color w:val="000000"/>
                      <w:szCs w:val="21"/>
                    </w:rPr>
                  </w:pPr>
                  <w:r>
                    <w:rPr>
                      <w:rFonts w:ascii="Times New Roman" w:hAnsi="Times New Roman"/>
                      <w:color w:val="000000"/>
                      <w:szCs w:val="21"/>
                    </w:rPr>
                    <w:t>4、施工弃土弃渣应集中、合理堆放，遇天气干燥时应进行人工控制定期洒水。</w:t>
                  </w:r>
                </w:p>
                <w:p>
                  <w:pPr>
                    <w:pStyle w:val="25"/>
                    <w:spacing w:line="360" w:lineRule="exact"/>
                    <w:jc w:val="both"/>
                    <w:rPr>
                      <w:rFonts w:ascii="Times New Roman" w:hAnsi="Times New Roman"/>
                      <w:color w:val="000000"/>
                      <w:szCs w:val="21"/>
                    </w:rPr>
                  </w:pPr>
                  <w:r>
                    <w:rPr>
                      <w:rFonts w:ascii="Times New Roman" w:hAnsi="Times New Roman"/>
                      <w:color w:val="000000"/>
                      <w:szCs w:val="21"/>
                    </w:rPr>
                    <w:t>5、在施工现场周围建筑防护围墙，进出场地的车辆应限制车速。</w:t>
                  </w:r>
                </w:p>
                <w:p>
                  <w:pPr>
                    <w:pStyle w:val="25"/>
                    <w:spacing w:line="360" w:lineRule="exact"/>
                    <w:jc w:val="both"/>
                    <w:rPr>
                      <w:rFonts w:ascii="Times New Roman" w:hAnsi="Times New Roman"/>
                      <w:color w:val="000000"/>
                      <w:szCs w:val="21"/>
                    </w:rPr>
                  </w:pPr>
                  <w:r>
                    <w:rPr>
                      <w:rFonts w:ascii="Times New Roman" w:hAnsi="Times New Roman"/>
                      <w:color w:val="000000"/>
                      <w:szCs w:val="21"/>
                    </w:rPr>
                    <w:t>6、塔基施工表土开挖时，对临时堆砌的土方进行合理遮盖，减少大风天气引起的二次扬尘，施工完毕后及时进行回填压实。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4</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施工污水</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1、施工废水经沉淀池处理后，综合利用，不得外排，</w:t>
                  </w:r>
                </w:p>
                <w:p>
                  <w:pPr>
                    <w:pStyle w:val="25"/>
                    <w:spacing w:line="360" w:lineRule="exact"/>
                    <w:jc w:val="both"/>
                    <w:rPr>
                      <w:rFonts w:ascii="Times New Roman" w:hAnsi="Times New Roman"/>
                      <w:color w:val="000000"/>
                      <w:szCs w:val="21"/>
                    </w:rPr>
                  </w:pPr>
                  <w:r>
                    <w:rPr>
                      <w:rFonts w:ascii="Times New Roman" w:hAnsi="Times New Roman"/>
                      <w:color w:val="000000"/>
                      <w:szCs w:val="21"/>
                    </w:rPr>
                    <w:t>2、在不影响主设备区施工进度的前提下，合理施工组织，先行修筑生活污水处理设施，对施工生活污水进行处理，避免污染环境。</w:t>
                  </w:r>
                </w:p>
                <w:p>
                  <w:pPr>
                    <w:pStyle w:val="25"/>
                    <w:spacing w:line="360" w:lineRule="exact"/>
                    <w:jc w:val="both"/>
                    <w:rPr>
                      <w:rFonts w:ascii="Times New Roman" w:hAnsi="Times New Roman"/>
                      <w:color w:val="000000"/>
                      <w:szCs w:val="21"/>
                    </w:rPr>
                  </w:pPr>
                  <w:r>
                    <w:rPr>
                      <w:rFonts w:ascii="Times New Roman" w:hAnsi="Times New Roman"/>
                      <w:color w:val="000000"/>
                      <w:szCs w:val="21"/>
                    </w:rPr>
                    <w:t>3、将物料、车辆清洗废水、建筑结构养护废水集中，经过格栅、沉砂处理回用。</w:t>
                  </w:r>
                </w:p>
                <w:p>
                  <w:pPr>
                    <w:spacing w:line="360" w:lineRule="exact"/>
                    <w:rPr>
                      <w:rFonts w:eastAsia="宋体"/>
                      <w:color w:val="000000"/>
                      <w:kern w:val="0"/>
                      <w:sz w:val="21"/>
                      <w:szCs w:val="21"/>
                    </w:rPr>
                  </w:pPr>
                  <w:r>
                    <w:rPr>
                      <w:rFonts w:eastAsia="宋体"/>
                      <w:sz w:val="21"/>
                      <w:szCs w:val="21"/>
                    </w:rPr>
                    <w:t>4、</w:t>
                  </w:r>
                  <w:r>
                    <w:rPr>
                      <w:rFonts w:eastAsia="宋体"/>
                      <w:color w:val="000000"/>
                      <w:kern w:val="0"/>
                      <w:sz w:val="21"/>
                      <w:szCs w:val="21"/>
                    </w:rPr>
                    <w:t>施工单位要做好施工场地周围的拦挡措施，避免雨季开挖作业。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5</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施工噪声</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1、运输材料的车辆进入施工现场限制鸣笛，装卸材料时应做到轻拿轻放。</w:t>
                  </w:r>
                </w:p>
                <w:p>
                  <w:pPr>
                    <w:spacing w:line="360" w:lineRule="exact"/>
                    <w:rPr>
                      <w:rFonts w:eastAsia="宋体"/>
                      <w:color w:val="000000"/>
                      <w:kern w:val="0"/>
                      <w:sz w:val="21"/>
                      <w:szCs w:val="21"/>
                    </w:rPr>
                  </w:pPr>
                  <w:r>
                    <w:rPr>
                      <w:rFonts w:eastAsia="宋体"/>
                      <w:color w:val="000000"/>
                      <w:kern w:val="0"/>
                      <w:sz w:val="21"/>
                      <w:szCs w:val="21"/>
                    </w:rPr>
                    <w:t>2、将噪声级较高的设备工作安排在昼间进行，并在施工过程中加强监控；如需夜间施工，需要按《环境噪声污染防治法》的规定，取得县级以上人民政府或者其有关主管部门的证明，并公告附近居民，同时在夜间施工时禁止使用产生较大噪声的机械设备如推土机、挖土机等，禁止夜间打桩作业，使施工场界噪声《建筑施工场界环境噪声排放标准》（GB 12523-2011）限值要求。</w:t>
                  </w:r>
                </w:p>
                <w:p>
                  <w:pPr>
                    <w:spacing w:line="360" w:lineRule="exact"/>
                    <w:rPr>
                      <w:rFonts w:eastAsia="宋体"/>
                      <w:sz w:val="21"/>
                      <w:szCs w:val="21"/>
                    </w:rPr>
                  </w:pPr>
                  <w:r>
                    <w:rPr>
                      <w:rFonts w:eastAsia="宋体"/>
                      <w:color w:val="000000"/>
                      <w:kern w:val="0"/>
                      <w:sz w:val="21"/>
                      <w:szCs w:val="21"/>
                    </w:rPr>
                    <w:t>3、</w:t>
                  </w:r>
                  <w:r>
                    <w:rPr>
                      <w:rFonts w:eastAsia="宋体"/>
                      <w:sz w:val="21"/>
                      <w:szCs w:val="21"/>
                    </w:rPr>
                    <w:t>升压站施工场地周围建立围墙等遮挡措施。</w:t>
                  </w:r>
                </w:p>
                <w:p>
                  <w:pPr>
                    <w:spacing w:line="360" w:lineRule="exact"/>
                    <w:rPr>
                      <w:rFonts w:eastAsia="宋体"/>
                      <w:sz w:val="21"/>
                      <w:szCs w:val="21"/>
                    </w:rPr>
                  </w:pPr>
                  <w:r>
                    <w:rPr>
                      <w:rFonts w:eastAsia="宋体"/>
                      <w:sz w:val="21"/>
                      <w:szCs w:val="21"/>
                    </w:rPr>
                    <w:t>4、施工单位采用噪声水平满足国家相应标准的施工机械设备或带隔声、消声的设备，控制设备噪声源强。</w:t>
                  </w:r>
                </w:p>
                <w:p>
                  <w:pPr>
                    <w:spacing w:line="360" w:lineRule="exact"/>
                    <w:rPr>
                      <w:rFonts w:eastAsia="宋体"/>
                      <w:sz w:val="21"/>
                      <w:szCs w:val="21"/>
                    </w:rPr>
                  </w:pPr>
                  <w:r>
                    <w:rPr>
                      <w:rFonts w:eastAsia="宋体"/>
                      <w:sz w:val="21"/>
                      <w:szCs w:val="21"/>
                    </w:rPr>
                    <w:t>5、施工单位文明施工，加强施工期的环境管理和环境监控工作，并接受环境保护部门的监督管理。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6</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水土保持</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1、工程施工区域相对集中，工程开挖面将视工程需要采取不同的治理措施。</w:t>
                  </w:r>
                </w:p>
                <w:p>
                  <w:pPr>
                    <w:pStyle w:val="25"/>
                    <w:spacing w:line="360" w:lineRule="exact"/>
                    <w:jc w:val="both"/>
                    <w:rPr>
                      <w:rFonts w:ascii="Times New Roman" w:hAnsi="Times New Roman"/>
                      <w:color w:val="000000"/>
                      <w:szCs w:val="21"/>
                    </w:rPr>
                  </w:pPr>
                  <w:r>
                    <w:rPr>
                      <w:rFonts w:ascii="Times New Roman" w:hAnsi="Times New Roman"/>
                      <w:color w:val="000000"/>
                      <w:szCs w:val="21"/>
                    </w:rPr>
                    <w:t>2、塔基开挖面及时平整，弃土清运到当地有关部门指定地点。合理组织施工，减少占用临时施工用地。</w:t>
                  </w:r>
                </w:p>
                <w:p>
                  <w:pPr>
                    <w:pStyle w:val="25"/>
                    <w:spacing w:line="360" w:lineRule="exact"/>
                    <w:jc w:val="both"/>
                    <w:rPr>
                      <w:rFonts w:ascii="Times New Roman" w:hAnsi="Times New Roman"/>
                      <w:color w:val="000000"/>
                      <w:szCs w:val="21"/>
                    </w:rPr>
                  </w:pPr>
                  <w:r>
                    <w:rPr>
                      <w:rFonts w:ascii="Times New Roman" w:hAnsi="Times New Roman"/>
                      <w:color w:val="000000"/>
                      <w:szCs w:val="21"/>
                    </w:rPr>
                    <w:t>3、施工用地完成后对临时征用土地进行恢复。</w:t>
                  </w:r>
                </w:p>
                <w:p>
                  <w:pPr>
                    <w:pStyle w:val="25"/>
                    <w:spacing w:line="360" w:lineRule="exact"/>
                    <w:jc w:val="both"/>
                    <w:rPr>
                      <w:rFonts w:ascii="Times New Roman" w:hAnsi="Times New Roman"/>
                      <w:color w:val="000000"/>
                      <w:szCs w:val="21"/>
                    </w:rPr>
                  </w:pPr>
                  <w:r>
                    <w:rPr>
                      <w:rFonts w:ascii="Times New Roman" w:hAnsi="Times New Roman"/>
                      <w:color w:val="000000"/>
                      <w:szCs w:val="21"/>
                    </w:rPr>
                    <w:t>4、施工时注意对生态环境的保护。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7</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施工固废</w:t>
                  </w:r>
                </w:p>
              </w:tc>
              <w:tc>
                <w:tcPr>
                  <w:tcW w:w="3908" w:type="pct"/>
                  <w:vAlign w:val="center"/>
                </w:tcPr>
                <w:p>
                  <w:pPr>
                    <w:spacing w:line="360" w:lineRule="exact"/>
                    <w:rPr>
                      <w:rFonts w:eastAsia="宋体"/>
                      <w:sz w:val="21"/>
                      <w:szCs w:val="21"/>
                    </w:rPr>
                  </w:pPr>
                  <w:r>
                    <w:rPr>
                      <w:rFonts w:eastAsia="宋体"/>
                      <w:color w:val="000000"/>
                      <w:sz w:val="21"/>
                      <w:szCs w:val="21"/>
                    </w:rPr>
                    <w:t>在工程施工前</w:t>
                  </w:r>
                  <w:r>
                    <w:rPr>
                      <w:rFonts w:hint="eastAsia" w:eastAsia="宋体"/>
                      <w:color w:val="000000"/>
                      <w:sz w:val="21"/>
                      <w:szCs w:val="21"/>
                    </w:rPr>
                    <w:t>做</w:t>
                  </w:r>
                  <w:r>
                    <w:rPr>
                      <w:rFonts w:eastAsia="宋体"/>
                      <w:color w:val="000000"/>
                      <w:sz w:val="21"/>
                      <w:szCs w:val="21"/>
                    </w:rPr>
                    <w:t>好施工机构及施工人员的环保培训，明确要求施工过程中的建筑垃圾及生活垃圾应分别堆放，并安排专人专车及时清运或定期运至环卫部门指定的地点处置。工程施工前应作好施工机构及施工人员的环保培训，明确要求施工过程中的建筑垃圾及生活垃圾应分别堆放，并安排专人专车及时清运或定期运至环卫部门指定的地点处置，使工程建设产生的垃圾处于可控状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8</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环境管理</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对当地群众进行有关高压送电线路和设备方面的环境宣传工作。依法进行运行期的环境管理工作。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9</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交通运输</w:t>
                  </w:r>
                </w:p>
              </w:tc>
              <w:tc>
                <w:tcPr>
                  <w:tcW w:w="3908" w:type="pct"/>
                  <w:vAlign w:val="center"/>
                </w:tcPr>
                <w:p>
                  <w:pPr>
                    <w:pStyle w:val="25"/>
                    <w:spacing w:line="360" w:lineRule="exact"/>
                    <w:jc w:val="both"/>
                    <w:rPr>
                      <w:rFonts w:ascii="Times New Roman" w:hAnsi="Times New Roman"/>
                      <w:color w:val="000000"/>
                      <w:szCs w:val="21"/>
                    </w:rPr>
                  </w:pPr>
                  <w:r>
                    <w:rPr>
                      <w:rFonts w:ascii="Times New Roman" w:hAnsi="Times New Roman"/>
                      <w:color w:val="000000"/>
                      <w:szCs w:val="21"/>
                    </w:rPr>
                    <w:t>1、合理组织运输，大件运输应选择在交通低峰期进行，避免交通拥堵。</w:t>
                  </w:r>
                </w:p>
                <w:p>
                  <w:pPr>
                    <w:pStyle w:val="25"/>
                    <w:spacing w:line="360" w:lineRule="exact"/>
                    <w:jc w:val="both"/>
                    <w:rPr>
                      <w:rFonts w:ascii="Times New Roman" w:hAnsi="Times New Roman"/>
                      <w:color w:val="000000"/>
                      <w:szCs w:val="21"/>
                    </w:rPr>
                  </w:pPr>
                  <w:r>
                    <w:rPr>
                      <w:rFonts w:ascii="Times New Roman" w:hAnsi="Times New Roman"/>
                      <w:color w:val="000000"/>
                      <w:szCs w:val="21"/>
                    </w:rPr>
                    <w:t>2、施工运输车辆进出控制车速，以减少扬尘和散落料，避免对道路附近环境空气及路面清洁造成影响。</w:t>
                  </w:r>
                </w:p>
                <w:p>
                  <w:pPr>
                    <w:pStyle w:val="25"/>
                    <w:spacing w:line="360" w:lineRule="exact"/>
                    <w:jc w:val="both"/>
                    <w:rPr>
                      <w:rFonts w:ascii="Times New Roman" w:hAnsi="Times New Roman"/>
                      <w:color w:val="000000"/>
                      <w:szCs w:val="21"/>
                    </w:rPr>
                  </w:pPr>
                  <w:r>
                    <w:rPr>
                      <w:rFonts w:ascii="Times New Roman" w:hAnsi="Times New Roman"/>
                      <w:color w:val="000000"/>
                      <w:szCs w:val="21"/>
                    </w:rPr>
                    <w:t>3、对运输车辆司机进行严格的培训教育，禁止随意鸣笛，避免噪声对道路附近居民产生影响。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10</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生态环境</w:t>
                  </w:r>
                </w:p>
              </w:tc>
              <w:tc>
                <w:tcPr>
                  <w:tcW w:w="3908" w:type="pct"/>
                  <w:vAlign w:val="center"/>
                </w:tcPr>
                <w:p>
                  <w:pPr>
                    <w:spacing w:line="360" w:lineRule="exact"/>
                    <w:rPr>
                      <w:rFonts w:eastAsia="宋体"/>
                      <w:color w:val="000000"/>
                      <w:kern w:val="0"/>
                      <w:sz w:val="21"/>
                      <w:szCs w:val="21"/>
                    </w:rPr>
                  </w:pPr>
                  <w:r>
                    <w:rPr>
                      <w:rFonts w:eastAsia="宋体"/>
                      <w:color w:val="000000"/>
                      <w:kern w:val="0"/>
                      <w:sz w:val="21"/>
                      <w:szCs w:val="21"/>
                    </w:rPr>
                    <w:t>1、对施工期间需修建的道路，利用已有道路或在原有路基上拓宽，拓宽道路要保持原有水土保护措施。</w:t>
                  </w:r>
                </w:p>
                <w:p>
                  <w:pPr>
                    <w:spacing w:line="360" w:lineRule="exact"/>
                    <w:rPr>
                      <w:rFonts w:eastAsia="宋体"/>
                      <w:color w:val="000000"/>
                      <w:kern w:val="0"/>
                      <w:sz w:val="21"/>
                      <w:szCs w:val="21"/>
                    </w:rPr>
                  </w:pPr>
                  <w:r>
                    <w:rPr>
                      <w:rFonts w:eastAsia="宋体"/>
                      <w:color w:val="000000"/>
                      <w:kern w:val="0"/>
                      <w:sz w:val="21"/>
                      <w:szCs w:val="21"/>
                    </w:rPr>
                    <w:t>2、输电线路工程特点是一次性建成投产，在施工过程中占用了场地，施工完毕后即可进行农田复耕，在林区以草和灌木为主进行植被恢复。</w:t>
                  </w:r>
                </w:p>
                <w:p>
                  <w:pPr>
                    <w:pStyle w:val="25"/>
                    <w:spacing w:line="360" w:lineRule="exact"/>
                    <w:jc w:val="both"/>
                    <w:rPr>
                      <w:rFonts w:ascii="Times New Roman" w:hAnsi="Times New Roman"/>
                      <w:color w:val="000000"/>
                      <w:szCs w:val="21"/>
                    </w:rPr>
                  </w:pPr>
                  <w:r>
                    <w:rPr>
                      <w:rFonts w:ascii="Times New Roman" w:hAnsi="Times New Roman"/>
                      <w:szCs w:val="21"/>
                    </w:rPr>
                    <w:t>3、对施工时基础开挖多余的土石方应合理处置，不允许就地倾倒。</w:t>
                  </w:r>
                  <w:r>
                    <w:rPr>
                      <w:rFonts w:ascii="Times New Roman" w:hAnsi="Times New Roman"/>
                      <w:color w:val="000000"/>
                      <w:szCs w:val="21"/>
                    </w:rPr>
                    <w:t>弃渣点避开汇水冲沟。</w:t>
                  </w:r>
                </w:p>
                <w:p>
                  <w:pPr>
                    <w:pStyle w:val="25"/>
                    <w:spacing w:line="360" w:lineRule="exact"/>
                    <w:jc w:val="both"/>
                    <w:rPr>
                      <w:rFonts w:ascii="Times New Roman" w:hAnsi="Times New Roman"/>
                      <w:color w:val="000000"/>
                      <w:szCs w:val="21"/>
                    </w:rPr>
                  </w:pPr>
                  <w:r>
                    <w:rPr>
                      <w:rFonts w:ascii="Times New Roman" w:hAnsi="Times New Roman"/>
                      <w:color w:val="000000"/>
                      <w:szCs w:val="21"/>
                    </w:rPr>
                    <w:t>4、采取表土保护措施，塔基施工过程中，要进行表土剥离，将表土和熟化土分开堆放，并按原土层顺序回填，以便绿化部分的土地恢复。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5000" w:type="pct"/>
                  <w:gridSpan w:val="3"/>
                  <w:vAlign w:val="center"/>
                </w:tcPr>
                <w:p>
                  <w:pPr>
                    <w:spacing w:line="360" w:lineRule="exact"/>
                    <w:jc w:val="center"/>
                    <w:rPr>
                      <w:rFonts w:eastAsia="宋体"/>
                      <w:color w:val="000000"/>
                      <w:kern w:val="0"/>
                      <w:sz w:val="21"/>
                      <w:szCs w:val="21"/>
                    </w:rPr>
                  </w:pPr>
                  <w:r>
                    <w:rPr>
                      <w:rFonts w:eastAsia="宋体"/>
                      <w:color w:val="000000"/>
                      <w:kern w:val="0"/>
                      <w:sz w:val="21"/>
                      <w:szCs w:val="21"/>
                    </w:rPr>
                    <w:t>运营阶段采取的环保措施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1</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电磁防护</w:t>
                  </w:r>
                </w:p>
              </w:tc>
              <w:tc>
                <w:tcPr>
                  <w:tcW w:w="3908" w:type="pct"/>
                  <w:vAlign w:val="center"/>
                </w:tcPr>
                <w:p>
                  <w:pPr>
                    <w:spacing w:line="360" w:lineRule="exact"/>
                    <w:rPr>
                      <w:rFonts w:eastAsia="宋体"/>
                      <w:color w:val="000000"/>
                      <w:kern w:val="0"/>
                      <w:sz w:val="21"/>
                      <w:szCs w:val="21"/>
                    </w:rPr>
                  </w:pPr>
                  <w:r>
                    <w:rPr>
                      <w:rFonts w:eastAsia="宋体"/>
                      <w:color w:val="000000"/>
                      <w:kern w:val="0"/>
                      <w:sz w:val="21"/>
                      <w:szCs w:val="21"/>
                    </w:rPr>
                    <w:t>1、在初步设计阶段进一步优化线路路径，以尽量远离居民区为原则，当线路经过居民区时，应保证线路下相线导线与地面的距离不小于7m；</w:t>
                  </w:r>
                </w:p>
                <w:p>
                  <w:pPr>
                    <w:spacing w:line="360" w:lineRule="exact"/>
                    <w:rPr>
                      <w:rFonts w:eastAsia="宋体"/>
                      <w:color w:val="000000"/>
                      <w:kern w:val="0"/>
                      <w:sz w:val="21"/>
                      <w:szCs w:val="21"/>
                    </w:rPr>
                  </w:pPr>
                  <w:r>
                    <w:rPr>
                      <w:rFonts w:eastAsia="宋体"/>
                      <w:color w:val="000000"/>
                      <w:kern w:val="0"/>
                      <w:sz w:val="21"/>
                      <w:szCs w:val="21"/>
                    </w:rPr>
                    <w:t>2、输电线路合理选择导线，金具及绝缘子等电气设备、设施，经过不同地区时严格按照规程设计导线对地距离、交叉跨越距离等，保证线路附近评价范围内居民区的电磁环境符合相应标准要求。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310" w:type="pct"/>
                  <w:vAlign w:val="center"/>
                </w:tcPr>
                <w:p>
                  <w:pPr>
                    <w:pStyle w:val="25"/>
                    <w:spacing w:line="360" w:lineRule="exact"/>
                    <w:rPr>
                      <w:rFonts w:ascii="Times New Roman" w:hAnsi="Times New Roman"/>
                      <w:b/>
                      <w:i/>
                      <w:color w:val="000000"/>
                      <w:szCs w:val="21"/>
                    </w:rPr>
                  </w:pPr>
                  <w:r>
                    <w:rPr>
                      <w:rFonts w:ascii="Times New Roman" w:hAnsi="Times New Roman"/>
                      <w:b/>
                      <w:i/>
                      <w:color w:val="000000"/>
                      <w:szCs w:val="21"/>
                    </w:rPr>
                    <w:t>2</w:t>
                  </w:r>
                </w:p>
              </w:tc>
              <w:tc>
                <w:tcPr>
                  <w:tcW w:w="782" w:type="pct"/>
                  <w:vAlign w:val="center"/>
                </w:tcPr>
                <w:p>
                  <w:pPr>
                    <w:pStyle w:val="25"/>
                    <w:spacing w:line="360" w:lineRule="exact"/>
                    <w:rPr>
                      <w:rFonts w:ascii="Times New Roman" w:hAnsi="Times New Roman"/>
                      <w:color w:val="000000"/>
                      <w:szCs w:val="21"/>
                    </w:rPr>
                  </w:pPr>
                  <w:r>
                    <w:rPr>
                      <w:rFonts w:ascii="Times New Roman" w:hAnsi="Times New Roman"/>
                      <w:color w:val="000000"/>
                      <w:szCs w:val="21"/>
                    </w:rPr>
                    <w:t>环境风险</w:t>
                  </w:r>
                </w:p>
              </w:tc>
              <w:tc>
                <w:tcPr>
                  <w:tcW w:w="3908" w:type="pct"/>
                  <w:vAlign w:val="center"/>
                </w:tcPr>
                <w:p>
                  <w:pPr>
                    <w:spacing w:line="360" w:lineRule="exact"/>
                    <w:rPr>
                      <w:rFonts w:eastAsia="宋体"/>
                      <w:color w:val="000000"/>
                      <w:kern w:val="0"/>
                      <w:sz w:val="21"/>
                      <w:szCs w:val="21"/>
                    </w:rPr>
                  </w:pPr>
                  <w:r>
                    <w:rPr>
                      <w:rFonts w:eastAsia="宋体"/>
                      <w:color w:val="000000"/>
                      <w:kern w:val="0"/>
                      <w:sz w:val="21"/>
                      <w:szCs w:val="21"/>
                    </w:rPr>
                    <w:t>1、变压器下铺一层卵</w:t>
                  </w:r>
                  <w:r>
                    <w:rPr>
                      <w:rFonts w:eastAsia="宋体"/>
                      <w:kern w:val="0"/>
                      <w:sz w:val="21"/>
                      <w:szCs w:val="21"/>
                    </w:rPr>
                    <w:t>石层，本工程升压站内设有事故集油池，容积为</w:t>
                  </w:r>
                  <w:r>
                    <w:rPr>
                      <w:rFonts w:hint="eastAsia" w:eastAsia="宋体"/>
                      <w:kern w:val="0"/>
                      <w:sz w:val="21"/>
                      <w:szCs w:val="21"/>
                    </w:rPr>
                    <w:t>50</w:t>
                  </w:r>
                  <w:r>
                    <w:rPr>
                      <w:rFonts w:eastAsia="宋体"/>
                      <w:kern w:val="0"/>
                      <w:sz w:val="21"/>
                      <w:szCs w:val="21"/>
                    </w:rPr>
                    <w:t>m</w:t>
                  </w:r>
                  <w:r>
                    <w:rPr>
                      <w:rFonts w:eastAsia="宋体"/>
                      <w:kern w:val="0"/>
                      <w:sz w:val="21"/>
                      <w:szCs w:val="21"/>
                      <w:vertAlign w:val="superscript"/>
                    </w:rPr>
                    <w:t>3</w:t>
                  </w:r>
                  <w:r>
                    <w:rPr>
                      <w:rFonts w:eastAsia="宋体"/>
                      <w:kern w:val="0"/>
                      <w:sz w:val="21"/>
                      <w:szCs w:val="21"/>
                    </w:rPr>
                    <w:t>，满足1台主变同时发生事故状态下的需求。防止事故状态下变压器油泄露，引起对外环境的污染。</w:t>
                  </w:r>
                </w:p>
                <w:p>
                  <w:pPr>
                    <w:spacing w:line="360" w:lineRule="exact"/>
                    <w:rPr>
                      <w:rFonts w:eastAsia="宋体"/>
                      <w:color w:val="000000"/>
                      <w:kern w:val="0"/>
                      <w:sz w:val="21"/>
                      <w:szCs w:val="21"/>
                    </w:rPr>
                  </w:pPr>
                  <w:r>
                    <w:rPr>
                      <w:rFonts w:eastAsia="宋体"/>
                      <w:color w:val="000000"/>
                      <w:kern w:val="0"/>
                      <w:sz w:val="21"/>
                      <w:szCs w:val="21"/>
                    </w:rPr>
                    <w:t>2、泄露的变压器油属于危险废物，需交由具有危险废物处置资质的部门进行处理。</w:t>
                  </w:r>
                </w:p>
              </w:tc>
            </w:tr>
          </w:tbl>
          <w:p>
            <w:pPr>
              <w:pStyle w:val="4"/>
              <w:spacing w:line="520" w:lineRule="exact"/>
              <w:ind w:firstLine="480" w:firstLineChars="200"/>
              <w:rPr>
                <w:rFonts w:ascii="Times New Roman" w:hAnsi="黑体"/>
                <w:sz w:val="24"/>
                <w:szCs w:val="21"/>
              </w:rPr>
            </w:pPr>
            <w:bookmarkStart w:id="40" w:name="_Toc485813635"/>
            <w:bookmarkStart w:id="41" w:name="_Toc424225485"/>
            <w:bookmarkStart w:id="42" w:name="_Toc433361761"/>
            <w:bookmarkStart w:id="43" w:name="_Toc437271420"/>
            <w:bookmarkStart w:id="44" w:name="_Toc437271348"/>
            <w:bookmarkStart w:id="45" w:name="_Toc466491475"/>
            <w:r>
              <w:rPr>
                <w:rFonts w:ascii="Times New Roman" w:hAnsi="黑体"/>
                <w:sz w:val="24"/>
                <w:szCs w:val="21"/>
              </w:rPr>
              <w:t>表9-2                  环保措施投资一览表</w:t>
            </w:r>
            <w:bookmarkEnd w:id="40"/>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22"/>
              <w:gridCol w:w="472"/>
              <w:gridCol w:w="1842"/>
              <w:gridCol w:w="993"/>
              <w:gridCol w:w="44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b/>
                      <w:color w:val="000000"/>
                    </w:rPr>
                  </w:pPr>
                  <w:r>
                    <w:rPr>
                      <w:rFonts w:ascii="Times New Roman" w:hAnsi="Times New Roman"/>
                      <w:b/>
                      <w:color w:val="000000"/>
                    </w:rPr>
                    <w:t>序号</w:t>
                  </w:r>
                </w:p>
              </w:tc>
              <w:tc>
                <w:tcPr>
                  <w:tcW w:w="1393" w:type="pct"/>
                  <w:gridSpan w:val="2"/>
                  <w:vAlign w:val="center"/>
                </w:tcPr>
                <w:p>
                  <w:pPr>
                    <w:pStyle w:val="19"/>
                    <w:adjustRightInd/>
                    <w:snapToGrid/>
                    <w:spacing w:before="0" w:beforeAutospacing="0" w:after="0" w:afterAutospacing="0" w:line="360" w:lineRule="exact"/>
                    <w:rPr>
                      <w:rFonts w:ascii="Times New Roman" w:hAnsi="Times New Roman"/>
                      <w:b/>
                      <w:color w:val="000000"/>
                    </w:rPr>
                  </w:pPr>
                  <w:r>
                    <w:rPr>
                      <w:rFonts w:ascii="Times New Roman" w:hAnsi="Times New Roman"/>
                      <w:b/>
                      <w:color w:val="000000"/>
                    </w:rPr>
                    <w:t>项  目</w:t>
                  </w:r>
                </w:p>
              </w:tc>
              <w:tc>
                <w:tcPr>
                  <w:tcW w:w="598" w:type="pct"/>
                  <w:vAlign w:val="center"/>
                </w:tcPr>
                <w:p>
                  <w:pPr>
                    <w:pStyle w:val="19"/>
                    <w:adjustRightInd/>
                    <w:snapToGrid/>
                    <w:spacing w:before="0" w:beforeAutospacing="0" w:after="0" w:afterAutospacing="0" w:line="360" w:lineRule="exact"/>
                    <w:rPr>
                      <w:rFonts w:ascii="Times New Roman" w:hAnsi="Times New Roman"/>
                      <w:b/>
                      <w:color w:val="000000"/>
                    </w:rPr>
                  </w:pPr>
                  <w:r>
                    <w:rPr>
                      <w:rFonts w:ascii="Times New Roman" w:hAnsi="Times New Roman"/>
                      <w:b/>
                      <w:color w:val="000000"/>
                    </w:rPr>
                    <w:t>投资估算（万元）</w:t>
                  </w:r>
                </w:p>
              </w:tc>
              <w:tc>
                <w:tcPr>
                  <w:tcW w:w="2696" w:type="pct"/>
                  <w:vAlign w:val="center"/>
                </w:tcPr>
                <w:p>
                  <w:pPr>
                    <w:pStyle w:val="19"/>
                    <w:adjustRightInd/>
                    <w:snapToGrid/>
                    <w:spacing w:before="0" w:beforeAutospacing="0" w:after="0" w:afterAutospacing="0" w:line="360" w:lineRule="exact"/>
                    <w:rPr>
                      <w:rFonts w:ascii="Times New Roman" w:hAnsi="Times New Roman"/>
                      <w:b/>
                      <w:color w:val="000000"/>
                    </w:rPr>
                  </w:pPr>
                  <w:r>
                    <w:rPr>
                      <w:rFonts w:ascii="Times New Roman" w:hAnsi="Times New Roman"/>
                      <w:b/>
                      <w:color w:val="000000"/>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1</w:t>
                  </w:r>
                </w:p>
              </w:tc>
              <w:tc>
                <w:tcPr>
                  <w:tcW w:w="284" w:type="pct"/>
                  <w:vMerge w:val="restar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施工期</w:t>
                  </w:r>
                </w:p>
              </w:tc>
              <w:tc>
                <w:tcPr>
                  <w:tcW w:w="1109" w:type="pct"/>
                  <w:vAlign w:val="center"/>
                </w:tcPr>
                <w:p>
                  <w:pPr>
                    <w:pStyle w:val="19"/>
                    <w:spacing w:before="0" w:beforeAutospacing="0" w:after="0" w:afterAutospacing="0" w:line="360" w:lineRule="exact"/>
                    <w:rPr>
                      <w:rFonts w:ascii="Times New Roman" w:hAnsi="Times New Roman"/>
                    </w:rPr>
                  </w:pPr>
                  <w:r>
                    <w:rPr>
                      <w:rFonts w:ascii="Times New Roman" w:hAnsi="Times New Roman"/>
                    </w:rPr>
                    <w:t>固体废物处置费</w:t>
                  </w:r>
                </w:p>
              </w:tc>
              <w:tc>
                <w:tcPr>
                  <w:tcW w:w="598" w:type="pct"/>
                  <w:vAlign w:val="center"/>
                </w:tcPr>
                <w:p>
                  <w:pPr>
                    <w:widowControl/>
                    <w:spacing w:line="360" w:lineRule="exact"/>
                    <w:jc w:val="center"/>
                    <w:rPr>
                      <w:rFonts w:eastAsia="宋体"/>
                      <w:color w:val="000000"/>
                      <w:kern w:val="0"/>
                      <w:sz w:val="21"/>
                      <w:szCs w:val="21"/>
                    </w:rPr>
                  </w:pPr>
                  <w:r>
                    <w:rPr>
                      <w:color w:val="000000"/>
                      <w:sz w:val="21"/>
                      <w:szCs w:val="21"/>
                    </w:rPr>
                    <w:t>6.0</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施工期弃土弃渣收集及清运费、运行期生活垃圾处置费等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2</w:t>
                  </w:r>
                </w:p>
              </w:tc>
              <w:tc>
                <w:tcPr>
                  <w:tcW w:w="284" w:type="pct"/>
                  <w:vMerge w:val="continue"/>
                  <w:vAlign w:val="center"/>
                </w:tcPr>
                <w:p>
                  <w:pPr>
                    <w:pStyle w:val="19"/>
                    <w:spacing w:before="0" w:beforeAutospacing="0" w:after="0" w:afterAutospacing="0" w:line="360" w:lineRule="exact"/>
                    <w:rPr>
                      <w:rFonts w:ascii="Times New Roman" w:hAnsi="Times New Roman"/>
                    </w:rPr>
                  </w:pPr>
                </w:p>
              </w:tc>
              <w:tc>
                <w:tcPr>
                  <w:tcW w:w="1109" w:type="pct"/>
                  <w:vAlign w:val="center"/>
                </w:tcPr>
                <w:p>
                  <w:pPr>
                    <w:pStyle w:val="19"/>
                    <w:spacing w:before="0" w:beforeAutospacing="0" w:after="0" w:afterAutospacing="0" w:line="360" w:lineRule="exact"/>
                    <w:rPr>
                      <w:rFonts w:ascii="Times New Roman" w:hAnsi="Times New Roman"/>
                    </w:rPr>
                  </w:pPr>
                  <w:r>
                    <w:rPr>
                      <w:rFonts w:ascii="Times New Roman" w:hAnsi="Times New Roman"/>
                    </w:rPr>
                    <w:t>水土流失防治费用</w:t>
                  </w:r>
                </w:p>
              </w:tc>
              <w:tc>
                <w:tcPr>
                  <w:tcW w:w="598" w:type="pct"/>
                  <w:vAlign w:val="center"/>
                </w:tcPr>
                <w:p>
                  <w:pPr>
                    <w:spacing w:line="360" w:lineRule="exact"/>
                    <w:jc w:val="center"/>
                    <w:rPr>
                      <w:color w:val="000000"/>
                      <w:sz w:val="21"/>
                      <w:szCs w:val="21"/>
                    </w:rPr>
                  </w:pPr>
                  <w:r>
                    <w:rPr>
                      <w:color w:val="000000"/>
                      <w:sz w:val="21"/>
                      <w:szCs w:val="21"/>
                    </w:rPr>
                    <w:t>4.5</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施工期塔基开挖、升压站基础施工等防护费用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3</w:t>
                  </w:r>
                </w:p>
              </w:tc>
              <w:tc>
                <w:tcPr>
                  <w:tcW w:w="284" w:type="pct"/>
                  <w:vMerge w:val="continue"/>
                  <w:vAlign w:val="center"/>
                </w:tcPr>
                <w:p>
                  <w:pPr>
                    <w:pStyle w:val="19"/>
                    <w:adjustRightInd/>
                    <w:snapToGrid/>
                    <w:spacing w:before="0" w:beforeAutospacing="0" w:after="0" w:afterAutospacing="0" w:line="360" w:lineRule="exact"/>
                    <w:rPr>
                      <w:rFonts w:ascii="Times New Roman" w:hAnsi="Times New Roman"/>
                    </w:rPr>
                  </w:pPr>
                </w:p>
              </w:tc>
              <w:tc>
                <w:tcPr>
                  <w:tcW w:w="1109" w:type="pct"/>
                  <w:vAlign w:val="center"/>
                </w:tcPr>
                <w:p>
                  <w:pPr>
                    <w:pStyle w:val="19"/>
                    <w:spacing w:before="0" w:beforeAutospacing="0" w:after="0" w:afterAutospacing="0" w:line="360" w:lineRule="exact"/>
                    <w:rPr>
                      <w:rFonts w:ascii="Times New Roman" w:hAnsi="Times New Roman"/>
                    </w:rPr>
                  </w:pPr>
                  <w:r>
                    <w:rPr>
                      <w:rFonts w:ascii="Times New Roman" w:hAnsi="Times New Roman"/>
                    </w:rPr>
                    <w:t>植被恢复费</w:t>
                  </w:r>
                </w:p>
              </w:tc>
              <w:tc>
                <w:tcPr>
                  <w:tcW w:w="598" w:type="pct"/>
                  <w:vAlign w:val="center"/>
                </w:tcPr>
                <w:p>
                  <w:pPr>
                    <w:spacing w:line="360" w:lineRule="exact"/>
                    <w:jc w:val="center"/>
                    <w:rPr>
                      <w:color w:val="000000"/>
                      <w:sz w:val="21"/>
                      <w:szCs w:val="21"/>
                    </w:rPr>
                  </w:pPr>
                  <w:r>
                    <w:rPr>
                      <w:color w:val="000000"/>
                      <w:sz w:val="21"/>
                      <w:szCs w:val="21"/>
                    </w:rPr>
                    <w:t>6.</w:t>
                  </w:r>
                  <w:r>
                    <w:rPr>
                      <w:rFonts w:hint="eastAsia"/>
                      <w:color w:val="000000"/>
                      <w:sz w:val="21"/>
                      <w:szCs w:val="21"/>
                    </w:rPr>
                    <w:t>0</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站址四周，塔基处及临时占地处绿化植被恢复费及补偿费、站址处表层耕植土保护增加费用等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4</w:t>
                  </w:r>
                </w:p>
              </w:tc>
              <w:tc>
                <w:tcPr>
                  <w:tcW w:w="284" w:type="pct"/>
                  <w:vMerge w:val="continue"/>
                  <w:vAlign w:val="center"/>
                </w:tcPr>
                <w:p>
                  <w:pPr>
                    <w:pStyle w:val="19"/>
                    <w:adjustRightInd/>
                    <w:snapToGrid/>
                    <w:spacing w:before="0" w:beforeAutospacing="0" w:after="0" w:afterAutospacing="0" w:line="360" w:lineRule="exact"/>
                    <w:rPr>
                      <w:rFonts w:ascii="Times New Roman" w:hAnsi="Times New Roman"/>
                    </w:rPr>
                  </w:pPr>
                </w:p>
              </w:tc>
              <w:tc>
                <w:tcPr>
                  <w:tcW w:w="1109" w:type="pct"/>
                  <w:vAlign w:val="center"/>
                </w:tcPr>
                <w:p>
                  <w:pPr>
                    <w:pStyle w:val="19"/>
                    <w:spacing w:before="0" w:beforeAutospacing="0" w:after="0" w:afterAutospacing="0" w:line="360" w:lineRule="exact"/>
                    <w:rPr>
                      <w:rFonts w:ascii="Times New Roman" w:hAnsi="Times New Roman"/>
                    </w:rPr>
                  </w:pPr>
                  <w:r>
                    <w:rPr>
                      <w:rFonts w:ascii="Times New Roman" w:hAnsi="Times New Roman"/>
                    </w:rPr>
                    <w:t>废水防治费用</w:t>
                  </w:r>
                </w:p>
              </w:tc>
              <w:tc>
                <w:tcPr>
                  <w:tcW w:w="598" w:type="pct"/>
                  <w:vAlign w:val="center"/>
                </w:tcPr>
                <w:p>
                  <w:pPr>
                    <w:spacing w:line="360" w:lineRule="exact"/>
                    <w:jc w:val="center"/>
                    <w:rPr>
                      <w:color w:val="000000"/>
                      <w:sz w:val="21"/>
                      <w:szCs w:val="21"/>
                    </w:rPr>
                  </w:pPr>
                  <w:r>
                    <w:rPr>
                      <w:color w:val="000000"/>
                      <w:sz w:val="21"/>
                      <w:szCs w:val="21"/>
                    </w:rPr>
                    <w:t>3.</w:t>
                  </w:r>
                  <w:r>
                    <w:rPr>
                      <w:rFonts w:hint="eastAsia"/>
                      <w:color w:val="000000"/>
                      <w:sz w:val="21"/>
                      <w:szCs w:val="21"/>
                    </w:rPr>
                    <w:t>.0</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施工期生活污水处置清运费等、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5</w:t>
                  </w:r>
                </w:p>
              </w:tc>
              <w:tc>
                <w:tcPr>
                  <w:tcW w:w="284" w:type="pct"/>
                  <w:vMerge w:val="restar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运行期</w:t>
                  </w:r>
                </w:p>
              </w:tc>
              <w:tc>
                <w:tcPr>
                  <w:tcW w:w="1109"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废弃污染防治费</w:t>
                  </w:r>
                </w:p>
              </w:tc>
              <w:tc>
                <w:tcPr>
                  <w:tcW w:w="598" w:type="pct"/>
                  <w:vAlign w:val="center"/>
                </w:tcPr>
                <w:p>
                  <w:pPr>
                    <w:spacing w:line="360" w:lineRule="exact"/>
                    <w:jc w:val="center"/>
                    <w:rPr>
                      <w:color w:val="000000"/>
                      <w:sz w:val="21"/>
                      <w:szCs w:val="21"/>
                    </w:rPr>
                  </w:pPr>
                  <w:r>
                    <w:rPr>
                      <w:color w:val="000000"/>
                      <w:sz w:val="21"/>
                      <w:szCs w:val="21"/>
                    </w:rPr>
                    <w:t>4.</w:t>
                  </w:r>
                  <w:r>
                    <w:rPr>
                      <w:rFonts w:hint="eastAsia"/>
                      <w:color w:val="000000"/>
                      <w:sz w:val="21"/>
                      <w:szCs w:val="21"/>
                    </w:rPr>
                    <w:t>5</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施工期场地洒水以及填土运输车土工布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6</w:t>
                  </w:r>
                </w:p>
              </w:tc>
              <w:tc>
                <w:tcPr>
                  <w:tcW w:w="284" w:type="pct"/>
                  <w:vMerge w:val="continue"/>
                  <w:vAlign w:val="center"/>
                </w:tcPr>
                <w:p>
                  <w:pPr>
                    <w:pStyle w:val="19"/>
                    <w:adjustRightInd/>
                    <w:snapToGrid/>
                    <w:spacing w:before="0" w:beforeAutospacing="0" w:after="0" w:afterAutospacing="0" w:line="360" w:lineRule="exact"/>
                    <w:rPr>
                      <w:rFonts w:ascii="Times New Roman" w:hAnsi="Times New Roman"/>
                    </w:rPr>
                  </w:pPr>
                </w:p>
              </w:tc>
              <w:tc>
                <w:tcPr>
                  <w:tcW w:w="1109"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废水防治费用</w:t>
                  </w:r>
                </w:p>
              </w:tc>
              <w:tc>
                <w:tcPr>
                  <w:tcW w:w="598" w:type="pct"/>
                  <w:vAlign w:val="center"/>
                </w:tcPr>
                <w:p>
                  <w:pPr>
                    <w:spacing w:line="360" w:lineRule="exact"/>
                    <w:jc w:val="center"/>
                    <w:rPr>
                      <w:color w:val="000000"/>
                      <w:sz w:val="21"/>
                      <w:szCs w:val="21"/>
                    </w:rPr>
                  </w:pPr>
                  <w:r>
                    <w:rPr>
                      <w:color w:val="000000"/>
                      <w:sz w:val="21"/>
                      <w:szCs w:val="21"/>
                    </w:rPr>
                    <w:t>3.0</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站内新建污水处理一体化设施等费用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7</w:t>
                  </w:r>
                </w:p>
              </w:tc>
              <w:tc>
                <w:tcPr>
                  <w:tcW w:w="284" w:type="pct"/>
                  <w:vMerge w:val="continue"/>
                  <w:vAlign w:val="center"/>
                </w:tcPr>
                <w:p>
                  <w:pPr>
                    <w:pStyle w:val="19"/>
                    <w:adjustRightInd/>
                    <w:snapToGrid/>
                    <w:spacing w:before="0" w:beforeAutospacing="0" w:after="0" w:afterAutospacing="0" w:line="360" w:lineRule="exact"/>
                    <w:rPr>
                      <w:rFonts w:ascii="Times New Roman" w:hAnsi="Times New Roman"/>
                    </w:rPr>
                  </w:pPr>
                </w:p>
              </w:tc>
              <w:tc>
                <w:tcPr>
                  <w:tcW w:w="1109"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噪声防治费用</w:t>
                  </w:r>
                </w:p>
              </w:tc>
              <w:tc>
                <w:tcPr>
                  <w:tcW w:w="598" w:type="pct"/>
                  <w:vAlign w:val="center"/>
                </w:tcPr>
                <w:p>
                  <w:pPr>
                    <w:spacing w:line="360" w:lineRule="exact"/>
                    <w:jc w:val="center"/>
                    <w:rPr>
                      <w:color w:val="000000"/>
                      <w:sz w:val="21"/>
                      <w:szCs w:val="21"/>
                    </w:rPr>
                  </w:pPr>
                  <w:r>
                    <w:rPr>
                      <w:color w:val="000000"/>
                      <w:sz w:val="21"/>
                      <w:szCs w:val="21"/>
                    </w:rPr>
                    <w:t>3.0</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购买低噪声设备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4"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8</w:t>
                  </w:r>
                </w:p>
              </w:tc>
              <w:tc>
                <w:tcPr>
                  <w:tcW w:w="284" w:type="pct"/>
                  <w:vMerge w:val="continue"/>
                  <w:vAlign w:val="center"/>
                </w:tcPr>
                <w:p>
                  <w:pPr>
                    <w:pStyle w:val="19"/>
                    <w:adjustRightInd/>
                    <w:snapToGrid/>
                    <w:spacing w:before="0" w:beforeAutospacing="0" w:after="0" w:afterAutospacing="0" w:line="360" w:lineRule="exact"/>
                    <w:rPr>
                      <w:rFonts w:ascii="Times New Roman" w:hAnsi="Times New Roman"/>
                    </w:rPr>
                  </w:pPr>
                </w:p>
              </w:tc>
              <w:tc>
                <w:tcPr>
                  <w:tcW w:w="1109" w:type="pct"/>
                  <w:vAlign w:val="center"/>
                </w:tcPr>
                <w:p>
                  <w:pPr>
                    <w:pStyle w:val="19"/>
                    <w:spacing w:before="0" w:beforeAutospacing="0" w:after="0" w:afterAutospacing="0" w:line="360" w:lineRule="exact"/>
                    <w:rPr>
                      <w:rFonts w:ascii="Times New Roman" w:hAnsi="Times New Roman"/>
                    </w:rPr>
                  </w:pPr>
                  <w:r>
                    <w:rPr>
                      <w:rFonts w:ascii="Times New Roman" w:hAnsi="Times New Roman"/>
                    </w:rPr>
                    <w:t>事故油池</w:t>
                  </w:r>
                </w:p>
              </w:tc>
              <w:tc>
                <w:tcPr>
                  <w:tcW w:w="598" w:type="pct"/>
                  <w:vAlign w:val="center"/>
                </w:tcPr>
                <w:p>
                  <w:pPr>
                    <w:spacing w:line="360" w:lineRule="exact"/>
                    <w:jc w:val="center"/>
                    <w:rPr>
                      <w:color w:val="000000"/>
                      <w:sz w:val="21"/>
                      <w:szCs w:val="21"/>
                    </w:rPr>
                  </w:pPr>
                  <w:r>
                    <w:rPr>
                      <w:rFonts w:hint="eastAsia"/>
                      <w:color w:val="000000"/>
                      <w:sz w:val="21"/>
                      <w:szCs w:val="21"/>
                    </w:rPr>
                    <w:t>7.0</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事故油池建设费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7" w:type="pct"/>
                  <w:gridSpan w:val="3"/>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合计</w:t>
                  </w:r>
                </w:p>
              </w:tc>
              <w:tc>
                <w:tcPr>
                  <w:tcW w:w="598"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3</w:t>
                  </w:r>
                  <w:r>
                    <w:rPr>
                      <w:rFonts w:hint="eastAsia" w:ascii="Times New Roman" w:hAnsi="Times New Roman"/>
                    </w:rPr>
                    <w:t>7</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7" w:type="pct"/>
                  <w:gridSpan w:val="3"/>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工程总投资</w:t>
                  </w:r>
                </w:p>
              </w:tc>
              <w:tc>
                <w:tcPr>
                  <w:tcW w:w="598" w:type="pct"/>
                  <w:vAlign w:val="center"/>
                </w:tcPr>
                <w:p>
                  <w:pPr>
                    <w:pStyle w:val="19"/>
                    <w:adjustRightInd/>
                    <w:snapToGrid/>
                    <w:spacing w:before="0" w:beforeAutospacing="0" w:after="0" w:afterAutospacing="0" w:line="360" w:lineRule="exact"/>
                    <w:rPr>
                      <w:rFonts w:ascii="Times New Roman" w:hAnsi="Times New Roman"/>
                    </w:rPr>
                  </w:pPr>
                  <w:r>
                    <w:rPr>
                      <w:rFonts w:hint="eastAsia" w:ascii="Times New Roman" w:hAnsi="Times New Roman"/>
                      <w:color w:val="000000"/>
                    </w:rPr>
                    <w:t>2250.73</w:t>
                  </w:r>
                </w:p>
              </w:tc>
              <w:tc>
                <w:tcPr>
                  <w:tcW w:w="2696" w:type="pct"/>
                  <w:vAlign w:val="center"/>
                </w:tcPr>
                <w:p>
                  <w:pPr>
                    <w:pStyle w:val="19"/>
                    <w:adjustRightInd/>
                    <w:snapToGrid/>
                    <w:spacing w:before="0" w:beforeAutospacing="0" w:after="0" w:afterAutospacing="0" w:line="360" w:lineRule="exact"/>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07" w:type="pct"/>
                  <w:gridSpan w:val="3"/>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环保投资占总投资比例（%）</w:t>
                  </w:r>
                </w:p>
              </w:tc>
              <w:tc>
                <w:tcPr>
                  <w:tcW w:w="598"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1.64</w:t>
                  </w:r>
                </w:p>
              </w:tc>
              <w:tc>
                <w:tcPr>
                  <w:tcW w:w="2696" w:type="pct"/>
                  <w:vAlign w:val="center"/>
                </w:tcPr>
                <w:p>
                  <w:pPr>
                    <w:pStyle w:val="19"/>
                    <w:adjustRightInd/>
                    <w:snapToGrid/>
                    <w:spacing w:before="0" w:beforeAutospacing="0" w:after="0" w:afterAutospacing="0" w:line="360" w:lineRule="exact"/>
                    <w:rPr>
                      <w:rFonts w:ascii="Times New Roman" w:hAnsi="Times New Roman"/>
                      <w:color w:val="000000"/>
                    </w:rPr>
                  </w:pPr>
                  <w:r>
                    <w:rPr>
                      <w:rFonts w:ascii="Times New Roman" w:hAnsi="Times New Roman"/>
                      <w:color w:val="000000"/>
                    </w:rPr>
                    <w:t>/</w:t>
                  </w:r>
                </w:p>
              </w:tc>
            </w:tr>
          </w:tbl>
          <w:p>
            <w:pPr>
              <w:spacing w:line="520" w:lineRule="exact"/>
              <w:ind w:firstLine="480" w:firstLineChars="200"/>
              <w:outlineLvl w:val="0"/>
              <w:rPr>
                <w:rFonts w:eastAsia="黑体"/>
                <w:bCs/>
                <w:sz w:val="24"/>
              </w:rPr>
            </w:pPr>
            <w:bookmarkStart w:id="46" w:name="_Toc485813636"/>
          </w:p>
          <w:p>
            <w:pPr>
              <w:spacing w:line="520" w:lineRule="exact"/>
              <w:ind w:firstLine="480" w:firstLineChars="200"/>
              <w:outlineLvl w:val="0"/>
              <w:rPr>
                <w:rFonts w:eastAsia="黑体"/>
                <w:bCs/>
                <w:sz w:val="24"/>
              </w:rPr>
            </w:pPr>
          </w:p>
          <w:p>
            <w:pPr>
              <w:spacing w:line="520" w:lineRule="exact"/>
              <w:ind w:firstLine="480" w:firstLineChars="200"/>
              <w:outlineLvl w:val="0"/>
              <w:rPr>
                <w:rFonts w:eastAsia="黑体"/>
                <w:bCs/>
                <w:sz w:val="24"/>
              </w:rPr>
            </w:pPr>
          </w:p>
          <w:p>
            <w:pPr>
              <w:spacing w:line="520" w:lineRule="exact"/>
              <w:ind w:firstLine="480" w:firstLineChars="200"/>
              <w:outlineLvl w:val="0"/>
              <w:rPr>
                <w:rFonts w:eastAsia="黑体"/>
                <w:bCs/>
                <w:sz w:val="24"/>
              </w:rPr>
            </w:pPr>
          </w:p>
          <w:p>
            <w:pPr>
              <w:spacing w:line="520" w:lineRule="exact"/>
              <w:ind w:firstLine="480" w:firstLineChars="200"/>
              <w:outlineLvl w:val="0"/>
              <w:rPr>
                <w:rFonts w:eastAsia="黑体"/>
                <w:bCs/>
                <w:sz w:val="24"/>
              </w:rPr>
            </w:pPr>
          </w:p>
          <w:p>
            <w:pPr>
              <w:spacing w:line="520" w:lineRule="exact"/>
              <w:ind w:firstLine="480" w:firstLineChars="200"/>
              <w:outlineLvl w:val="0"/>
              <w:rPr>
                <w:rFonts w:eastAsia="黑体"/>
                <w:bCs/>
                <w:sz w:val="24"/>
              </w:rPr>
            </w:pPr>
          </w:p>
          <w:p>
            <w:pPr>
              <w:spacing w:line="520" w:lineRule="exact"/>
              <w:ind w:firstLine="480" w:firstLineChars="200"/>
              <w:outlineLvl w:val="0"/>
              <w:rPr>
                <w:rFonts w:eastAsia="黑体"/>
                <w:bCs/>
                <w:sz w:val="24"/>
              </w:rPr>
            </w:pPr>
          </w:p>
          <w:p>
            <w:pPr>
              <w:spacing w:line="520" w:lineRule="exact"/>
              <w:ind w:firstLine="480" w:firstLineChars="200"/>
              <w:outlineLvl w:val="0"/>
              <w:rPr>
                <w:rFonts w:eastAsia="黑体"/>
                <w:bCs/>
                <w:sz w:val="24"/>
              </w:rPr>
            </w:pPr>
          </w:p>
          <w:p>
            <w:pPr>
              <w:spacing w:line="520" w:lineRule="exact"/>
              <w:ind w:firstLine="480" w:firstLineChars="200"/>
              <w:outlineLvl w:val="0"/>
              <w:rPr>
                <w:rFonts w:eastAsia="黑体"/>
                <w:bCs/>
                <w:sz w:val="24"/>
              </w:rPr>
            </w:pPr>
          </w:p>
          <w:p>
            <w:pPr>
              <w:pStyle w:val="4"/>
              <w:spacing w:line="520" w:lineRule="exact"/>
              <w:ind w:firstLine="480" w:firstLineChars="200"/>
              <w:rPr>
                <w:rFonts w:ascii="Times New Roman" w:hAnsi="黑体"/>
                <w:sz w:val="24"/>
                <w:szCs w:val="21"/>
              </w:rPr>
            </w:pPr>
            <w:r>
              <w:rPr>
                <w:rFonts w:ascii="Times New Roman" w:hAnsi="黑体"/>
                <w:sz w:val="24"/>
                <w:szCs w:val="21"/>
              </w:rPr>
              <w:t>表9-3             工程竣工环境保护验收内容一览表</w:t>
            </w:r>
            <w:bookmarkEnd w:id="41"/>
            <w:bookmarkEnd w:id="42"/>
            <w:bookmarkEnd w:id="43"/>
            <w:bookmarkEnd w:id="44"/>
            <w:bookmarkEnd w:id="45"/>
            <w:bookmarkEnd w:id="46"/>
          </w:p>
          <w:tbl>
            <w:tblPr>
              <w:tblStyle w:val="15"/>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4"/>
              <w:gridCol w:w="2220"/>
              <w:gridCol w:w="56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序号</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验收对象</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验收内容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1</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相关手续、资料</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项目相关批复文件（主要为环境影响评价审批文件）是否齐备，项目时候具备开工条件。环境保护档案是否齐全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2</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实际工程内容及方案设计情况</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核查实际工程内容及方案设计变更情况，即由此造成的环境影响变化情况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3</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环境相关评价制度及规章制度</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核查环境影响评价制度及其他环境保护规章制度执行情况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4</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环境敏感区基本情况</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核查环境敏感区基本情况及变更情况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5</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各项环境保护设施落实情况</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核实工程设计、环境影响评价文件及环境影响评价审批文件中提出的在设计、施工及运行三个阶段的电磁环境、水环境、声环境、固体废物及生态保护等各项措施的落实情况及实施效果。核实事故油池容量以及污水处理一体化设施容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6</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污染物排放达标情况</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工频电场、工频磁场、噪声及生活污水是否满足评价标准要求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7</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环境管理与环境监测</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调查建设单位环境保护管理机构及规章制度、执行情况、环境保护人员专兼职设置情况以及环境保护相关档案资料的齐备情况；核查环境影响评价文件。初步设计文件及环境影响评价审批文件中要求建设的环境保护设施的运行情况、监测计划落实情况以及施工期环境监理计划落实与实施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8</w:t>
                  </w:r>
                </w:p>
              </w:tc>
              <w:tc>
                <w:tcPr>
                  <w:tcW w:w="2220"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环境敏感区环境影响因子</w:t>
                  </w:r>
                </w:p>
              </w:tc>
              <w:tc>
                <w:tcPr>
                  <w:tcW w:w="5612" w:type="dxa"/>
                  <w:vAlign w:val="center"/>
                </w:tcPr>
                <w:p>
                  <w:pPr>
                    <w:pStyle w:val="19"/>
                    <w:spacing w:before="0" w:beforeAutospacing="0" w:after="0" w:afterAutospacing="0" w:line="360" w:lineRule="exact"/>
                    <w:rPr>
                      <w:rFonts w:ascii="Times New Roman" w:hAnsi="Times New Roman"/>
                      <w:color w:val="000000"/>
                    </w:rPr>
                  </w:pPr>
                  <w:r>
                    <w:rPr>
                      <w:rFonts w:ascii="Times New Roman" w:hAnsi="Times New Roman"/>
                      <w:color w:val="000000"/>
                    </w:rPr>
                    <w:t>监测本工程升压站及线路运行产生的工频电场、工频磁场和噪声等环境影响因子是否与预测结果相符</w:t>
                  </w:r>
                </w:p>
              </w:tc>
            </w:tr>
          </w:tbl>
          <w:p>
            <w:pPr>
              <w:spacing w:line="520" w:lineRule="exact"/>
              <w:ind w:firstLine="480" w:firstLineChars="200"/>
              <w:outlineLvl w:val="0"/>
              <w:rPr>
                <w:rFonts w:eastAsia="黑体"/>
                <w:bCs/>
                <w:sz w:val="24"/>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p>
            <w:pPr>
              <w:spacing w:beforeLines="50" w:afterLines="50" w:line="0" w:lineRule="atLeast"/>
              <w:outlineLvl w:val="0"/>
              <w:rPr>
                <w:rFonts w:eastAsia="宋体"/>
                <w:b/>
                <w:color w:val="000000"/>
                <w:sz w:val="30"/>
                <w:szCs w:val="30"/>
              </w:rPr>
            </w:pPr>
          </w:p>
        </w:tc>
      </w:tr>
    </w:tbl>
    <w:p>
      <w:pPr>
        <w:spacing w:line="360" w:lineRule="auto"/>
        <w:outlineLvl w:val="0"/>
        <w:rPr>
          <w:rFonts w:eastAsia="宋体"/>
          <w:b/>
          <w:color w:val="000000"/>
          <w:sz w:val="30"/>
          <w:szCs w:val="30"/>
        </w:rPr>
      </w:pPr>
      <w:bookmarkStart w:id="47" w:name="_Toc437271376"/>
      <w:bookmarkStart w:id="48" w:name="_Toc307124773"/>
      <w:bookmarkStart w:id="49" w:name="_Toc37923288"/>
      <w:r>
        <w:rPr>
          <w:rFonts w:hint="eastAsia" w:eastAsia="宋体"/>
          <w:b/>
          <w:color w:val="000000"/>
          <w:sz w:val="30"/>
          <w:szCs w:val="30"/>
        </w:rPr>
        <w:t>十、</w:t>
      </w:r>
      <w:r>
        <w:rPr>
          <w:rFonts w:eastAsia="宋体"/>
          <w:b/>
          <w:color w:val="000000"/>
          <w:sz w:val="30"/>
          <w:szCs w:val="30"/>
        </w:rPr>
        <w:t>环境管理与监测计划</w:t>
      </w:r>
      <w:bookmarkEnd w:id="47"/>
      <w:bookmarkEnd w:id="48"/>
      <w:bookmarkEnd w:id="49"/>
      <w:r>
        <w:rPr>
          <w:rFonts w:hint="eastAsia" w:eastAsia="宋体"/>
          <w:b/>
          <w:color w:val="000000"/>
          <w:sz w:val="30"/>
          <w:szCs w:val="30"/>
        </w:rPr>
        <w:t xml:space="preserve"> </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522" w:type="dxa"/>
          </w:tcPr>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本工程的建设将会不同程度地对升压站及输电线路沿线的自然环境和社会环境造成一定的影响。建设期和运行期应加强环境管理，执行环境管理和监测计划，掌握项目工程建设前后、运行前后实际产生的环境影响变化情况，确保各项环保防治措施的有效落实，并根据管理、监测中发现的信息及时解决有关问题，尽可能降低、减少工程建设及工程运行对环境带来的负面影响，力争做到经济、社会、环境效益的统一和可持续发展。</w:t>
            </w:r>
          </w:p>
          <w:p>
            <w:pPr>
              <w:autoSpaceDE w:val="0"/>
              <w:autoSpaceDN w:val="0"/>
              <w:adjustRightInd w:val="0"/>
              <w:spacing w:line="520" w:lineRule="exact"/>
              <w:ind w:firstLine="480" w:firstLineChars="200"/>
              <w:jc w:val="left"/>
              <w:rPr>
                <w:rFonts w:eastAsia="宋体"/>
                <w:spacing w:val="-2"/>
                <w:kern w:val="16"/>
                <w:sz w:val="24"/>
              </w:rPr>
            </w:pPr>
            <w:r>
              <w:rPr>
                <w:rFonts w:eastAsia="宋体"/>
                <w:sz w:val="24"/>
              </w:rPr>
              <w:t>因本项目已建设并投入运行，固只考虑运营期对环境所造成的污染</w:t>
            </w:r>
            <w:r>
              <w:rPr>
                <w:rFonts w:hint="eastAsia" w:eastAsia="宋体"/>
                <w:spacing w:val="-2"/>
                <w:kern w:val="16"/>
                <w:sz w:val="24"/>
              </w:rPr>
              <w:t>。</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 xml:space="preserve">10.1、环境管理 </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10.1.1环境管理机构</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建设单位要配备必要的专职人员负责环境保护管理工作。</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10.1.2</w:t>
            </w:r>
            <w:r>
              <w:rPr>
                <w:rFonts w:hint="eastAsia" w:eastAsia="宋体"/>
                <w:b/>
                <w:spacing w:val="-2"/>
                <w:kern w:val="16"/>
                <w:sz w:val="24"/>
              </w:rPr>
              <w:t>营运</w:t>
            </w:r>
            <w:r>
              <w:rPr>
                <w:rFonts w:eastAsia="宋体"/>
                <w:b/>
                <w:spacing w:val="-2"/>
                <w:kern w:val="16"/>
                <w:sz w:val="24"/>
              </w:rPr>
              <w:t>期的环境管理</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根据项目所在区域的环境特点，在运行主管单位宜设环境主管部门，配备相应专业的管理人员。环保管理人员应在各自的岗位责任制中明确所负的环保责任。监督国家法规、条例的贯彻执行情况，制定和贯彻环保管理制度，监控本工程主要污染源，对各部门、操作岗位进行环境保护监督和考核。运行期环境管理的职能为：</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1）制定和实施各项环境管理计划。</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2）建立电磁环境监测、生态环境现状调查数据档案，并定期向当地环境行政主管部门申报。</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3）掌握项目所在地周围的环境特征和重点环境保护目标情况。建立环境管理和环境监测技术文件，做好记录、建档工作。技术文件包括：污染源的监测技术文件；污染控制、环境保护设施的设计和运行管理文件；导致严重环境影响事件的分析报告和监测数据资料等。并定期向当地环保主管部门申报。</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4）检查治理设施治理情况，及时处理出现的问题，保证治理设施的正常运行。</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5）不定期的巡查升压站及线路各段，特别是各环境保护对象，保护生态环境不被破坏，保证保护生态与工程运行相协调。</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6）协调配合上级环保主管理部门所进行的环境调查，生态调查等活动。</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10.1.</w:t>
            </w:r>
            <w:r>
              <w:rPr>
                <w:rFonts w:hint="eastAsia" w:eastAsia="宋体"/>
                <w:b/>
                <w:spacing w:val="-2"/>
                <w:kern w:val="16"/>
                <w:sz w:val="24"/>
              </w:rPr>
              <w:t>3</w:t>
            </w:r>
            <w:r>
              <w:rPr>
                <w:rFonts w:eastAsia="宋体"/>
                <w:b/>
                <w:spacing w:val="-2"/>
                <w:kern w:val="16"/>
                <w:sz w:val="24"/>
              </w:rPr>
              <w:t>环保管理培训</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应对与工程项目有关的主要人员，包括施工单位、运行单位、受影响区域的公众，进行环境保护技术和政策方面的培训与宣传，从而进一步增强施工、运行单位的环保管理的能力，减少施工和运行产生的不利环境影响，并且能够更好的参与和监督本项目的环保管理；提高人们的环保意识，加强公众的环境保护和自我保护意识。</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10.</w:t>
            </w:r>
            <w:r>
              <w:rPr>
                <w:rFonts w:hint="eastAsia" w:eastAsia="宋体"/>
                <w:b/>
                <w:spacing w:val="-2"/>
                <w:kern w:val="16"/>
                <w:sz w:val="24"/>
              </w:rPr>
              <w:t>2</w:t>
            </w:r>
            <w:r>
              <w:rPr>
                <w:rFonts w:eastAsia="宋体"/>
                <w:b/>
                <w:spacing w:val="-2"/>
                <w:kern w:val="16"/>
                <w:sz w:val="24"/>
              </w:rPr>
              <w:t>环境监测</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本工程的环境监测工作可委托具有相应资质的单位完成，各项监测内容如下：</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10.2.1声环境</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1 \* GB3 </w:instrText>
            </w:r>
            <w:r>
              <w:rPr>
                <w:rFonts w:eastAsia="宋体"/>
                <w:spacing w:val="-2"/>
                <w:kern w:val="16"/>
                <w:sz w:val="24"/>
              </w:rPr>
              <w:fldChar w:fldCharType="separate"/>
            </w:r>
            <w:r>
              <w:rPr>
                <w:rFonts w:hint="eastAsia" w:ascii="宋体" w:hAnsi="宋体" w:eastAsia="宋体" w:cs="宋体"/>
                <w:spacing w:val="-2"/>
                <w:kern w:val="16"/>
                <w:sz w:val="24"/>
              </w:rPr>
              <w:t>①</w:t>
            </w:r>
            <w:r>
              <w:rPr>
                <w:rFonts w:eastAsia="宋体"/>
                <w:spacing w:val="-2"/>
                <w:kern w:val="16"/>
                <w:sz w:val="24"/>
              </w:rPr>
              <w:fldChar w:fldCharType="end"/>
            </w:r>
            <w:r>
              <w:rPr>
                <w:rFonts w:eastAsia="宋体"/>
                <w:spacing w:val="-2"/>
                <w:kern w:val="16"/>
                <w:sz w:val="24"/>
              </w:rPr>
              <w:t>监测布点：升压站及送电线路监测点位可布置在线路附近的居民区处。</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2 \* GB3 </w:instrText>
            </w:r>
            <w:r>
              <w:rPr>
                <w:rFonts w:eastAsia="宋体"/>
                <w:spacing w:val="-2"/>
                <w:kern w:val="16"/>
                <w:sz w:val="24"/>
              </w:rPr>
              <w:fldChar w:fldCharType="separate"/>
            </w:r>
            <w:r>
              <w:rPr>
                <w:rFonts w:hint="eastAsia" w:ascii="宋体" w:hAnsi="宋体" w:eastAsia="宋体" w:cs="宋体"/>
                <w:spacing w:val="-2"/>
                <w:kern w:val="16"/>
                <w:sz w:val="24"/>
              </w:rPr>
              <w:t>②</w:t>
            </w:r>
            <w:r>
              <w:rPr>
                <w:rFonts w:eastAsia="宋体"/>
                <w:spacing w:val="-2"/>
                <w:kern w:val="16"/>
                <w:sz w:val="24"/>
              </w:rPr>
              <w:fldChar w:fldCharType="end"/>
            </w:r>
            <w:r>
              <w:rPr>
                <w:rFonts w:eastAsia="宋体"/>
                <w:spacing w:val="-2"/>
                <w:kern w:val="16"/>
                <w:sz w:val="24"/>
              </w:rPr>
              <w:t>监测项目：1min等效连续A声级。</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3 \* GB3 </w:instrText>
            </w:r>
            <w:r>
              <w:rPr>
                <w:rFonts w:eastAsia="宋体"/>
                <w:spacing w:val="-2"/>
                <w:kern w:val="16"/>
                <w:sz w:val="24"/>
              </w:rPr>
              <w:fldChar w:fldCharType="separate"/>
            </w:r>
            <w:r>
              <w:rPr>
                <w:rFonts w:hint="eastAsia" w:ascii="宋体" w:hAnsi="宋体" w:eastAsia="宋体" w:cs="宋体"/>
                <w:spacing w:val="-2"/>
                <w:kern w:val="16"/>
                <w:sz w:val="24"/>
              </w:rPr>
              <w:t>③</w:t>
            </w:r>
            <w:r>
              <w:rPr>
                <w:rFonts w:eastAsia="宋体"/>
                <w:spacing w:val="-2"/>
                <w:kern w:val="16"/>
                <w:sz w:val="24"/>
              </w:rPr>
              <w:fldChar w:fldCharType="end"/>
            </w:r>
            <w:r>
              <w:rPr>
                <w:rFonts w:eastAsia="宋体"/>
                <w:spacing w:val="-2"/>
                <w:kern w:val="16"/>
                <w:sz w:val="24"/>
              </w:rPr>
              <w:t>监测方法：按《声环境质量标准》（GB3096-2008）中的监测方法进行。</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4 \* GB3 </w:instrText>
            </w:r>
            <w:r>
              <w:rPr>
                <w:rFonts w:eastAsia="宋体"/>
                <w:spacing w:val="-2"/>
                <w:kern w:val="16"/>
                <w:sz w:val="24"/>
              </w:rPr>
              <w:fldChar w:fldCharType="separate"/>
            </w:r>
            <w:r>
              <w:rPr>
                <w:rFonts w:hint="eastAsia" w:ascii="宋体" w:hAnsi="宋体" w:eastAsia="宋体" w:cs="宋体"/>
                <w:spacing w:val="-2"/>
                <w:kern w:val="16"/>
                <w:sz w:val="24"/>
              </w:rPr>
              <w:t>④</w:t>
            </w:r>
            <w:r>
              <w:rPr>
                <w:rFonts w:eastAsia="宋体"/>
                <w:spacing w:val="-2"/>
                <w:kern w:val="16"/>
                <w:sz w:val="24"/>
              </w:rPr>
              <w:fldChar w:fldCharType="end"/>
            </w:r>
            <w:r>
              <w:rPr>
                <w:rFonts w:eastAsia="宋体"/>
                <w:spacing w:val="-2"/>
                <w:kern w:val="16"/>
                <w:sz w:val="24"/>
              </w:rPr>
              <w:t>监测频率及时间：本工程完成后试生产期间结合竣工环境保护验收监测，每个监测点昼、夜间各监测一次，每年至少监测1次。</w:t>
            </w:r>
          </w:p>
          <w:p>
            <w:pPr>
              <w:autoSpaceDE w:val="0"/>
              <w:autoSpaceDN w:val="0"/>
              <w:adjustRightInd w:val="0"/>
              <w:spacing w:line="520" w:lineRule="exact"/>
              <w:jc w:val="left"/>
              <w:rPr>
                <w:rFonts w:eastAsia="宋体"/>
                <w:b/>
                <w:spacing w:val="-2"/>
                <w:kern w:val="16"/>
                <w:sz w:val="24"/>
              </w:rPr>
            </w:pPr>
            <w:r>
              <w:rPr>
                <w:rFonts w:eastAsia="宋体"/>
                <w:b/>
                <w:spacing w:val="-2"/>
                <w:kern w:val="16"/>
                <w:sz w:val="24"/>
              </w:rPr>
              <w:t>10.2.2电磁环境</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1 \* GB3 </w:instrText>
            </w:r>
            <w:r>
              <w:rPr>
                <w:rFonts w:eastAsia="宋体"/>
                <w:spacing w:val="-2"/>
                <w:kern w:val="16"/>
                <w:sz w:val="24"/>
              </w:rPr>
              <w:fldChar w:fldCharType="separate"/>
            </w:r>
            <w:r>
              <w:rPr>
                <w:rFonts w:hint="eastAsia" w:ascii="宋体" w:hAnsi="宋体" w:eastAsia="宋体" w:cs="宋体"/>
                <w:spacing w:val="-2"/>
                <w:kern w:val="16"/>
                <w:sz w:val="24"/>
              </w:rPr>
              <w:t>①</w:t>
            </w:r>
            <w:r>
              <w:rPr>
                <w:rFonts w:eastAsia="宋体"/>
                <w:spacing w:val="-2"/>
                <w:kern w:val="16"/>
                <w:sz w:val="24"/>
              </w:rPr>
              <w:fldChar w:fldCharType="end"/>
            </w:r>
            <w:r>
              <w:rPr>
                <w:rFonts w:eastAsia="宋体"/>
                <w:spacing w:val="-2"/>
                <w:kern w:val="16"/>
                <w:sz w:val="24"/>
              </w:rPr>
              <w:t>监测布点：同声环境监测点位布置。</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2 \* GB3 </w:instrText>
            </w:r>
            <w:r>
              <w:rPr>
                <w:rFonts w:eastAsia="宋体"/>
                <w:spacing w:val="-2"/>
                <w:kern w:val="16"/>
                <w:sz w:val="24"/>
              </w:rPr>
              <w:fldChar w:fldCharType="separate"/>
            </w:r>
            <w:r>
              <w:rPr>
                <w:rFonts w:hint="eastAsia" w:ascii="宋体" w:hAnsi="宋体" w:eastAsia="宋体" w:cs="宋体"/>
                <w:spacing w:val="-2"/>
                <w:kern w:val="16"/>
                <w:sz w:val="24"/>
              </w:rPr>
              <w:t>②</w:t>
            </w:r>
            <w:r>
              <w:rPr>
                <w:rFonts w:eastAsia="宋体"/>
                <w:spacing w:val="-2"/>
                <w:kern w:val="16"/>
                <w:sz w:val="24"/>
              </w:rPr>
              <w:fldChar w:fldCharType="end"/>
            </w:r>
            <w:r>
              <w:rPr>
                <w:rFonts w:eastAsia="宋体"/>
                <w:spacing w:val="-2"/>
                <w:kern w:val="16"/>
                <w:sz w:val="24"/>
              </w:rPr>
              <w:t>监测项目：工频电场、工频磁场。</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3 \* GB3 </w:instrText>
            </w:r>
            <w:r>
              <w:rPr>
                <w:rFonts w:eastAsia="宋体"/>
                <w:spacing w:val="-2"/>
                <w:kern w:val="16"/>
                <w:sz w:val="24"/>
              </w:rPr>
              <w:fldChar w:fldCharType="separate"/>
            </w:r>
            <w:r>
              <w:rPr>
                <w:rFonts w:hint="eastAsia" w:ascii="宋体" w:hAnsi="宋体" w:eastAsia="宋体" w:cs="宋体"/>
                <w:spacing w:val="-2"/>
                <w:kern w:val="16"/>
                <w:sz w:val="24"/>
              </w:rPr>
              <w:t>③</w:t>
            </w:r>
            <w:r>
              <w:rPr>
                <w:rFonts w:eastAsia="宋体"/>
                <w:spacing w:val="-2"/>
                <w:kern w:val="16"/>
                <w:sz w:val="24"/>
              </w:rPr>
              <w:fldChar w:fldCharType="end"/>
            </w:r>
            <w:r>
              <w:rPr>
                <w:rFonts w:eastAsia="宋体"/>
                <w:spacing w:val="-2"/>
                <w:kern w:val="16"/>
                <w:sz w:val="24"/>
              </w:rPr>
              <w:t>监测方法：工频电场、工频磁场监测按《交流输变电工程电磁环境监测方法（试行）》（HJ 681-2013）进行。</w:t>
            </w:r>
          </w:p>
          <w:p>
            <w:pPr>
              <w:autoSpaceDE w:val="0"/>
              <w:autoSpaceDN w:val="0"/>
              <w:adjustRightInd w:val="0"/>
              <w:spacing w:line="520" w:lineRule="exact"/>
              <w:ind w:firstLine="590" w:firstLineChars="250"/>
              <w:jc w:val="left"/>
              <w:rPr>
                <w:rFonts w:eastAsia="宋体"/>
                <w:sz w:val="24"/>
              </w:rPr>
            </w:pPr>
            <w:r>
              <w:rPr>
                <w:rFonts w:eastAsia="宋体"/>
                <w:spacing w:val="-2"/>
                <w:kern w:val="16"/>
                <w:sz w:val="24"/>
              </w:rPr>
              <w:fldChar w:fldCharType="begin"/>
            </w:r>
            <w:r>
              <w:rPr>
                <w:rFonts w:eastAsia="宋体"/>
                <w:spacing w:val="-2"/>
                <w:kern w:val="16"/>
                <w:sz w:val="24"/>
              </w:rPr>
              <w:instrText xml:space="preserve"> = 4 \* GB3 </w:instrText>
            </w:r>
            <w:r>
              <w:rPr>
                <w:rFonts w:eastAsia="宋体"/>
                <w:spacing w:val="-2"/>
                <w:kern w:val="16"/>
                <w:sz w:val="24"/>
              </w:rPr>
              <w:fldChar w:fldCharType="separate"/>
            </w:r>
            <w:r>
              <w:rPr>
                <w:rFonts w:hint="eastAsia" w:ascii="宋体" w:hAnsi="宋体" w:eastAsia="宋体" w:cs="宋体"/>
                <w:spacing w:val="-2"/>
                <w:kern w:val="16"/>
                <w:sz w:val="24"/>
              </w:rPr>
              <w:t>④</w:t>
            </w:r>
            <w:r>
              <w:rPr>
                <w:rFonts w:eastAsia="宋体"/>
                <w:spacing w:val="-2"/>
                <w:kern w:val="16"/>
                <w:sz w:val="24"/>
              </w:rPr>
              <w:fldChar w:fldCharType="end"/>
            </w:r>
            <w:r>
              <w:rPr>
                <w:rFonts w:eastAsia="宋体"/>
                <w:spacing w:val="-2"/>
                <w:kern w:val="16"/>
                <w:sz w:val="24"/>
              </w:rPr>
              <w:t>监测频率及时间：与声环境监测同时进行，只在白天晴好天气下监测，每年至少监测1次。</w:t>
            </w:r>
          </w:p>
          <w:p>
            <w:pPr>
              <w:rPr>
                <w:rFonts w:eastAsia="宋体"/>
                <w:sz w:val="24"/>
                <w:szCs w:val="28"/>
              </w:rPr>
            </w:pPr>
          </w:p>
          <w:p>
            <w:pPr>
              <w:rPr>
                <w:rFonts w:eastAsia="宋体"/>
                <w:sz w:val="24"/>
                <w:szCs w:val="28"/>
              </w:rPr>
            </w:pPr>
          </w:p>
        </w:tc>
      </w:tr>
    </w:tbl>
    <w:p>
      <w:pPr>
        <w:spacing w:line="360" w:lineRule="auto"/>
        <w:outlineLvl w:val="0"/>
        <w:rPr>
          <w:rFonts w:eastAsia="宋体"/>
          <w:b/>
          <w:color w:val="000000"/>
          <w:sz w:val="30"/>
          <w:szCs w:val="30"/>
        </w:rPr>
      </w:pPr>
      <w:bookmarkStart w:id="50" w:name="_Toc437271377"/>
      <w:bookmarkStart w:id="51" w:name="_Toc307124774"/>
      <w:bookmarkStart w:id="52" w:name="_Toc37923289"/>
      <w:r>
        <w:rPr>
          <w:rFonts w:hint="eastAsia" w:eastAsia="宋体"/>
          <w:b/>
          <w:color w:val="000000"/>
          <w:sz w:val="30"/>
          <w:szCs w:val="30"/>
        </w:rPr>
        <w:t>十一、</w:t>
      </w:r>
      <w:r>
        <w:rPr>
          <w:rFonts w:eastAsia="宋体"/>
          <w:b/>
          <w:color w:val="000000"/>
          <w:sz w:val="30"/>
          <w:szCs w:val="30"/>
        </w:rPr>
        <w:t>结论与建议</w:t>
      </w:r>
      <w:bookmarkEnd w:id="50"/>
      <w:bookmarkEnd w:id="51"/>
      <w:bookmarkEnd w:id="52"/>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522" w:type="dxa"/>
          </w:tcPr>
          <w:p>
            <w:pPr>
              <w:adjustRightInd w:val="0"/>
              <w:snapToGrid w:val="0"/>
              <w:spacing w:line="520" w:lineRule="exact"/>
              <w:rPr>
                <w:rFonts w:eastAsia="宋体"/>
                <w:b/>
                <w:bCs/>
                <w:sz w:val="24"/>
                <w:szCs w:val="28"/>
              </w:rPr>
            </w:pPr>
            <w:r>
              <w:rPr>
                <w:rFonts w:eastAsia="宋体"/>
                <w:b/>
                <w:bCs/>
                <w:sz w:val="24"/>
                <w:szCs w:val="28"/>
              </w:rPr>
              <w:t>11.1项目建设的必要性</w:t>
            </w:r>
          </w:p>
          <w:p>
            <w:pPr>
              <w:autoSpaceDE w:val="0"/>
              <w:autoSpaceDN w:val="0"/>
              <w:adjustRightInd w:val="0"/>
              <w:spacing w:line="520" w:lineRule="exact"/>
              <w:ind w:firstLine="480" w:firstLineChars="200"/>
              <w:jc w:val="left"/>
              <w:rPr>
                <w:rFonts w:eastAsia="宋体"/>
                <w:spacing w:val="-2"/>
                <w:kern w:val="16"/>
                <w:sz w:val="24"/>
              </w:rPr>
            </w:pPr>
            <w:r>
              <w:rPr>
                <w:rFonts w:hint="eastAsia" w:eastAsia="宋体"/>
                <w:sz w:val="24"/>
              </w:rPr>
              <w:t>为满足禹州市负荷发展需要，优化110kV电网结构，为该区域提供电源接入点，同时有效减轻禹州市升压站供电压力，提高该地区供电可靠性和安全运行水平，为禹州市经济社会发展提供克劳的电力保障，</w:t>
            </w:r>
            <w:r>
              <w:rPr>
                <w:rFonts w:eastAsia="宋体"/>
                <w:spacing w:val="-2"/>
                <w:kern w:val="16"/>
                <w:sz w:val="24"/>
              </w:rPr>
              <w:t>本工程发电机组利用当地风能资源发电</w:t>
            </w:r>
            <w:r>
              <w:rPr>
                <w:rFonts w:hint="eastAsia" w:eastAsia="宋体"/>
                <w:spacing w:val="-2"/>
                <w:kern w:val="16"/>
                <w:sz w:val="24"/>
              </w:rPr>
              <w:t>，因此</w:t>
            </w:r>
            <w:r>
              <w:rPr>
                <w:rFonts w:eastAsia="宋体"/>
                <w:spacing w:val="-2"/>
                <w:kern w:val="16"/>
                <w:sz w:val="24"/>
              </w:rPr>
              <w:t>建设本工程是必要的。</w:t>
            </w:r>
          </w:p>
          <w:p>
            <w:pPr>
              <w:adjustRightInd w:val="0"/>
              <w:snapToGrid w:val="0"/>
              <w:spacing w:line="520" w:lineRule="exact"/>
              <w:rPr>
                <w:rFonts w:eastAsia="宋体"/>
                <w:b/>
                <w:sz w:val="24"/>
              </w:rPr>
            </w:pPr>
            <w:r>
              <w:rPr>
                <w:rFonts w:eastAsia="宋体"/>
                <w:b/>
                <w:sz w:val="24"/>
              </w:rPr>
              <w:t>11.2项目概况</w:t>
            </w:r>
          </w:p>
          <w:p>
            <w:pPr>
              <w:spacing w:line="520" w:lineRule="exact"/>
              <w:ind w:firstLine="480" w:firstLineChars="200"/>
              <w:rPr>
                <w:rFonts w:eastAsia="宋体"/>
                <w:sz w:val="24"/>
              </w:rPr>
            </w:pPr>
            <w:r>
              <w:rPr>
                <w:rFonts w:hint="eastAsia" w:eastAsia="宋体"/>
                <w:sz w:val="24"/>
              </w:rPr>
              <w:t>中广核禹州市苌庄80MW风电场110kV升压站及送出线路工程包括以下内容：</w:t>
            </w:r>
          </w:p>
          <w:p>
            <w:pPr>
              <w:autoSpaceDE w:val="0"/>
              <w:autoSpaceDN w:val="0"/>
              <w:adjustRightInd w:val="0"/>
              <w:spacing w:line="520" w:lineRule="exact"/>
              <w:ind w:firstLine="480" w:firstLineChars="200"/>
              <w:jc w:val="left"/>
              <w:rPr>
                <w:rFonts w:eastAsia="宋体"/>
                <w:spacing w:val="-2"/>
                <w:kern w:val="16"/>
                <w:sz w:val="24"/>
              </w:rPr>
            </w:pPr>
            <w:r>
              <w:rPr>
                <w:rFonts w:hint="eastAsia" w:eastAsia="宋体"/>
                <w:sz w:val="24"/>
              </w:rPr>
              <w:t>（1）</w:t>
            </w:r>
            <w:r>
              <w:rPr>
                <w:rFonts w:eastAsia="宋体"/>
                <w:spacing w:val="-2"/>
                <w:kern w:val="16"/>
                <w:sz w:val="24"/>
              </w:rPr>
              <w:t>110kV升压站：新建主变压器1台，容量</w:t>
            </w:r>
            <w:r>
              <w:rPr>
                <w:rFonts w:hint="eastAsia" w:eastAsia="宋体"/>
                <w:spacing w:val="-2"/>
                <w:kern w:val="16"/>
                <w:sz w:val="24"/>
              </w:rPr>
              <w:t>80</w:t>
            </w:r>
            <w:r>
              <w:rPr>
                <w:rFonts w:eastAsia="宋体"/>
                <w:spacing w:val="-2"/>
                <w:kern w:val="16"/>
                <w:sz w:val="24"/>
              </w:rPr>
              <w:t>MVA。</w:t>
            </w:r>
          </w:p>
          <w:p>
            <w:pPr>
              <w:autoSpaceDE w:val="0"/>
              <w:autoSpaceDN w:val="0"/>
              <w:adjustRightInd w:val="0"/>
              <w:spacing w:line="520" w:lineRule="exact"/>
              <w:ind w:firstLine="472" w:firstLineChars="200"/>
              <w:rPr>
                <w:rFonts w:eastAsia="宋体"/>
                <w:b/>
                <w:i/>
                <w:spacing w:val="-2"/>
                <w:kern w:val="16"/>
                <w:sz w:val="24"/>
              </w:rPr>
            </w:pPr>
            <w:r>
              <w:rPr>
                <w:rFonts w:eastAsia="宋体"/>
                <w:spacing w:val="-2"/>
                <w:kern w:val="16"/>
                <w:sz w:val="24"/>
              </w:rPr>
              <w:t>（2）110kV线路工程：本期110kV线路出线1回，单回路架设，线路长度</w:t>
            </w:r>
            <w:r>
              <w:rPr>
                <w:rFonts w:hint="eastAsia" w:eastAsia="宋体"/>
                <w:spacing w:val="-2"/>
                <w:kern w:val="16"/>
                <w:sz w:val="24"/>
              </w:rPr>
              <w:t>14.56km</w:t>
            </w:r>
            <w:r>
              <w:rPr>
                <w:rFonts w:eastAsia="宋体"/>
                <w:spacing w:val="-2"/>
                <w:kern w:val="16"/>
                <w:sz w:val="24"/>
              </w:rPr>
              <w:t>，从110kV</w:t>
            </w:r>
            <w:r>
              <w:rPr>
                <w:rFonts w:hint="eastAsia" w:eastAsia="宋体"/>
                <w:spacing w:val="-2"/>
                <w:kern w:val="16"/>
                <w:sz w:val="24"/>
              </w:rPr>
              <w:t>月湾变</w:t>
            </w:r>
            <w:r>
              <w:rPr>
                <w:rFonts w:eastAsia="宋体"/>
                <w:spacing w:val="-2"/>
                <w:kern w:val="16"/>
                <w:sz w:val="24"/>
              </w:rPr>
              <w:t>接入本项目升压站，</w:t>
            </w:r>
            <w:r>
              <w:rPr>
                <w:rFonts w:hint="eastAsia" w:eastAsia="宋体"/>
                <w:spacing w:val="-2"/>
                <w:kern w:val="16"/>
                <w:sz w:val="24"/>
              </w:rPr>
              <w:t>并在月湾变内扩建</w:t>
            </w:r>
            <w:r>
              <w:rPr>
                <w:rFonts w:eastAsia="宋体"/>
                <w:spacing w:val="-2"/>
                <w:kern w:val="16"/>
                <w:sz w:val="24"/>
              </w:rPr>
              <w:t>出线间隔。新建线路全为架空线路。</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本项目总投资</w:t>
            </w:r>
            <w:r>
              <w:rPr>
                <w:rFonts w:hint="eastAsia" w:eastAsia="宋体"/>
                <w:sz w:val="24"/>
              </w:rPr>
              <w:t>2250.73</w:t>
            </w:r>
            <w:r>
              <w:rPr>
                <w:rFonts w:eastAsia="宋体"/>
                <w:spacing w:val="-2"/>
                <w:kern w:val="16"/>
                <w:sz w:val="24"/>
              </w:rPr>
              <w:t>万元，其中环保投资</w:t>
            </w:r>
            <w:r>
              <w:rPr>
                <w:rFonts w:hint="eastAsia" w:eastAsia="宋体"/>
                <w:spacing w:val="-2"/>
                <w:kern w:val="16"/>
                <w:sz w:val="24"/>
              </w:rPr>
              <w:t>37</w:t>
            </w:r>
            <w:r>
              <w:rPr>
                <w:rFonts w:eastAsia="宋体"/>
                <w:spacing w:val="-2"/>
                <w:kern w:val="16"/>
                <w:sz w:val="24"/>
              </w:rPr>
              <w:t>万元，占工程总投资的1.64%。</w:t>
            </w:r>
          </w:p>
          <w:p>
            <w:pPr>
              <w:adjustRightInd w:val="0"/>
              <w:snapToGrid w:val="0"/>
              <w:spacing w:line="520" w:lineRule="exact"/>
              <w:rPr>
                <w:rFonts w:eastAsia="宋体"/>
                <w:b/>
                <w:bCs/>
                <w:color w:val="FF0000"/>
                <w:sz w:val="24"/>
                <w:szCs w:val="28"/>
                <w:highlight w:val="yellow"/>
              </w:rPr>
            </w:pPr>
            <w:r>
              <w:rPr>
                <w:rFonts w:eastAsia="宋体"/>
                <w:b/>
                <w:bCs/>
                <w:sz w:val="24"/>
                <w:szCs w:val="28"/>
              </w:rPr>
              <w:t>11.3环境</w:t>
            </w:r>
            <w:r>
              <w:rPr>
                <w:rFonts w:hint="eastAsia" w:eastAsia="宋体"/>
                <w:b/>
                <w:bCs/>
                <w:sz w:val="24"/>
                <w:szCs w:val="28"/>
              </w:rPr>
              <w:t>质量现状</w:t>
            </w:r>
          </w:p>
          <w:p>
            <w:pPr>
              <w:adjustRightInd w:val="0"/>
              <w:snapToGrid w:val="0"/>
              <w:spacing w:line="520" w:lineRule="exact"/>
              <w:rPr>
                <w:rFonts w:eastAsia="宋体"/>
                <w:b/>
                <w:sz w:val="24"/>
              </w:rPr>
            </w:pPr>
            <w:r>
              <w:rPr>
                <w:rFonts w:eastAsia="宋体"/>
                <w:b/>
                <w:sz w:val="24"/>
              </w:rPr>
              <w:t>11.3.1电磁环境</w:t>
            </w:r>
            <w:r>
              <w:rPr>
                <w:rFonts w:hint="eastAsia" w:eastAsia="宋体"/>
                <w:b/>
                <w:sz w:val="24"/>
              </w:rPr>
              <w:t>现状</w:t>
            </w:r>
          </w:p>
          <w:p>
            <w:pPr>
              <w:autoSpaceDE w:val="0"/>
              <w:autoSpaceDN w:val="0"/>
              <w:adjustRightInd w:val="0"/>
              <w:spacing w:line="520" w:lineRule="exact"/>
              <w:ind w:firstLine="590" w:firstLineChars="250"/>
              <w:jc w:val="left"/>
              <w:rPr>
                <w:rFonts w:eastAsia="宋体"/>
                <w:spacing w:val="-2"/>
                <w:kern w:val="16"/>
                <w:sz w:val="24"/>
              </w:rPr>
            </w:pPr>
            <w:r>
              <w:rPr>
                <w:rFonts w:eastAsia="宋体"/>
                <w:spacing w:val="-2"/>
                <w:kern w:val="16"/>
                <w:sz w:val="24"/>
              </w:rPr>
              <w:t>（1）工频电场</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1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升压站站址：由表4-</w:t>
            </w:r>
            <w:r>
              <w:rPr>
                <w:rFonts w:hint="eastAsia" w:eastAsia="宋体"/>
                <w:color w:val="000000" w:themeColor="text1"/>
                <w:spacing w:val="-2"/>
                <w:kern w:val="16"/>
                <w:sz w:val="24"/>
              </w:rPr>
              <w:t>5</w:t>
            </w:r>
            <w:r>
              <w:rPr>
                <w:rFonts w:eastAsia="宋体"/>
                <w:color w:val="000000" w:themeColor="text1"/>
                <w:spacing w:val="-2"/>
                <w:kern w:val="16"/>
                <w:sz w:val="24"/>
              </w:rPr>
              <w:t>可知，110kV升压站站址处工频电场范围为</w:t>
            </w:r>
            <w:r>
              <w:rPr>
                <w:rFonts w:hint="eastAsia" w:eastAsia="宋体"/>
                <w:color w:val="000000" w:themeColor="text1"/>
                <w:spacing w:val="-2"/>
                <w:kern w:val="16"/>
                <w:sz w:val="24"/>
              </w:rPr>
              <w:t>0.65</w:t>
            </w:r>
            <w:r>
              <w:rPr>
                <w:rFonts w:eastAsia="宋体"/>
                <w:color w:val="000000" w:themeColor="text1"/>
                <w:spacing w:val="-2"/>
                <w:kern w:val="16"/>
                <w:sz w:val="24"/>
              </w:rPr>
              <w:t>～</w:t>
            </w:r>
            <w:r>
              <w:rPr>
                <w:rFonts w:hint="eastAsia" w:eastAsia="宋体"/>
                <w:color w:val="000000" w:themeColor="text1"/>
                <w:spacing w:val="-2"/>
                <w:kern w:val="16"/>
                <w:sz w:val="24"/>
              </w:rPr>
              <w:t>31.72</w:t>
            </w:r>
            <w:r>
              <w:rPr>
                <w:rFonts w:eastAsia="宋体"/>
                <w:color w:val="000000" w:themeColor="text1"/>
                <w:spacing w:val="-2"/>
                <w:kern w:val="16"/>
                <w:sz w:val="24"/>
              </w:rPr>
              <w:t>V/m。最大值</w:t>
            </w:r>
            <w:r>
              <w:rPr>
                <w:rFonts w:hint="eastAsia" w:eastAsia="宋体"/>
                <w:color w:val="000000" w:themeColor="text1"/>
                <w:spacing w:val="-2"/>
                <w:kern w:val="16"/>
                <w:sz w:val="24"/>
              </w:rPr>
              <w:t>31.72</w:t>
            </w:r>
            <w:r>
              <w:rPr>
                <w:rFonts w:eastAsia="宋体"/>
                <w:color w:val="000000" w:themeColor="text1"/>
                <w:spacing w:val="-2"/>
                <w:kern w:val="16"/>
                <w:sz w:val="24"/>
              </w:rPr>
              <w:t>V/m出现在升压站</w:t>
            </w:r>
            <w:r>
              <w:rPr>
                <w:rFonts w:hint="eastAsia" w:eastAsia="宋体"/>
                <w:color w:val="000000" w:themeColor="text1"/>
                <w:spacing w:val="-2"/>
                <w:kern w:val="16"/>
                <w:sz w:val="24"/>
              </w:rPr>
              <w:t>东</w:t>
            </w:r>
            <w:r>
              <w:rPr>
                <w:rFonts w:eastAsia="宋体"/>
                <w:color w:val="000000" w:themeColor="text1"/>
                <w:spacing w:val="-2"/>
                <w:kern w:val="16"/>
                <w:sz w:val="24"/>
              </w:rPr>
              <w:t>侧，站址四周工频电场现状值满足4kV/m的标准限值要求。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2 \* GB3 </w:instrText>
            </w:r>
            <w:r>
              <w:rPr>
                <w:rFonts w:eastAsia="宋体"/>
                <w:color w:val="000000" w:themeColor="text1"/>
                <w:spacing w:val="-2"/>
                <w:kern w:val="16"/>
                <w:sz w:val="24"/>
              </w:rPr>
              <w:fldChar w:fldCharType="separate"/>
            </w:r>
            <w:r>
              <w:rPr>
                <w:rFonts w:hAnsi="宋体" w:eastAsia="宋体"/>
                <w:color w:val="000000" w:themeColor="text1"/>
                <w:spacing w:val="-2"/>
                <w:kern w:val="16"/>
                <w:sz w:val="24"/>
              </w:rPr>
              <w:t>②</w:t>
            </w:r>
            <w:r>
              <w:rPr>
                <w:rFonts w:eastAsia="宋体"/>
                <w:color w:val="000000" w:themeColor="text1"/>
                <w:spacing w:val="-2"/>
                <w:kern w:val="16"/>
                <w:sz w:val="24"/>
              </w:rPr>
              <w:fldChar w:fldCharType="end"/>
            </w:r>
            <w:r>
              <w:rPr>
                <w:rFonts w:hAnsi="宋体" w:eastAsia="宋体"/>
                <w:color w:val="000000" w:themeColor="text1"/>
                <w:spacing w:val="-2"/>
                <w:kern w:val="16"/>
                <w:sz w:val="24"/>
              </w:rPr>
              <w:t>敏感点：由表</w:t>
            </w:r>
            <w:r>
              <w:rPr>
                <w:rFonts w:eastAsia="宋体"/>
                <w:color w:val="000000" w:themeColor="text1"/>
                <w:spacing w:val="-2"/>
                <w:kern w:val="16"/>
                <w:sz w:val="24"/>
              </w:rPr>
              <w:t>4-</w:t>
            </w:r>
            <w:r>
              <w:rPr>
                <w:rFonts w:hint="eastAsia" w:eastAsia="宋体"/>
                <w:color w:val="000000" w:themeColor="text1"/>
                <w:spacing w:val="-2"/>
                <w:kern w:val="16"/>
                <w:sz w:val="24"/>
              </w:rPr>
              <w:t>5</w:t>
            </w:r>
            <w:r>
              <w:rPr>
                <w:rFonts w:hAnsi="宋体" w:eastAsia="宋体"/>
                <w:color w:val="000000" w:themeColor="text1"/>
                <w:spacing w:val="-2"/>
                <w:kern w:val="16"/>
                <w:sz w:val="24"/>
              </w:rPr>
              <w:t>可知，本工程敏感点处工频电场范围为</w:t>
            </w:r>
            <w:r>
              <w:rPr>
                <w:rFonts w:eastAsia="宋体"/>
                <w:color w:val="000000" w:themeColor="text1"/>
                <w:spacing w:val="-2"/>
                <w:kern w:val="16"/>
                <w:sz w:val="24"/>
              </w:rPr>
              <w:t>0.19</w:t>
            </w:r>
            <w:r>
              <w:rPr>
                <w:rFonts w:hAnsi="宋体" w:eastAsia="宋体"/>
                <w:color w:val="000000" w:themeColor="text1"/>
                <w:spacing w:val="-2"/>
                <w:kern w:val="16"/>
                <w:sz w:val="24"/>
              </w:rPr>
              <w:t>～</w:t>
            </w:r>
            <w:r>
              <w:rPr>
                <w:rFonts w:eastAsia="宋体"/>
                <w:color w:val="000000" w:themeColor="text1"/>
                <w:spacing w:val="-2"/>
                <w:kern w:val="16"/>
                <w:sz w:val="24"/>
              </w:rPr>
              <w:t>75.57V/m</w:t>
            </w:r>
            <w:r>
              <w:rPr>
                <w:rFonts w:hAnsi="宋体" w:eastAsia="宋体"/>
                <w:color w:val="000000" w:themeColor="text1"/>
                <w:spacing w:val="-2"/>
                <w:kern w:val="16"/>
                <w:sz w:val="24"/>
              </w:rPr>
              <w:t>，最大值</w:t>
            </w:r>
            <w:r>
              <w:rPr>
                <w:rFonts w:eastAsia="宋体"/>
                <w:color w:val="000000" w:themeColor="text1"/>
                <w:spacing w:val="-2"/>
                <w:kern w:val="16"/>
                <w:sz w:val="24"/>
              </w:rPr>
              <w:t>75.57V/m</w:t>
            </w:r>
            <w:r>
              <w:rPr>
                <w:rFonts w:hAnsi="宋体" w:eastAsia="宋体"/>
                <w:color w:val="000000" w:themeColor="text1"/>
                <w:spacing w:val="-2"/>
                <w:kern w:val="16"/>
                <w:sz w:val="24"/>
              </w:rPr>
              <w:t>出现在</w:t>
            </w:r>
            <w:r>
              <w:rPr>
                <w:rFonts w:hAnsi="宋体" w:eastAsia="宋体"/>
                <w:color w:val="000000" w:themeColor="text1"/>
                <w:sz w:val="24"/>
              </w:rPr>
              <w:t>张垌村王娟家</w:t>
            </w:r>
            <w:r>
              <w:rPr>
                <w:rFonts w:hAnsi="宋体" w:eastAsia="宋体"/>
                <w:color w:val="000000" w:themeColor="text1"/>
                <w:spacing w:val="-2"/>
                <w:kern w:val="16"/>
                <w:sz w:val="24"/>
              </w:rPr>
              <w:t>。敏感点处的工频电场现状值满足</w:t>
            </w:r>
            <w:r>
              <w:rPr>
                <w:rFonts w:eastAsia="宋体"/>
                <w:color w:val="000000" w:themeColor="text1"/>
                <w:spacing w:val="-2"/>
                <w:kern w:val="16"/>
                <w:sz w:val="24"/>
              </w:rPr>
              <w:t>4kV/m</w:t>
            </w:r>
            <w:r>
              <w:rPr>
                <w:rFonts w:hAnsi="宋体" w:eastAsia="宋体"/>
                <w:color w:val="000000" w:themeColor="text1"/>
                <w:spacing w:val="-2"/>
                <w:kern w:val="16"/>
                <w:sz w:val="24"/>
              </w:rPr>
              <w:t>的标准限值要求。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（2）工频磁感应强度</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1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升压站站址：由表4-</w:t>
            </w:r>
            <w:r>
              <w:rPr>
                <w:rFonts w:hint="eastAsia" w:eastAsia="宋体"/>
                <w:color w:val="000000" w:themeColor="text1"/>
                <w:spacing w:val="-2"/>
                <w:kern w:val="16"/>
                <w:sz w:val="24"/>
              </w:rPr>
              <w:t>5</w:t>
            </w:r>
            <w:r>
              <w:rPr>
                <w:rFonts w:eastAsia="宋体"/>
                <w:color w:val="000000" w:themeColor="text1"/>
                <w:spacing w:val="-2"/>
                <w:kern w:val="16"/>
                <w:sz w:val="24"/>
              </w:rPr>
              <w:t>可知，110kV升压站站址处工频磁感应强度范围为</w:t>
            </w:r>
            <w:r>
              <w:rPr>
                <w:rFonts w:hint="eastAsia" w:eastAsia="宋体"/>
                <w:color w:val="000000" w:themeColor="text1"/>
                <w:spacing w:val="-2"/>
                <w:kern w:val="16"/>
                <w:sz w:val="24"/>
              </w:rPr>
              <w:t>0.0046</w:t>
            </w:r>
            <w:r>
              <w:rPr>
                <w:rFonts w:eastAsia="宋体"/>
                <w:color w:val="000000" w:themeColor="text1"/>
                <w:spacing w:val="-2"/>
                <w:kern w:val="16"/>
                <w:sz w:val="24"/>
              </w:rPr>
              <w:t>～</w:t>
            </w:r>
            <w:r>
              <w:rPr>
                <w:rFonts w:hint="eastAsia" w:eastAsia="宋体"/>
                <w:color w:val="000000" w:themeColor="text1"/>
                <w:spacing w:val="-2"/>
                <w:kern w:val="16"/>
                <w:sz w:val="24"/>
              </w:rPr>
              <w:t>0.0064</w:t>
            </w:r>
            <w:r>
              <w:rPr>
                <w:rFonts w:eastAsia="宋体"/>
                <w:color w:val="000000" w:themeColor="text1"/>
                <w:spacing w:val="-2"/>
                <w:kern w:val="16"/>
                <w:sz w:val="24"/>
              </w:rPr>
              <w:t>μT。最大值0.</w:t>
            </w:r>
            <w:r>
              <w:rPr>
                <w:rFonts w:hint="eastAsia" w:eastAsia="宋体"/>
                <w:color w:val="000000" w:themeColor="text1"/>
                <w:spacing w:val="-2"/>
                <w:kern w:val="16"/>
                <w:sz w:val="24"/>
              </w:rPr>
              <w:t>0064</w:t>
            </w:r>
            <w:r>
              <w:rPr>
                <w:rFonts w:eastAsia="宋体"/>
                <w:color w:val="000000" w:themeColor="text1"/>
                <w:spacing w:val="-2"/>
                <w:kern w:val="16"/>
                <w:sz w:val="24"/>
              </w:rPr>
              <w:t>μT出现在升压站</w:t>
            </w:r>
            <w:r>
              <w:rPr>
                <w:rFonts w:hint="eastAsia" w:eastAsia="宋体"/>
                <w:color w:val="000000" w:themeColor="text1"/>
                <w:spacing w:val="-2"/>
                <w:kern w:val="16"/>
                <w:sz w:val="24"/>
              </w:rPr>
              <w:t>西</w:t>
            </w:r>
            <w:r>
              <w:rPr>
                <w:rFonts w:eastAsia="宋体"/>
                <w:color w:val="000000" w:themeColor="text1"/>
                <w:spacing w:val="-2"/>
                <w:kern w:val="16"/>
                <w:sz w:val="24"/>
              </w:rPr>
              <w:t>侧，站址四周工频磁感应强度现状值满足0.1mT的标准限值要求。</w:t>
            </w:r>
          </w:p>
          <w:p>
            <w:pPr>
              <w:autoSpaceDE w:val="0"/>
              <w:autoSpaceDN w:val="0"/>
              <w:adjustRightInd w:val="0"/>
              <w:spacing w:line="520" w:lineRule="exact"/>
              <w:ind w:firstLine="590" w:firstLineChars="250"/>
              <w:rPr>
                <w:rFonts w:hAnsi="宋体"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2 \* GB3 </w:instrText>
            </w:r>
            <w:r>
              <w:rPr>
                <w:rFonts w:eastAsia="宋体"/>
                <w:color w:val="000000" w:themeColor="text1"/>
                <w:spacing w:val="-2"/>
                <w:kern w:val="16"/>
                <w:sz w:val="24"/>
              </w:rPr>
              <w:fldChar w:fldCharType="separate"/>
            </w:r>
            <w:r>
              <w:rPr>
                <w:rFonts w:hAnsi="宋体" w:eastAsia="宋体"/>
                <w:color w:val="000000" w:themeColor="text1"/>
                <w:spacing w:val="-2"/>
                <w:kern w:val="16"/>
                <w:sz w:val="24"/>
              </w:rPr>
              <w:t>②</w:t>
            </w:r>
            <w:r>
              <w:rPr>
                <w:rFonts w:eastAsia="宋体"/>
                <w:color w:val="000000" w:themeColor="text1"/>
                <w:spacing w:val="-2"/>
                <w:kern w:val="16"/>
                <w:sz w:val="24"/>
              </w:rPr>
              <w:fldChar w:fldCharType="end"/>
            </w:r>
            <w:r>
              <w:rPr>
                <w:rFonts w:hAnsi="宋体" w:eastAsia="宋体"/>
                <w:color w:val="000000" w:themeColor="text1"/>
                <w:spacing w:val="-2"/>
                <w:kern w:val="16"/>
                <w:sz w:val="24"/>
              </w:rPr>
              <w:t>敏感点：表</w:t>
            </w:r>
            <w:r>
              <w:rPr>
                <w:rFonts w:eastAsia="宋体"/>
                <w:color w:val="000000" w:themeColor="text1"/>
                <w:spacing w:val="-2"/>
                <w:kern w:val="16"/>
                <w:sz w:val="24"/>
              </w:rPr>
              <w:t>4-</w:t>
            </w:r>
            <w:r>
              <w:rPr>
                <w:rFonts w:hint="eastAsia" w:eastAsia="宋体"/>
                <w:color w:val="000000" w:themeColor="text1"/>
                <w:spacing w:val="-2"/>
                <w:kern w:val="16"/>
                <w:sz w:val="24"/>
              </w:rPr>
              <w:t>5</w:t>
            </w:r>
            <w:r>
              <w:rPr>
                <w:rFonts w:hAnsi="宋体" w:eastAsia="宋体"/>
                <w:color w:val="000000" w:themeColor="text1"/>
                <w:spacing w:val="-2"/>
                <w:kern w:val="16"/>
                <w:sz w:val="24"/>
              </w:rPr>
              <w:t>可知，本工程敏感点处工频磁感应强度范围为</w:t>
            </w:r>
            <w:r>
              <w:rPr>
                <w:rFonts w:eastAsia="宋体"/>
                <w:color w:val="000000" w:themeColor="text1"/>
                <w:spacing w:val="-2"/>
                <w:kern w:val="16"/>
                <w:sz w:val="24"/>
              </w:rPr>
              <w:t>0.0238</w:t>
            </w:r>
            <w:r>
              <w:rPr>
                <w:rFonts w:hAnsi="宋体" w:eastAsia="宋体"/>
                <w:color w:val="000000" w:themeColor="text1"/>
                <w:spacing w:val="-2"/>
                <w:kern w:val="16"/>
                <w:sz w:val="24"/>
              </w:rPr>
              <w:t>～</w:t>
            </w:r>
            <w:r>
              <w:rPr>
                <w:rFonts w:eastAsia="宋体"/>
                <w:color w:val="000000" w:themeColor="text1"/>
                <w:spacing w:val="-2"/>
                <w:kern w:val="16"/>
                <w:sz w:val="24"/>
              </w:rPr>
              <w:t>0.1873μT</w:t>
            </w:r>
            <w:r>
              <w:rPr>
                <w:rFonts w:hAnsi="宋体" w:eastAsia="宋体"/>
                <w:color w:val="000000" w:themeColor="text1"/>
                <w:spacing w:val="-2"/>
                <w:kern w:val="16"/>
                <w:sz w:val="24"/>
              </w:rPr>
              <w:t>。最大值</w:t>
            </w:r>
            <w:r>
              <w:rPr>
                <w:rFonts w:eastAsia="宋体"/>
                <w:color w:val="000000" w:themeColor="text1"/>
                <w:spacing w:val="-2"/>
                <w:kern w:val="16"/>
                <w:sz w:val="24"/>
              </w:rPr>
              <w:t>0.1873μT</w:t>
            </w:r>
            <w:r>
              <w:rPr>
                <w:rFonts w:hAnsi="宋体" w:eastAsia="宋体"/>
                <w:color w:val="000000" w:themeColor="text1"/>
                <w:spacing w:val="-2"/>
                <w:kern w:val="16"/>
                <w:sz w:val="24"/>
              </w:rPr>
              <w:t>出现在</w:t>
            </w:r>
            <w:r>
              <w:rPr>
                <w:rFonts w:hAnsi="宋体" w:eastAsia="宋体"/>
                <w:color w:val="000000" w:themeColor="text1"/>
                <w:sz w:val="24"/>
              </w:rPr>
              <w:t>张垌村王娟家</w:t>
            </w:r>
            <w:r>
              <w:rPr>
                <w:rFonts w:hAnsi="宋体" w:eastAsia="宋体"/>
                <w:color w:val="000000" w:themeColor="text1"/>
                <w:spacing w:val="-2"/>
                <w:kern w:val="16"/>
                <w:sz w:val="24"/>
              </w:rPr>
              <w:t>。敏感点处的工频磁感应强度现状值满足</w:t>
            </w:r>
            <w:r>
              <w:rPr>
                <w:rFonts w:eastAsia="宋体"/>
                <w:color w:val="000000" w:themeColor="text1"/>
                <w:spacing w:val="-2"/>
                <w:kern w:val="16"/>
                <w:sz w:val="24"/>
              </w:rPr>
              <w:t>0.1mT</w:t>
            </w:r>
            <w:r>
              <w:rPr>
                <w:rFonts w:hAnsi="宋体" w:eastAsia="宋体"/>
                <w:color w:val="000000" w:themeColor="text1"/>
                <w:spacing w:val="-2"/>
                <w:kern w:val="16"/>
                <w:sz w:val="24"/>
              </w:rPr>
              <w:t>的标准限值要求。</w:t>
            </w:r>
          </w:p>
          <w:p>
            <w:pPr>
              <w:adjustRightInd w:val="0"/>
              <w:snapToGrid w:val="0"/>
              <w:spacing w:line="520" w:lineRule="exact"/>
              <w:rPr>
                <w:rFonts w:eastAsia="宋体"/>
                <w:b/>
                <w:sz w:val="24"/>
              </w:rPr>
            </w:pPr>
            <w:r>
              <w:rPr>
                <w:rFonts w:eastAsia="宋体"/>
                <w:b/>
                <w:sz w:val="24"/>
              </w:rPr>
              <w:t>11.3.</w:t>
            </w:r>
            <w:r>
              <w:rPr>
                <w:rFonts w:hint="eastAsia" w:eastAsia="宋体"/>
                <w:b/>
                <w:sz w:val="24"/>
              </w:rPr>
              <w:t>2声</w:t>
            </w:r>
            <w:r>
              <w:rPr>
                <w:rFonts w:eastAsia="宋体"/>
                <w:b/>
                <w:sz w:val="24"/>
              </w:rPr>
              <w:t>环境</w:t>
            </w:r>
            <w:r>
              <w:rPr>
                <w:rFonts w:hint="eastAsia" w:eastAsia="宋体"/>
                <w:b/>
                <w:sz w:val="24"/>
              </w:rPr>
              <w:t>现状</w:t>
            </w:r>
          </w:p>
          <w:p>
            <w:pPr>
              <w:autoSpaceDE w:val="0"/>
              <w:autoSpaceDN w:val="0"/>
              <w:adjustRightInd w:val="0"/>
              <w:spacing w:line="520" w:lineRule="exact"/>
              <w:ind w:firstLine="590" w:firstLineChars="250"/>
              <w:rPr>
                <w:rFonts w:eastAsia="宋体"/>
                <w:color w:val="000000" w:themeColor="text1"/>
                <w:spacing w:val="-2"/>
                <w:kern w:val="16"/>
                <w:sz w:val="24"/>
              </w:rPr>
            </w:pPr>
            <w:r>
              <w:rPr>
                <w:rFonts w:hint="eastAsia" w:eastAsia="宋体"/>
                <w:color w:val="000000" w:themeColor="text1"/>
                <w:spacing w:val="-2"/>
                <w:kern w:val="16"/>
                <w:sz w:val="24"/>
              </w:rPr>
              <w:t>中广核禹州市苌庄80MW风电场110kV升压站及送出线路工程</w:t>
            </w:r>
            <w:r>
              <w:rPr>
                <w:rFonts w:eastAsia="宋体"/>
                <w:color w:val="000000" w:themeColor="text1"/>
                <w:spacing w:val="-2"/>
                <w:kern w:val="16"/>
                <w:sz w:val="24"/>
              </w:rPr>
              <w:t>拟建站址四周厂界处的昼间噪声监测值为40.3~49.5dB（A）之间，夜间值在40.9~44.9dB（A）之间，满足</w:t>
            </w:r>
            <w:r>
              <w:rPr>
                <w:rFonts w:hint="eastAsia" w:eastAsia="宋体"/>
                <w:color w:val="000000" w:themeColor="text1"/>
                <w:spacing w:val="-2"/>
                <w:kern w:val="16"/>
                <w:sz w:val="24"/>
              </w:rPr>
              <w:t>《工业企业厂界环境噪声排放标准》（GB 12348-2008）1类区标准要求。敏感点</w:t>
            </w:r>
            <w:r>
              <w:rPr>
                <w:rFonts w:eastAsia="宋体"/>
                <w:color w:val="000000" w:themeColor="text1"/>
                <w:spacing w:val="-2"/>
                <w:kern w:val="16"/>
                <w:sz w:val="24"/>
              </w:rPr>
              <w:t>噪声昼间值在37.4~50.0dB（A）之间，夜间噪声值在36.5~41.7dB（A）之间</w:t>
            </w:r>
            <w:r>
              <w:rPr>
                <w:rFonts w:hint="eastAsia" w:eastAsia="宋体"/>
                <w:color w:val="000000" w:themeColor="text1"/>
                <w:spacing w:val="-2"/>
                <w:kern w:val="16"/>
                <w:sz w:val="24"/>
              </w:rPr>
              <w:t>，</w:t>
            </w:r>
            <w:r>
              <w:rPr>
                <w:rFonts w:eastAsia="宋体"/>
                <w:color w:val="000000" w:themeColor="text1"/>
                <w:spacing w:val="-2"/>
                <w:kern w:val="16"/>
                <w:sz w:val="24"/>
              </w:rPr>
              <w:t>满足《声环境质量标准》（GB3096-2008）1类标准。</w:t>
            </w:r>
          </w:p>
          <w:p>
            <w:pPr>
              <w:adjustRightInd w:val="0"/>
              <w:snapToGrid w:val="0"/>
              <w:spacing w:line="520" w:lineRule="exact"/>
              <w:rPr>
                <w:rFonts w:eastAsia="宋体"/>
                <w:b/>
                <w:sz w:val="24"/>
              </w:rPr>
            </w:pPr>
            <w:r>
              <w:rPr>
                <w:rFonts w:eastAsia="宋体"/>
                <w:b/>
                <w:sz w:val="24"/>
              </w:rPr>
              <w:t>11.4电磁</w:t>
            </w:r>
            <w:r>
              <w:rPr>
                <w:rFonts w:hint="eastAsia" w:eastAsia="宋体"/>
                <w:b/>
                <w:sz w:val="24"/>
              </w:rPr>
              <w:t>环境</w:t>
            </w:r>
            <w:r>
              <w:rPr>
                <w:rFonts w:eastAsia="宋体"/>
                <w:b/>
                <w:sz w:val="24"/>
              </w:rPr>
              <w:t>影响评价结论</w:t>
            </w:r>
          </w:p>
          <w:p>
            <w:pPr>
              <w:adjustRightInd w:val="0"/>
              <w:snapToGrid w:val="0"/>
              <w:spacing w:line="520" w:lineRule="exact"/>
              <w:rPr>
                <w:rFonts w:eastAsia="宋体"/>
                <w:b/>
                <w:sz w:val="24"/>
              </w:rPr>
            </w:pPr>
            <w:r>
              <w:rPr>
                <w:rFonts w:eastAsia="宋体"/>
                <w:b/>
                <w:sz w:val="24"/>
              </w:rPr>
              <w:t>1.4.1新建110kV</w:t>
            </w:r>
            <w:r>
              <w:rPr>
                <w:rFonts w:hint="eastAsia" w:eastAsia="宋体"/>
                <w:b/>
                <w:sz w:val="24"/>
              </w:rPr>
              <w:t>升压站</w:t>
            </w:r>
            <w:r>
              <w:rPr>
                <w:rFonts w:eastAsia="宋体"/>
                <w:b/>
                <w:sz w:val="24"/>
              </w:rPr>
              <w:t>工程</w:t>
            </w:r>
          </w:p>
          <w:p>
            <w:pPr>
              <w:autoSpaceDE w:val="0"/>
              <w:autoSpaceDN w:val="0"/>
              <w:adjustRightInd w:val="0"/>
              <w:spacing w:line="520" w:lineRule="exact"/>
              <w:ind w:firstLine="590" w:firstLineChars="250"/>
              <w:rPr>
                <w:rFonts w:eastAsia="宋体"/>
                <w:spacing w:val="-2"/>
                <w:kern w:val="16"/>
                <w:sz w:val="24"/>
              </w:rPr>
            </w:pPr>
            <w:r>
              <w:rPr>
                <w:rFonts w:hint="eastAsia" w:eastAsia="宋体"/>
                <w:spacing w:val="-2"/>
                <w:kern w:val="16"/>
                <w:sz w:val="24"/>
              </w:rPr>
              <w:t>根据位于</w:t>
            </w:r>
            <w:r>
              <w:rPr>
                <w:rFonts w:hint="eastAsia" w:eastAsia="宋体"/>
                <w:color w:val="000000" w:themeColor="text1"/>
                <w:sz w:val="24"/>
              </w:rPr>
              <w:t>濮阳润丰新能源有限公司润清风电场新建 110 千伏升压站</w:t>
            </w:r>
            <w:r>
              <w:rPr>
                <w:rFonts w:eastAsia="宋体"/>
                <w:spacing w:val="-2"/>
                <w:kern w:val="16"/>
                <w:sz w:val="24"/>
              </w:rPr>
              <w:t>类比监测及分析可知，110kV升压站建成后升压站围墙外的工频电场、工频磁感应强度均分别小于4kV/m、0.1mT</w:t>
            </w:r>
            <w:r>
              <w:rPr>
                <w:rFonts w:hint="eastAsia" w:eastAsia="宋体"/>
                <w:spacing w:val="-2"/>
                <w:kern w:val="16"/>
                <w:sz w:val="24"/>
              </w:rPr>
              <w:t>，</w:t>
            </w:r>
            <w:r>
              <w:rPr>
                <w:rFonts w:eastAsia="宋体"/>
                <w:spacing w:val="-2"/>
                <w:kern w:val="16"/>
                <w:sz w:val="24"/>
              </w:rPr>
              <w:t>满足《</w:t>
            </w:r>
            <w:r>
              <w:rPr>
                <w:rFonts w:hint="eastAsia" w:eastAsia="宋体"/>
                <w:spacing w:val="-2"/>
                <w:kern w:val="16"/>
                <w:sz w:val="24"/>
              </w:rPr>
              <w:t>电磁</w:t>
            </w:r>
            <w:r>
              <w:rPr>
                <w:rFonts w:eastAsia="宋体"/>
                <w:spacing w:val="-2"/>
                <w:kern w:val="16"/>
                <w:sz w:val="24"/>
              </w:rPr>
              <w:t>环境控制限值》</w:t>
            </w:r>
            <w:r>
              <w:rPr>
                <w:rFonts w:hint="eastAsia" w:eastAsia="宋体"/>
                <w:spacing w:val="-2"/>
                <w:kern w:val="16"/>
                <w:sz w:val="24"/>
              </w:rPr>
              <w:t>（GB8702-2014</w:t>
            </w:r>
            <w:r>
              <w:rPr>
                <w:rFonts w:eastAsia="宋体"/>
                <w:spacing w:val="-2"/>
                <w:kern w:val="16"/>
                <w:sz w:val="24"/>
              </w:rPr>
              <w:t>）</w:t>
            </w:r>
            <w:r>
              <w:rPr>
                <w:rFonts w:hint="eastAsia" w:eastAsia="宋体"/>
                <w:spacing w:val="-2"/>
                <w:kern w:val="16"/>
                <w:sz w:val="24"/>
              </w:rPr>
              <w:t>中</w:t>
            </w:r>
            <w:r>
              <w:rPr>
                <w:rFonts w:eastAsia="宋体"/>
                <w:spacing w:val="-2"/>
                <w:kern w:val="16"/>
                <w:sz w:val="24"/>
              </w:rPr>
              <w:t>的</w:t>
            </w:r>
            <w:r>
              <w:rPr>
                <w:rFonts w:hint="eastAsia" w:eastAsia="宋体"/>
                <w:spacing w:val="-2"/>
                <w:kern w:val="16"/>
                <w:sz w:val="24"/>
              </w:rPr>
              <w:t>公众曝露</w:t>
            </w:r>
            <w:r>
              <w:rPr>
                <w:rFonts w:eastAsia="宋体"/>
                <w:spacing w:val="-2"/>
                <w:kern w:val="16"/>
                <w:sz w:val="24"/>
              </w:rPr>
              <w:t>控制限值的评价标准。</w:t>
            </w:r>
          </w:p>
          <w:p>
            <w:pPr>
              <w:autoSpaceDE w:val="0"/>
              <w:autoSpaceDN w:val="0"/>
              <w:adjustRightInd w:val="0"/>
              <w:spacing w:line="520" w:lineRule="exact"/>
              <w:ind w:firstLine="590" w:firstLineChars="250"/>
              <w:rPr>
                <w:rFonts w:eastAsia="宋体"/>
                <w:spacing w:val="-2"/>
                <w:kern w:val="16"/>
                <w:sz w:val="24"/>
              </w:rPr>
            </w:pPr>
            <w:r>
              <w:rPr>
                <w:rFonts w:eastAsia="宋体"/>
                <w:spacing w:val="-2"/>
                <w:kern w:val="16"/>
                <w:sz w:val="24"/>
              </w:rPr>
              <w:t>110kV升压站</w:t>
            </w:r>
            <w:r>
              <w:rPr>
                <w:rFonts w:hint="eastAsia" w:eastAsia="宋体"/>
                <w:spacing w:val="-2"/>
                <w:kern w:val="16"/>
                <w:sz w:val="24"/>
              </w:rPr>
              <w:t>四周均为</w:t>
            </w:r>
            <w:r>
              <w:rPr>
                <w:rFonts w:eastAsia="宋体"/>
                <w:spacing w:val="-2"/>
                <w:kern w:val="16"/>
                <w:sz w:val="24"/>
              </w:rPr>
              <w:t>农田</w:t>
            </w:r>
            <w:r>
              <w:rPr>
                <w:rFonts w:hint="eastAsia" w:eastAsia="宋体"/>
                <w:spacing w:val="-2"/>
                <w:kern w:val="16"/>
                <w:sz w:val="24"/>
              </w:rPr>
              <w:t>和山坡</w:t>
            </w:r>
            <w:r>
              <w:rPr>
                <w:rFonts w:eastAsia="宋体"/>
                <w:spacing w:val="-2"/>
                <w:kern w:val="16"/>
                <w:sz w:val="24"/>
              </w:rPr>
              <w:t>。根据类比监测结果及其变化规律</w:t>
            </w:r>
            <w:r>
              <w:rPr>
                <w:rFonts w:hint="eastAsia" w:eastAsia="宋体"/>
                <w:spacing w:val="-2"/>
                <w:kern w:val="16"/>
                <w:sz w:val="24"/>
              </w:rPr>
              <w:t>来</w:t>
            </w:r>
            <w:r>
              <w:rPr>
                <w:rFonts w:eastAsia="宋体"/>
                <w:spacing w:val="-2"/>
                <w:kern w:val="16"/>
                <w:sz w:val="24"/>
              </w:rPr>
              <w:t>预测，110kV升压站本期建成投运后敏感点的电磁环境影响因子能分别满足居民区相应评价标准。</w:t>
            </w:r>
          </w:p>
          <w:p>
            <w:pPr>
              <w:adjustRightInd w:val="0"/>
              <w:snapToGrid w:val="0"/>
              <w:spacing w:line="520" w:lineRule="exact"/>
              <w:rPr>
                <w:rFonts w:eastAsia="宋体"/>
                <w:b/>
                <w:sz w:val="24"/>
              </w:rPr>
            </w:pPr>
            <w:r>
              <w:rPr>
                <w:rFonts w:eastAsia="宋体"/>
                <w:b/>
                <w:sz w:val="24"/>
              </w:rPr>
              <w:t>11.4.2新建输电线路工程</w:t>
            </w:r>
          </w:p>
          <w:p>
            <w:pPr>
              <w:autoSpaceDE w:val="0"/>
              <w:autoSpaceDN w:val="0"/>
              <w:adjustRightInd w:val="0"/>
              <w:spacing w:line="520" w:lineRule="exact"/>
              <w:ind w:firstLine="590" w:firstLineChars="250"/>
              <w:rPr>
                <w:rFonts w:eastAsia="宋体"/>
                <w:color w:val="000000" w:themeColor="text1"/>
                <w:spacing w:val="-2"/>
                <w:kern w:val="16"/>
                <w:sz w:val="24"/>
              </w:rPr>
            </w:pPr>
            <w:r>
              <w:rPr>
                <w:rFonts w:hint="eastAsia" w:eastAsia="宋体"/>
                <w:color w:val="000000" w:themeColor="text1"/>
                <w:spacing w:val="-2"/>
                <w:kern w:val="16"/>
                <w:sz w:val="24"/>
              </w:rPr>
              <w:t>（1）</w:t>
            </w:r>
            <w:r>
              <w:rPr>
                <w:rFonts w:eastAsia="宋体"/>
                <w:color w:val="000000" w:themeColor="text1"/>
                <w:spacing w:val="-2"/>
                <w:kern w:val="16"/>
                <w:sz w:val="24"/>
              </w:rPr>
              <w:t>电磁环境影响类比分析结论</w:t>
            </w:r>
          </w:p>
          <w:p>
            <w:pPr>
              <w:autoSpaceDE w:val="0"/>
              <w:autoSpaceDN w:val="0"/>
              <w:adjustRightInd w:val="0"/>
              <w:spacing w:line="520" w:lineRule="exact"/>
              <w:ind w:firstLine="590" w:firstLineChars="250"/>
              <w:rPr>
                <w:rFonts w:eastAsia="宋体"/>
                <w:color w:val="000000" w:themeColor="text1"/>
                <w:spacing w:val="-2"/>
                <w:kern w:val="16"/>
                <w:sz w:val="24"/>
              </w:rPr>
            </w:pPr>
            <w:r>
              <w:rPr>
                <w:rFonts w:hint="eastAsia" w:eastAsia="宋体"/>
                <w:color w:val="000000" w:themeColor="text1"/>
                <w:spacing w:val="-2"/>
                <w:kern w:val="16"/>
                <w:sz w:val="24"/>
              </w:rPr>
              <w:t>根据架空线路</w:t>
            </w:r>
            <w:r>
              <w:rPr>
                <w:rFonts w:eastAsia="宋体"/>
                <w:color w:val="000000" w:themeColor="text1"/>
                <w:spacing w:val="-2"/>
                <w:kern w:val="16"/>
                <w:sz w:val="24"/>
              </w:rPr>
              <w:t>类比</w:t>
            </w:r>
            <w:r>
              <w:rPr>
                <w:rFonts w:hint="eastAsia" w:eastAsia="宋体"/>
                <w:color w:val="000000" w:themeColor="text1"/>
                <w:spacing w:val="-2"/>
                <w:kern w:val="16"/>
                <w:sz w:val="24"/>
              </w:rPr>
              <w:t>监测</w:t>
            </w:r>
            <w:r>
              <w:rPr>
                <w:rFonts w:eastAsia="宋体"/>
                <w:color w:val="000000" w:themeColor="text1"/>
                <w:spacing w:val="-2"/>
                <w:kern w:val="16"/>
                <w:sz w:val="24"/>
              </w:rPr>
              <w:t>及分析可知，</w:t>
            </w:r>
            <w:r>
              <w:rPr>
                <w:rFonts w:hint="eastAsia" w:eastAsia="宋体"/>
                <w:color w:val="000000" w:themeColor="text1"/>
                <w:spacing w:val="-2"/>
                <w:kern w:val="16"/>
                <w:sz w:val="24"/>
              </w:rPr>
              <w:t>1</w:t>
            </w:r>
            <w:r>
              <w:rPr>
                <w:rFonts w:eastAsia="宋体"/>
                <w:color w:val="000000" w:themeColor="text1"/>
                <w:spacing w:val="-2"/>
                <w:kern w:val="16"/>
                <w:sz w:val="24"/>
              </w:rPr>
              <w:t>10kV</w:t>
            </w:r>
            <w:r>
              <w:rPr>
                <w:rFonts w:hint="eastAsia" w:eastAsia="宋体"/>
                <w:color w:val="000000" w:themeColor="text1"/>
                <w:spacing w:val="-2"/>
                <w:kern w:val="16"/>
                <w:sz w:val="24"/>
              </w:rPr>
              <w:t>线路</w:t>
            </w:r>
            <w:r>
              <w:rPr>
                <w:rFonts w:eastAsia="宋体"/>
                <w:color w:val="000000" w:themeColor="text1"/>
                <w:spacing w:val="-2"/>
                <w:kern w:val="16"/>
                <w:sz w:val="24"/>
              </w:rPr>
              <w:t>工频电场、工频磁感应强度均分别小于4kV/m、0.1mT</w:t>
            </w:r>
            <w:r>
              <w:rPr>
                <w:rFonts w:hint="eastAsia" w:eastAsia="宋体"/>
                <w:color w:val="000000" w:themeColor="text1"/>
                <w:spacing w:val="-2"/>
                <w:kern w:val="16"/>
                <w:sz w:val="24"/>
              </w:rPr>
              <w:t>，</w:t>
            </w:r>
            <w:r>
              <w:rPr>
                <w:rFonts w:eastAsia="宋体"/>
                <w:color w:val="000000" w:themeColor="text1"/>
                <w:spacing w:val="-2"/>
                <w:kern w:val="16"/>
                <w:sz w:val="24"/>
              </w:rPr>
              <w:t>满足《</w:t>
            </w:r>
            <w:r>
              <w:rPr>
                <w:rFonts w:hint="eastAsia" w:eastAsia="宋体"/>
                <w:color w:val="000000" w:themeColor="text1"/>
                <w:spacing w:val="-2"/>
                <w:kern w:val="16"/>
                <w:sz w:val="24"/>
              </w:rPr>
              <w:t>电磁</w:t>
            </w:r>
            <w:r>
              <w:rPr>
                <w:rFonts w:eastAsia="宋体"/>
                <w:color w:val="000000" w:themeColor="text1"/>
                <w:spacing w:val="-2"/>
                <w:kern w:val="16"/>
                <w:sz w:val="24"/>
              </w:rPr>
              <w:t>环境控制限值》</w:t>
            </w:r>
            <w:r>
              <w:rPr>
                <w:rFonts w:hint="eastAsia" w:eastAsia="宋体"/>
                <w:color w:val="000000" w:themeColor="text1"/>
                <w:spacing w:val="-2"/>
                <w:kern w:val="16"/>
                <w:sz w:val="24"/>
              </w:rPr>
              <w:t>（GB8702-2014</w:t>
            </w:r>
            <w:r>
              <w:rPr>
                <w:rFonts w:eastAsia="宋体"/>
                <w:color w:val="000000" w:themeColor="text1"/>
                <w:spacing w:val="-2"/>
                <w:kern w:val="16"/>
                <w:sz w:val="24"/>
              </w:rPr>
              <w:t>）</w:t>
            </w:r>
            <w:r>
              <w:rPr>
                <w:rFonts w:hint="eastAsia" w:eastAsia="宋体"/>
                <w:color w:val="000000" w:themeColor="text1"/>
                <w:spacing w:val="-2"/>
                <w:kern w:val="16"/>
                <w:sz w:val="24"/>
              </w:rPr>
              <w:t>中</w:t>
            </w:r>
            <w:r>
              <w:rPr>
                <w:rFonts w:eastAsia="宋体"/>
                <w:color w:val="000000" w:themeColor="text1"/>
                <w:spacing w:val="-2"/>
                <w:kern w:val="16"/>
                <w:sz w:val="24"/>
              </w:rPr>
              <w:t>的</w:t>
            </w:r>
            <w:r>
              <w:rPr>
                <w:rFonts w:hint="eastAsia" w:eastAsia="宋体"/>
                <w:color w:val="000000" w:themeColor="text1"/>
                <w:spacing w:val="-2"/>
                <w:kern w:val="16"/>
                <w:sz w:val="24"/>
              </w:rPr>
              <w:t>公众曝露</w:t>
            </w:r>
            <w:r>
              <w:rPr>
                <w:rFonts w:eastAsia="宋体"/>
                <w:color w:val="000000" w:themeColor="text1"/>
                <w:spacing w:val="-2"/>
                <w:kern w:val="16"/>
                <w:sz w:val="24"/>
              </w:rPr>
              <w:t>控制限值的评价标准。</w:t>
            </w:r>
          </w:p>
          <w:p>
            <w:pPr>
              <w:autoSpaceDE w:val="0"/>
              <w:autoSpaceDN w:val="0"/>
              <w:adjustRightInd w:val="0"/>
              <w:spacing w:line="520" w:lineRule="exact"/>
              <w:ind w:firstLine="590" w:firstLineChars="250"/>
              <w:rPr>
                <w:rFonts w:eastAsia="宋体"/>
                <w:color w:val="000000" w:themeColor="text1"/>
                <w:spacing w:val="-2"/>
                <w:kern w:val="16"/>
                <w:sz w:val="24"/>
              </w:rPr>
            </w:pPr>
            <w:r>
              <w:rPr>
                <w:rFonts w:hint="eastAsia" w:eastAsia="宋体"/>
                <w:color w:val="000000" w:themeColor="text1"/>
                <w:spacing w:val="-2"/>
                <w:kern w:val="16"/>
                <w:sz w:val="24"/>
              </w:rPr>
              <w:t>（2）</w:t>
            </w:r>
            <w:r>
              <w:rPr>
                <w:rFonts w:eastAsia="宋体"/>
                <w:color w:val="000000" w:themeColor="text1"/>
                <w:spacing w:val="-2"/>
                <w:kern w:val="16"/>
                <w:sz w:val="24"/>
              </w:rPr>
              <w:t>电磁环境影响模式预测结论</w:t>
            </w:r>
          </w:p>
          <w:p>
            <w:pPr>
              <w:spacing w:line="520" w:lineRule="exact"/>
              <w:ind w:firstLine="480" w:firstLineChars="200"/>
              <w:rPr>
                <w:rFonts w:eastAsia="宋体"/>
                <w:color w:val="000000" w:themeColor="text1"/>
                <w:sz w:val="24"/>
              </w:rPr>
            </w:pPr>
            <w:r>
              <w:rPr>
                <w:rFonts w:eastAsia="宋体"/>
                <w:snapToGrid w:val="0"/>
                <w:color w:val="000000" w:themeColor="text1"/>
                <w:kern w:val="16"/>
                <w:sz w:val="24"/>
                <w:szCs w:val="20"/>
              </w:rPr>
              <w:t>工频电场</w:t>
            </w:r>
            <w:r>
              <w:rPr>
                <w:rFonts w:hint="eastAsia" w:eastAsia="宋体"/>
                <w:snapToGrid w:val="0"/>
                <w:color w:val="000000" w:themeColor="text1"/>
                <w:kern w:val="16"/>
                <w:sz w:val="24"/>
                <w:szCs w:val="20"/>
              </w:rPr>
              <w:t>、工频电场：</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1）导线对地最小距离为6m（非居民区）时：</w:t>
            </w:r>
          </w:p>
          <w:p>
            <w:pPr>
              <w:spacing w:line="520" w:lineRule="exact"/>
              <w:ind w:firstLine="480" w:firstLineChars="200"/>
              <w:rPr>
                <w:rFonts w:eastAsia="宋体"/>
                <w:color w:val="000000" w:themeColor="text1"/>
                <w:spacing w:val="-2"/>
                <w:kern w:val="16"/>
                <w:sz w:val="24"/>
              </w:rPr>
            </w:pPr>
            <w:r>
              <w:rPr>
                <w:rFonts w:hAnsi="宋体" w:eastAsia="宋体"/>
                <w:snapToGrid w:val="0"/>
                <w:color w:val="000000" w:themeColor="text1"/>
                <w:kern w:val="16"/>
                <w:sz w:val="24"/>
              </w:rPr>
              <w:t>由表</w:t>
            </w:r>
            <w:r>
              <w:rPr>
                <w:rFonts w:eastAsia="宋体"/>
                <w:snapToGrid w:val="0"/>
                <w:color w:val="000000" w:themeColor="text1"/>
                <w:kern w:val="16"/>
                <w:sz w:val="24"/>
              </w:rPr>
              <w:t>14</w:t>
            </w:r>
            <w:r>
              <w:rPr>
                <w:rFonts w:hAnsi="宋体" w:eastAsia="宋体"/>
                <w:snapToGrid w:val="0"/>
                <w:color w:val="000000" w:themeColor="text1"/>
                <w:kern w:val="16"/>
                <w:sz w:val="24"/>
              </w:rPr>
              <w:t>预测结果可知，本工程</w:t>
            </w:r>
            <w:r>
              <w:rPr>
                <w:rFonts w:eastAsia="宋体"/>
                <w:snapToGrid w:val="0"/>
                <w:color w:val="000000" w:themeColor="text1"/>
                <w:kern w:val="16"/>
                <w:sz w:val="24"/>
              </w:rPr>
              <w:t>110kV</w:t>
            </w:r>
            <w:r>
              <w:rPr>
                <w:rFonts w:hAnsi="宋体" w:eastAsia="宋体"/>
                <w:snapToGrid w:val="0"/>
                <w:color w:val="000000" w:themeColor="text1"/>
                <w:kern w:val="16"/>
                <w:sz w:val="24"/>
              </w:rPr>
              <w:t>输电线路经过非居民区线下道路等场所线路段，导线对地最小距离为</w:t>
            </w:r>
            <w:r>
              <w:rPr>
                <w:rFonts w:eastAsia="宋体"/>
                <w:snapToGrid w:val="0"/>
                <w:color w:val="000000" w:themeColor="text1"/>
                <w:kern w:val="16"/>
                <w:sz w:val="24"/>
              </w:rPr>
              <w:t>6m</w:t>
            </w:r>
            <w:r>
              <w:rPr>
                <w:rFonts w:hAnsi="宋体" w:eastAsia="宋体"/>
                <w:snapToGrid w:val="0"/>
                <w:color w:val="000000" w:themeColor="text1"/>
                <w:kern w:val="16"/>
                <w:sz w:val="24"/>
              </w:rPr>
              <w:t>，距地面</w:t>
            </w:r>
            <w:r>
              <w:rPr>
                <w:rFonts w:eastAsia="宋体"/>
                <w:snapToGrid w:val="0"/>
                <w:color w:val="000000" w:themeColor="text1"/>
                <w:kern w:val="16"/>
                <w:sz w:val="24"/>
              </w:rPr>
              <w:t>1.5m</w:t>
            </w:r>
            <w:r>
              <w:rPr>
                <w:rFonts w:hAnsi="宋体" w:eastAsia="宋体"/>
                <w:snapToGrid w:val="0"/>
                <w:color w:val="000000" w:themeColor="text1"/>
                <w:kern w:val="16"/>
                <w:sz w:val="24"/>
              </w:rPr>
              <w:t>高度处，</w:t>
            </w:r>
            <w:r>
              <w:rPr>
                <w:rFonts w:hAnsi="宋体" w:eastAsia="宋体"/>
                <w:color w:val="000000" w:themeColor="text1"/>
                <w:sz w:val="24"/>
              </w:rPr>
              <w:t>工频电场强度最大预测值为</w:t>
            </w:r>
            <w:r>
              <w:rPr>
                <w:rFonts w:hint="eastAsia" w:eastAsia="宋体"/>
                <w:color w:val="000000" w:themeColor="text1"/>
                <w:kern w:val="0"/>
                <w:sz w:val="24"/>
              </w:rPr>
              <w:t>2.64</w:t>
            </w:r>
            <w:r>
              <w:rPr>
                <w:rFonts w:eastAsia="宋体"/>
                <w:color w:val="000000" w:themeColor="text1"/>
                <w:kern w:val="0"/>
                <w:sz w:val="24"/>
              </w:rPr>
              <w:t xml:space="preserve"> kV/m</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w:t>
            </w:r>
            <w:r>
              <w:rPr>
                <w:rFonts w:hAnsi="宋体" w:eastAsia="宋体"/>
                <w:color w:val="000000" w:themeColor="text1"/>
                <w:kern w:val="0"/>
                <w:sz w:val="24"/>
              </w:rPr>
              <w:t>，</w:t>
            </w:r>
            <w:r>
              <w:rPr>
                <w:rFonts w:hAnsi="宋体" w:eastAsia="宋体"/>
                <w:color w:val="000000" w:themeColor="text1"/>
                <w:sz w:val="24"/>
              </w:rPr>
              <w:t>磁感应强度最大预测值为</w:t>
            </w:r>
            <w:r>
              <w:rPr>
                <w:rFonts w:hint="eastAsia" w:eastAsia="宋体"/>
                <w:color w:val="000000" w:themeColor="text1"/>
                <w:sz w:val="24"/>
              </w:rPr>
              <w:t>28.16</w:t>
            </w:r>
            <w:r>
              <w:rPr>
                <w:rFonts w:eastAsia="宋体"/>
                <w:color w:val="000000" w:themeColor="text1"/>
                <w:kern w:val="0"/>
                <w:sz w:val="24"/>
              </w:rPr>
              <w:t>μT</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处，满足</w:t>
            </w:r>
            <w:r>
              <w:rPr>
                <w:rFonts w:hAnsi="宋体" w:eastAsia="宋体"/>
                <w:color w:val="000000" w:themeColor="text1"/>
                <w:spacing w:val="-2"/>
                <w:kern w:val="16"/>
                <w:sz w:val="24"/>
              </w:rPr>
              <w:t>《电磁环境控制限值》（</w:t>
            </w:r>
            <w:r>
              <w:rPr>
                <w:rFonts w:eastAsia="宋体"/>
                <w:color w:val="000000" w:themeColor="text1"/>
                <w:spacing w:val="-2"/>
                <w:kern w:val="16"/>
                <w:sz w:val="24"/>
              </w:rPr>
              <w:t>GB8702-2014</w:t>
            </w:r>
            <w:r>
              <w:rPr>
                <w:rFonts w:hAnsi="宋体" w:eastAsia="宋体"/>
                <w:color w:val="000000" w:themeColor="text1"/>
                <w:spacing w:val="-2"/>
                <w:kern w:val="16"/>
                <w:sz w:val="24"/>
              </w:rPr>
              <w:t>）中</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hAnsi="宋体" w:eastAsia="宋体"/>
                <w:color w:val="000000" w:themeColor="text1"/>
                <w:spacing w:val="-2"/>
                <w:kern w:val="16"/>
                <w:sz w:val="24"/>
              </w:rPr>
              <w:t>的公众曝露控制限值的评价标准。</w:t>
            </w:r>
          </w:p>
          <w:p>
            <w:pPr>
              <w:adjustRightInd w:val="0"/>
              <w:snapToGrid w:val="0"/>
              <w:spacing w:line="520" w:lineRule="exact"/>
              <w:ind w:firstLine="480" w:firstLineChars="200"/>
              <w:rPr>
                <w:rFonts w:eastAsia="宋体"/>
                <w:snapToGrid w:val="0"/>
                <w:kern w:val="16"/>
                <w:sz w:val="24"/>
                <w:szCs w:val="20"/>
              </w:rPr>
            </w:pPr>
            <w:r>
              <w:rPr>
                <w:rFonts w:hint="eastAsia" w:eastAsia="宋体"/>
                <w:snapToGrid w:val="0"/>
                <w:kern w:val="16"/>
                <w:sz w:val="24"/>
                <w:szCs w:val="20"/>
              </w:rPr>
              <w:t>2</w:t>
            </w:r>
            <w:r>
              <w:rPr>
                <w:rFonts w:eastAsia="宋体"/>
                <w:snapToGrid w:val="0"/>
                <w:kern w:val="16"/>
                <w:sz w:val="24"/>
                <w:szCs w:val="20"/>
              </w:rPr>
              <w:t>）导线对地最小距离为</w:t>
            </w:r>
            <w:r>
              <w:rPr>
                <w:rFonts w:hint="eastAsia" w:eastAsia="宋体"/>
                <w:snapToGrid w:val="0"/>
                <w:kern w:val="16"/>
                <w:sz w:val="24"/>
                <w:szCs w:val="20"/>
              </w:rPr>
              <w:t>7</w:t>
            </w:r>
            <w:r>
              <w:rPr>
                <w:rFonts w:eastAsia="宋体"/>
                <w:snapToGrid w:val="0"/>
                <w:kern w:val="16"/>
                <w:sz w:val="24"/>
                <w:szCs w:val="20"/>
              </w:rPr>
              <w:t>m（居民区</w:t>
            </w:r>
            <w:r>
              <w:rPr>
                <w:rFonts w:hint="eastAsia" w:eastAsia="宋体"/>
                <w:snapToGrid w:val="0"/>
                <w:kern w:val="16"/>
                <w:sz w:val="24"/>
                <w:szCs w:val="20"/>
              </w:rPr>
              <w:t>、</w:t>
            </w:r>
            <w:r>
              <w:rPr>
                <w:rFonts w:eastAsia="宋体"/>
                <w:snapToGrid w:val="0"/>
                <w:kern w:val="16"/>
                <w:sz w:val="24"/>
                <w:szCs w:val="20"/>
              </w:rPr>
              <w:t>不跨越房屋）时：</w:t>
            </w:r>
          </w:p>
          <w:p>
            <w:pPr>
              <w:spacing w:line="520" w:lineRule="exact"/>
              <w:ind w:firstLine="480" w:firstLineChars="200"/>
              <w:rPr>
                <w:rFonts w:eastAsia="宋体"/>
                <w:color w:val="000000" w:themeColor="text1"/>
                <w:spacing w:val="-2"/>
                <w:kern w:val="16"/>
                <w:sz w:val="24"/>
              </w:rPr>
            </w:pPr>
            <w:r>
              <w:rPr>
                <w:rFonts w:hAnsi="宋体" w:eastAsia="宋体"/>
                <w:snapToGrid w:val="0"/>
                <w:color w:val="000000" w:themeColor="text1"/>
                <w:kern w:val="16"/>
                <w:sz w:val="24"/>
              </w:rPr>
              <w:t>由表</w:t>
            </w:r>
            <w:r>
              <w:rPr>
                <w:rFonts w:eastAsia="宋体"/>
                <w:snapToGrid w:val="0"/>
                <w:color w:val="000000" w:themeColor="text1"/>
                <w:kern w:val="16"/>
                <w:sz w:val="24"/>
              </w:rPr>
              <w:t>14</w:t>
            </w:r>
            <w:r>
              <w:rPr>
                <w:rFonts w:hAnsi="宋体" w:eastAsia="宋体"/>
                <w:snapToGrid w:val="0"/>
                <w:color w:val="000000" w:themeColor="text1"/>
                <w:kern w:val="16"/>
                <w:sz w:val="24"/>
              </w:rPr>
              <w:t>预测结果可知，本工程</w:t>
            </w:r>
            <w:r>
              <w:rPr>
                <w:rFonts w:eastAsia="宋体"/>
                <w:snapToGrid w:val="0"/>
                <w:color w:val="000000" w:themeColor="text1"/>
                <w:kern w:val="16"/>
                <w:sz w:val="24"/>
              </w:rPr>
              <w:t>110kV</w:t>
            </w:r>
            <w:r>
              <w:rPr>
                <w:rFonts w:hAnsi="宋体" w:eastAsia="宋体"/>
                <w:snapToGrid w:val="0"/>
                <w:color w:val="000000" w:themeColor="text1"/>
                <w:kern w:val="16"/>
                <w:sz w:val="24"/>
              </w:rPr>
              <w:t>输电线路经过居民区</w:t>
            </w:r>
            <w:r>
              <w:rPr>
                <w:rFonts w:hint="eastAsia" w:hAnsi="宋体" w:eastAsia="宋体"/>
                <w:snapToGrid w:val="0"/>
                <w:color w:val="000000" w:themeColor="text1"/>
                <w:kern w:val="16"/>
                <w:sz w:val="24"/>
              </w:rPr>
              <w:t>且</w:t>
            </w:r>
            <w:r>
              <w:rPr>
                <w:rFonts w:eastAsia="宋体"/>
                <w:snapToGrid w:val="0"/>
                <w:kern w:val="16"/>
                <w:sz w:val="24"/>
                <w:szCs w:val="20"/>
              </w:rPr>
              <w:t>不跨越房屋</w:t>
            </w:r>
            <w:r>
              <w:rPr>
                <w:rFonts w:hAnsi="宋体" w:eastAsia="宋体"/>
                <w:snapToGrid w:val="0"/>
                <w:color w:val="000000" w:themeColor="text1"/>
                <w:kern w:val="16"/>
                <w:sz w:val="24"/>
              </w:rPr>
              <w:t>等场所线路段，导线对地最小距离为</w:t>
            </w:r>
            <w:r>
              <w:rPr>
                <w:rFonts w:hint="eastAsia" w:eastAsia="宋体"/>
                <w:snapToGrid w:val="0"/>
                <w:color w:val="000000" w:themeColor="text1"/>
                <w:kern w:val="16"/>
                <w:sz w:val="24"/>
              </w:rPr>
              <w:t>7</w:t>
            </w:r>
            <w:r>
              <w:rPr>
                <w:rFonts w:eastAsia="宋体"/>
                <w:snapToGrid w:val="0"/>
                <w:color w:val="000000" w:themeColor="text1"/>
                <w:kern w:val="16"/>
                <w:sz w:val="24"/>
              </w:rPr>
              <w:t>m</w:t>
            </w:r>
            <w:r>
              <w:rPr>
                <w:rFonts w:hAnsi="宋体" w:eastAsia="宋体"/>
                <w:snapToGrid w:val="0"/>
                <w:color w:val="000000" w:themeColor="text1"/>
                <w:kern w:val="16"/>
                <w:sz w:val="24"/>
              </w:rPr>
              <w:t>，距地面</w:t>
            </w:r>
            <w:r>
              <w:rPr>
                <w:rFonts w:eastAsia="宋体"/>
                <w:snapToGrid w:val="0"/>
                <w:color w:val="000000" w:themeColor="text1"/>
                <w:kern w:val="16"/>
                <w:sz w:val="24"/>
              </w:rPr>
              <w:t>1.5m</w:t>
            </w:r>
            <w:r>
              <w:rPr>
                <w:rFonts w:hAnsi="宋体" w:eastAsia="宋体"/>
                <w:snapToGrid w:val="0"/>
                <w:color w:val="000000" w:themeColor="text1"/>
                <w:kern w:val="16"/>
                <w:sz w:val="24"/>
              </w:rPr>
              <w:t>高度处，</w:t>
            </w:r>
            <w:r>
              <w:rPr>
                <w:rFonts w:hAnsi="宋体" w:eastAsia="宋体"/>
                <w:color w:val="000000" w:themeColor="text1"/>
                <w:sz w:val="24"/>
              </w:rPr>
              <w:t>工频电场强度最大预测值为</w:t>
            </w:r>
            <w:r>
              <w:rPr>
                <w:rFonts w:eastAsia="宋体"/>
                <w:color w:val="000000" w:themeColor="text1"/>
                <w:kern w:val="0"/>
                <w:sz w:val="24"/>
              </w:rPr>
              <w:t>1.</w:t>
            </w:r>
            <w:r>
              <w:rPr>
                <w:rFonts w:hint="eastAsia" w:eastAsia="宋体"/>
                <w:color w:val="000000" w:themeColor="text1"/>
                <w:kern w:val="0"/>
                <w:sz w:val="24"/>
              </w:rPr>
              <w:t>67</w:t>
            </w:r>
            <w:r>
              <w:rPr>
                <w:rFonts w:eastAsia="宋体"/>
                <w:color w:val="000000" w:themeColor="text1"/>
                <w:kern w:val="0"/>
                <w:sz w:val="24"/>
              </w:rPr>
              <w:t>kV/m</w:t>
            </w:r>
            <w:r>
              <w:rPr>
                <w:rFonts w:hAnsi="宋体" w:eastAsia="宋体"/>
                <w:color w:val="000000" w:themeColor="text1"/>
                <w:kern w:val="0"/>
                <w:sz w:val="24"/>
              </w:rPr>
              <w:t>，位于边导线内，线路中心</w:t>
            </w:r>
            <w:r>
              <w:rPr>
                <w:rFonts w:hAnsi="宋体" w:eastAsia="宋体"/>
                <w:color w:val="000000" w:themeColor="text1"/>
                <w:sz w:val="24"/>
              </w:rPr>
              <w:t>处</w:t>
            </w:r>
            <w:r>
              <w:rPr>
                <w:rFonts w:hAnsi="宋体" w:eastAsia="宋体"/>
                <w:color w:val="000000" w:themeColor="text1"/>
                <w:kern w:val="0"/>
                <w:sz w:val="24"/>
              </w:rPr>
              <w:t>，</w:t>
            </w:r>
            <w:r>
              <w:rPr>
                <w:rFonts w:hAnsi="宋体" w:eastAsia="宋体"/>
                <w:color w:val="000000" w:themeColor="text1"/>
                <w:sz w:val="24"/>
              </w:rPr>
              <w:t>磁感应强度最大预测值为</w:t>
            </w:r>
            <w:r>
              <w:rPr>
                <w:rFonts w:eastAsia="宋体"/>
                <w:color w:val="000000" w:themeColor="text1"/>
                <w:sz w:val="24"/>
              </w:rPr>
              <w:t>2</w:t>
            </w:r>
            <w:r>
              <w:rPr>
                <w:rFonts w:hint="eastAsia" w:eastAsia="宋体"/>
                <w:color w:val="000000" w:themeColor="text1"/>
                <w:sz w:val="24"/>
              </w:rPr>
              <w:t>4.24</w:t>
            </w:r>
            <w:r>
              <w:rPr>
                <w:rFonts w:eastAsia="宋体"/>
                <w:color w:val="000000" w:themeColor="text1"/>
                <w:kern w:val="0"/>
                <w:sz w:val="24"/>
              </w:rPr>
              <w:t>μT</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处，满足</w:t>
            </w:r>
            <w:r>
              <w:rPr>
                <w:rFonts w:hAnsi="宋体" w:eastAsia="宋体"/>
                <w:color w:val="000000" w:themeColor="text1"/>
                <w:spacing w:val="-2"/>
                <w:kern w:val="16"/>
                <w:sz w:val="24"/>
              </w:rPr>
              <w:t>《电磁环境控制限值》（</w:t>
            </w:r>
            <w:r>
              <w:rPr>
                <w:rFonts w:eastAsia="宋体"/>
                <w:color w:val="000000" w:themeColor="text1"/>
                <w:spacing w:val="-2"/>
                <w:kern w:val="16"/>
                <w:sz w:val="24"/>
              </w:rPr>
              <w:t>GB8702-2014</w:t>
            </w:r>
            <w:r>
              <w:rPr>
                <w:rFonts w:hAnsi="宋体" w:eastAsia="宋体"/>
                <w:color w:val="000000" w:themeColor="text1"/>
                <w:spacing w:val="-2"/>
                <w:kern w:val="16"/>
                <w:sz w:val="24"/>
              </w:rPr>
              <w:t>）中</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hAnsi="宋体" w:eastAsia="宋体"/>
                <w:color w:val="000000" w:themeColor="text1"/>
                <w:spacing w:val="-2"/>
                <w:kern w:val="16"/>
                <w:sz w:val="24"/>
              </w:rPr>
              <w:t>的公众曝露控制限值的评价标准。</w:t>
            </w:r>
          </w:p>
          <w:p>
            <w:pPr>
              <w:adjustRightInd w:val="0"/>
              <w:snapToGrid w:val="0"/>
              <w:spacing w:line="520" w:lineRule="exact"/>
              <w:ind w:firstLine="480" w:firstLineChars="200"/>
              <w:rPr>
                <w:rFonts w:eastAsia="宋体"/>
                <w:snapToGrid w:val="0"/>
                <w:color w:val="000000" w:themeColor="text1"/>
                <w:kern w:val="16"/>
                <w:sz w:val="24"/>
                <w:szCs w:val="20"/>
              </w:rPr>
            </w:pPr>
            <w:r>
              <w:rPr>
                <w:rFonts w:hint="eastAsia" w:eastAsia="宋体"/>
                <w:snapToGrid w:val="0"/>
                <w:color w:val="000000" w:themeColor="text1"/>
                <w:kern w:val="16"/>
                <w:sz w:val="24"/>
                <w:szCs w:val="20"/>
              </w:rPr>
              <w:t>3）</w:t>
            </w:r>
            <w:r>
              <w:rPr>
                <w:rFonts w:eastAsia="宋体"/>
                <w:snapToGrid w:val="0"/>
                <w:color w:val="000000" w:themeColor="text1"/>
                <w:kern w:val="16"/>
                <w:sz w:val="24"/>
                <w:szCs w:val="20"/>
              </w:rPr>
              <w:t>线路</w:t>
            </w:r>
            <w:r>
              <w:rPr>
                <w:rFonts w:hint="eastAsia" w:eastAsia="宋体"/>
                <w:snapToGrid w:val="0"/>
                <w:color w:val="000000" w:themeColor="text1"/>
                <w:kern w:val="16"/>
                <w:sz w:val="24"/>
                <w:szCs w:val="20"/>
              </w:rPr>
              <w:t>环境</w:t>
            </w:r>
            <w:r>
              <w:rPr>
                <w:rFonts w:eastAsia="宋体"/>
                <w:snapToGrid w:val="0"/>
                <w:color w:val="000000" w:themeColor="text1"/>
                <w:kern w:val="16"/>
                <w:sz w:val="24"/>
                <w:szCs w:val="20"/>
              </w:rPr>
              <w:t>保护目标处预测</w:t>
            </w:r>
          </w:p>
          <w:p>
            <w:pPr>
              <w:adjustRightInd w:val="0"/>
              <w:snapToGrid w:val="0"/>
              <w:spacing w:line="520" w:lineRule="exact"/>
              <w:ind w:firstLine="480" w:firstLineChars="200"/>
              <w:rPr>
                <w:rFonts w:eastAsia="宋体"/>
                <w:snapToGrid w:val="0"/>
                <w:color w:val="000000" w:themeColor="text1"/>
                <w:kern w:val="16"/>
                <w:sz w:val="24"/>
                <w:szCs w:val="20"/>
              </w:rPr>
            </w:pPr>
            <w:r>
              <w:rPr>
                <w:rFonts w:eastAsia="宋体"/>
                <w:snapToGrid w:val="0"/>
                <w:color w:val="000000" w:themeColor="text1"/>
                <w:kern w:val="16"/>
                <w:sz w:val="24"/>
                <w:szCs w:val="20"/>
              </w:rPr>
              <w:t>本项目环境保护目标</w:t>
            </w:r>
            <w:r>
              <w:rPr>
                <w:rFonts w:eastAsia="宋体"/>
                <w:color w:val="000000" w:themeColor="text1"/>
                <w:sz w:val="24"/>
                <w:szCs w:val="21"/>
              </w:rPr>
              <w:t>处的预测值</w:t>
            </w:r>
            <w:r>
              <w:rPr>
                <w:rFonts w:hint="eastAsia" w:eastAsia="宋体"/>
                <w:color w:val="000000" w:themeColor="text1"/>
                <w:sz w:val="24"/>
                <w:szCs w:val="21"/>
              </w:rPr>
              <w:t>最大</w:t>
            </w:r>
            <w:r>
              <w:rPr>
                <w:rFonts w:eastAsia="宋体"/>
                <w:color w:val="000000" w:themeColor="text1"/>
                <w:sz w:val="24"/>
                <w:szCs w:val="21"/>
              </w:rPr>
              <w:t>为</w:t>
            </w:r>
            <w:r>
              <w:rPr>
                <w:rFonts w:hint="eastAsia" w:eastAsia="宋体"/>
                <w:color w:val="000000" w:themeColor="text1"/>
                <w:spacing w:val="-2"/>
                <w:kern w:val="16"/>
                <w:sz w:val="24"/>
              </w:rPr>
              <w:t>0.20</w:t>
            </w:r>
            <w:r>
              <w:rPr>
                <w:rFonts w:hint="eastAsia" w:eastAsia="宋体"/>
                <w:color w:val="000000" w:themeColor="text1"/>
                <w:sz w:val="24"/>
              </w:rPr>
              <w:t xml:space="preserve"> kV/m和 7.06</w:t>
            </w:r>
            <w:r>
              <w:rPr>
                <w:rFonts w:eastAsia="宋体"/>
                <w:snapToGrid w:val="0"/>
                <w:color w:val="000000" w:themeColor="text1"/>
                <w:kern w:val="16"/>
                <w:sz w:val="24"/>
              </w:rPr>
              <w:t>μT，</w:t>
            </w:r>
            <w:r>
              <w:rPr>
                <w:rFonts w:hint="eastAsia" w:eastAsia="宋体"/>
                <w:snapToGrid w:val="0"/>
                <w:color w:val="000000" w:themeColor="text1"/>
                <w:kern w:val="16"/>
                <w:sz w:val="24"/>
                <w:szCs w:val="20"/>
              </w:rPr>
              <w:t>故</w:t>
            </w:r>
            <w:r>
              <w:rPr>
                <w:rFonts w:eastAsia="宋体"/>
                <w:snapToGrid w:val="0"/>
                <w:color w:val="000000" w:themeColor="text1"/>
                <w:kern w:val="16"/>
                <w:sz w:val="24"/>
                <w:szCs w:val="20"/>
              </w:rPr>
              <w:t>可</w:t>
            </w:r>
            <w:r>
              <w:rPr>
                <w:rFonts w:hint="eastAsia" w:eastAsia="宋体"/>
                <w:snapToGrid w:val="0"/>
                <w:color w:val="000000" w:themeColor="text1"/>
                <w:kern w:val="16"/>
                <w:sz w:val="24"/>
                <w:szCs w:val="20"/>
              </w:rPr>
              <w:t>预测</w:t>
            </w:r>
            <w:r>
              <w:rPr>
                <w:rFonts w:eastAsia="宋体"/>
                <w:snapToGrid w:val="0"/>
                <w:color w:val="000000" w:themeColor="text1"/>
                <w:kern w:val="16"/>
                <w:sz w:val="24"/>
                <w:szCs w:val="20"/>
              </w:rPr>
              <w:t>本项目运行后敏感点</w:t>
            </w:r>
            <w:r>
              <w:rPr>
                <w:rFonts w:hint="eastAsia" w:eastAsia="宋体"/>
                <w:snapToGrid w:val="0"/>
                <w:color w:val="000000" w:themeColor="text1"/>
                <w:kern w:val="16"/>
                <w:sz w:val="24"/>
                <w:szCs w:val="20"/>
              </w:rPr>
              <w:t>处</w:t>
            </w:r>
            <w:r>
              <w:rPr>
                <w:rFonts w:eastAsia="宋体"/>
                <w:snapToGrid w:val="0"/>
                <w:color w:val="000000" w:themeColor="text1"/>
                <w:kern w:val="16"/>
                <w:sz w:val="24"/>
                <w:szCs w:val="20"/>
              </w:rPr>
              <w:t>的</w:t>
            </w:r>
            <w:r>
              <w:rPr>
                <w:rFonts w:hint="eastAsia" w:eastAsia="宋体"/>
                <w:snapToGrid w:val="0"/>
                <w:color w:val="000000" w:themeColor="text1"/>
                <w:kern w:val="16"/>
                <w:sz w:val="24"/>
                <w:szCs w:val="20"/>
              </w:rPr>
              <w:t>工频磁感应</w:t>
            </w:r>
            <w:r>
              <w:rPr>
                <w:rFonts w:eastAsia="宋体"/>
                <w:snapToGrid w:val="0"/>
                <w:color w:val="000000" w:themeColor="text1"/>
                <w:kern w:val="16"/>
                <w:sz w:val="24"/>
                <w:szCs w:val="20"/>
              </w:rPr>
              <w:t>强度满足标准要求。</w:t>
            </w:r>
          </w:p>
          <w:p>
            <w:pPr>
              <w:adjustRightInd w:val="0"/>
              <w:snapToGrid w:val="0"/>
              <w:spacing w:line="520" w:lineRule="exact"/>
              <w:rPr>
                <w:rFonts w:eastAsia="宋体"/>
                <w:b/>
                <w:sz w:val="24"/>
              </w:rPr>
            </w:pPr>
            <w:r>
              <w:rPr>
                <w:rFonts w:eastAsia="宋体"/>
                <w:b/>
                <w:sz w:val="24"/>
              </w:rPr>
              <w:t>11.</w:t>
            </w:r>
            <w:r>
              <w:rPr>
                <w:rFonts w:hint="eastAsia" w:eastAsia="宋体"/>
                <w:b/>
                <w:sz w:val="24"/>
              </w:rPr>
              <w:t>4</w:t>
            </w:r>
            <w:r>
              <w:rPr>
                <w:rFonts w:eastAsia="宋体"/>
                <w:b/>
                <w:sz w:val="24"/>
              </w:rPr>
              <w:t>.</w:t>
            </w:r>
            <w:r>
              <w:rPr>
                <w:rFonts w:hint="eastAsia" w:eastAsia="宋体"/>
                <w:b/>
                <w:sz w:val="24"/>
              </w:rPr>
              <w:t>3</w:t>
            </w:r>
            <w:r>
              <w:rPr>
                <w:rFonts w:eastAsia="宋体"/>
                <w:b/>
                <w:sz w:val="24"/>
              </w:rPr>
              <w:t>声环境影响评价结论</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1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由表4-</w:t>
            </w:r>
            <w:r>
              <w:rPr>
                <w:rFonts w:hint="eastAsia" w:eastAsia="宋体"/>
                <w:color w:val="000000" w:themeColor="text1"/>
                <w:spacing w:val="-2"/>
                <w:kern w:val="16"/>
                <w:sz w:val="24"/>
              </w:rPr>
              <w:t>7</w:t>
            </w:r>
            <w:r>
              <w:rPr>
                <w:rFonts w:eastAsia="宋体"/>
                <w:color w:val="000000" w:themeColor="text1"/>
                <w:spacing w:val="-2"/>
                <w:kern w:val="16"/>
                <w:sz w:val="24"/>
              </w:rPr>
              <w:t>可知，110kV升压站站址四周噪声现状昼间值在40.3~49.5dB（A）之间，夜间值在40.9~44.9dB（A）之间，满足《工业企业厂界环境噪声排放标准》（GB 12348-2008）1类区标准要求。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2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②</w:t>
            </w:r>
            <w:r>
              <w:rPr>
                <w:rFonts w:eastAsia="宋体"/>
                <w:color w:val="000000" w:themeColor="text1"/>
                <w:spacing w:val="-2"/>
                <w:kern w:val="16"/>
                <w:sz w:val="24"/>
              </w:rPr>
              <w:fldChar w:fldCharType="end"/>
            </w:r>
            <w:r>
              <w:rPr>
                <w:rFonts w:eastAsia="宋体"/>
                <w:color w:val="000000" w:themeColor="text1"/>
                <w:spacing w:val="-2"/>
                <w:kern w:val="16"/>
                <w:sz w:val="24"/>
              </w:rPr>
              <w:t>敏感点</w:t>
            </w:r>
          </w:p>
          <w:p>
            <w:pPr>
              <w:spacing w:line="520" w:lineRule="exact"/>
              <w:ind w:firstLine="472" w:firstLineChars="200"/>
              <w:rPr>
                <w:rFonts w:eastAsia="宋体"/>
                <w:color w:val="000000" w:themeColor="text1"/>
                <w:sz w:val="24"/>
                <w:szCs w:val="28"/>
              </w:rPr>
            </w:pPr>
            <w:r>
              <w:rPr>
                <w:rFonts w:eastAsia="宋体"/>
                <w:color w:val="000000" w:themeColor="text1"/>
                <w:spacing w:val="-2"/>
                <w:kern w:val="16"/>
                <w:sz w:val="24"/>
              </w:rPr>
              <w:t>由表4-</w:t>
            </w:r>
            <w:r>
              <w:rPr>
                <w:rFonts w:hint="eastAsia" w:eastAsia="宋体"/>
                <w:color w:val="000000" w:themeColor="text1"/>
                <w:spacing w:val="-2"/>
                <w:kern w:val="16"/>
                <w:sz w:val="24"/>
              </w:rPr>
              <w:t>7</w:t>
            </w:r>
            <w:r>
              <w:rPr>
                <w:rFonts w:eastAsia="宋体"/>
                <w:color w:val="000000" w:themeColor="text1"/>
                <w:spacing w:val="-2"/>
                <w:kern w:val="16"/>
                <w:sz w:val="24"/>
              </w:rPr>
              <w:t>可知，敏感点噪声昼间值在37.4~50.0dB（A）之间，夜间噪声值在36.5~41.7dB（A）之间，满足《声环境质量标准》（GB3096-2008）1类标准。</w:t>
            </w:r>
          </w:p>
          <w:p>
            <w:pPr>
              <w:adjustRightInd w:val="0"/>
              <w:snapToGrid w:val="0"/>
              <w:spacing w:line="520" w:lineRule="exact"/>
              <w:rPr>
                <w:rFonts w:eastAsia="宋体"/>
                <w:b/>
                <w:sz w:val="24"/>
              </w:rPr>
            </w:pPr>
            <w:r>
              <w:rPr>
                <w:rFonts w:eastAsia="宋体"/>
                <w:b/>
                <w:sz w:val="24"/>
              </w:rPr>
              <w:t>11.</w:t>
            </w:r>
            <w:r>
              <w:rPr>
                <w:rFonts w:hint="eastAsia" w:eastAsia="宋体"/>
                <w:b/>
                <w:sz w:val="24"/>
              </w:rPr>
              <w:t>4</w:t>
            </w:r>
            <w:r>
              <w:rPr>
                <w:rFonts w:eastAsia="宋体"/>
                <w:b/>
                <w:sz w:val="24"/>
              </w:rPr>
              <w:t>.</w:t>
            </w:r>
            <w:r>
              <w:rPr>
                <w:rFonts w:hint="eastAsia" w:eastAsia="宋体"/>
                <w:b/>
                <w:sz w:val="24"/>
              </w:rPr>
              <w:t>4</w:t>
            </w:r>
            <w:r>
              <w:rPr>
                <w:rFonts w:eastAsia="宋体"/>
                <w:b/>
                <w:sz w:val="24"/>
              </w:rPr>
              <w:t>水环境影响评价结论</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（1）新建升压站工程</w:t>
            </w:r>
          </w:p>
          <w:p>
            <w:pPr>
              <w:adjustRightInd w:val="0"/>
              <w:snapToGrid w:val="0"/>
              <w:spacing w:line="520" w:lineRule="exact"/>
              <w:ind w:firstLine="480" w:firstLineChars="200"/>
              <w:rPr>
                <w:rFonts w:eastAsia="宋体"/>
                <w:snapToGrid w:val="0"/>
                <w:kern w:val="16"/>
                <w:sz w:val="24"/>
                <w:szCs w:val="20"/>
              </w:rPr>
            </w:pPr>
            <w:r>
              <w:rPr>
                <w:rFonts w:hint="eastAsia" w:eastAsia="宋体"/>
                <w:snapToGrid w:val="0"/>
                <w:kern w:val="16"/>
                <w:sz w:val="24"/>
                <w:szCs w:val="20"/>
              </w:rPr>
              <w:t>营运期废水主要为管理人员及风电场运行维护人员的</w:t>
            </w:r>
            <w:r>
              <w:rPr>
                <w:rFonts w:eastAsia="宋体"/>
                <w:snapToGrid w:val="0"/>
                <w:kern w:val="16"/>
                <w:sz w:val="24"/>
                <w:szCs w:val="20"/>
              </w:rPr>
              <w:t>生活污水</w:t>
            </w:r>
            <w:r>
              <w:rPr>
                <w:rFonts w:hint="eastAsia" w:eastAsia="宋体"/>
                <w:snapToGrid w:val="0"/>
                <w:kern w:val="16"/>
                <w:sz w:val="24"/>
                <w:szCs w:val="20"/>
              </w:rPr>
              <w:t>，生活污水水质较简单且废水量小，经一体化污水处理设施处理后作为绿化用水资源化利用，不向地表水体排放，不会对环境造成不利影响。</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（2）新建输电线路工程</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配套线路运行期无废污水产生，不会对附近水环境产生影响。</w:t>
            </w:r>
          </w:p>
          <w:p>
            <w:pPr>
              <w:adjustRightInd w:val="0"/>
              <w:snapToGrid w:val="0"/>
              <w:spacing w:line="520" w:lineRule="exact"/>
              <w:rPr>
                <w:rFonts w:eastAsia="宋体"/>
                <w:b/>
                <w:snapToGrid w:val="0"/>
                <w:kern w:val="16"/>
                <w:sz w:val="24"/>
                <w:szCs w:val="20"/>
              </w:rPr>
            </w:pPr>
            <w:r>
              <w:rPr>
                <w:rFonts w:eastAsia="宋体"/>
                <w:b/>
                <w:snapToGrid w:val="0"/>
                <w:kern w:val="16"/>
                <w:sz w:val="24"/>
                <w:szCs w:val="20"/>
              </w:rPr>
              <w:t>11.</w:t>
            </w:r>
            <w:r>
              <w:rPr>
                <w:rFonts w:hint="eastAsia" w:eastAsia="宋体"/>
                <w:b/>
                <w:snapToGrid w:val="0"/>
                <w:kern w:val="16"/>
                <w:sz w:val="24"/>
                <w:szCs w:val="20"/>
              </w:rPr>
              <w:t>4</w:t>
            </w:r>
            <w:r>
              <w:rPr>
                <w:rFonts w:eastAsia="宋体"/>
                <w:b/>
                <w:snapToGrid w:val="0"/>
                <w:kern w:val="16"/>
                <w:sz w:val="24"/>
                <w:szCs w:val="20"/>
              </w:rPr>
              <w:t>.</w:t>
            </w:r>
            <w:r>
              <w:rPr>
                <w:rFonts w:hint="eastAsia" w:eastAsia="宋体"/>
                <w:b/>
                <w:snapToGrid w:val="0"/>
                <w:kern w:val="16"/>
                <w:sz w:val="24"/>
                <w:szCs w:val="20"/>
              </w:rPr>
              <w:t>5</w:t>
            </w:r>
            <w:r>
              <w:rPr>
                <w:rFonts w:eastAsia="宋体"/>
                <w:b/>
                <w:snapToGrid w:val="0"/>
                <w:kern w:val="16"/>
                <w:sz w:val="24"/>
                <w:szCs w:val="20"/>
              </w:rPr>
              <w:t>固体废物影响评价结论</w:t>
            </w:r>
          </w:p>
          <w:p>
            <w:pPr>
              <w:adjustRightInd w:val="0"/>
              <w:snapToGrid w:val="0"/>
              <w:spacing w:line="520" w:lineRule="exact"/>
              <w:ind w:firstLine="480" w:firstLineChars="200"/>
              <w:rPr>
                <w:rFonts w:eastAsia="宋体"/>
              </w:rPr>
            </w:pPr>
            <w:r>
              <w:rPr>
                <w:rFonts w:eastAsia="宋体"/>
                <w:snapToGrid w:val="0"/>
                <w:kern w:val="16"/>
                <w:sz w:val="24"/>
                <w:szCs w:val="20"/>
              </w:rPr>
              <w:t>升压站运行期间产生的固体废弃物主要为风电场管理人员及升压站维护人员的生活垃圾，站内有</w:t>
            </w:r>
            <w:r>
              <w:rPr>
                <w:rFonts w:hint="eastAsia" w:eastAsia="宋体"/>
                <w:snapToGrid w:val="0"/>
                <w:kern w:val="16"/>
                <w:sz w:val="24"/>
                <w:szCs w:val="20"/>
              </w:rPr>
              <w:t>14</w:t>
            </w:r>
            <w:r>
              <w:rPr>
                <w:rFonts w:eastAsia="宋体"/>
                <w:snapToGrid w:val="0"/>
                <w:kern w:val="16"/>
                <w:sz w:val="24"/>
                <w:szCs w:val="20"/>
              </w:rPr>
              <w:t>人，年工作3</w:t>
            </w:r>
            <w:r>
              <w:rPr>
                <w:rFonts w:hint="eastAsia" w:eastAsia="宋体"/>
                <w:snapToGrid w:val="0"/>
                <w:kern w:val="16"/>
                <w:sz w:val="24"/>
                <w:szCs w:val="20"/>
              </w:rPr>
              <w:t>65</w:t>
            </w:r>
            <w:r>
              <w:rPr>
                <w:rFonts w:eastAsia="宋体"/>
                <w:snapToGrid w:val="0"/>
                <w:kern w:val="16"/>
                <w:sz w:val="24"/>
                <w:szCs w:val="20"/>
              </w:rPr>
              <w:t>天，按</w:t>
            </w:r>
            <w:r>
              <w:rPr>
                <w:rFonts w:hint="eastAsia" w:eastAsia="宋体"/>
                <w:snapToGrid w:val="0"/>
                <w:kern w:val="16"/>
                <w:sz w:val="24"/>
                <w:szCs w:val="20"/>
              </w:rPr>
              <w:t>1.0</w:t>
            </w:r>
            <w:r>
              <w:rPr>
                <w:rFonts w:eastAsia="宋体"/>
                <w:snapToGrid w:val="0"/>
                <w:kern w:val="16"/>
                <w:sz w:val="24"/>
                <w:szCs w:val="20"/>
              </w:rPr>
              <w:t>kg/人·天计算，年产生生活垃圾量为</w:t>
            </w:r>
            <w:r>
              <w:rPr>
                <w:rFonts w:hint="eastAsia" w:eastAsia="宋体"/>
                <w:snapToGrid w:val="0"/>
                <w:kern w:val="16"/>
                <w:sz w:val="24"/>
                <w:szCs w:val="20"/>
              </w:rPr>
              <w:t>5.11t</w:t>
            </w:r>
            <w:r>
              <w:rPr>
                <w:rFonts w:eastAsia="宋体"/>
                <w:snapToGrid w:val="0"/>
                <w:kern w:val="16"/>
                <w:sz w:val="24"/>
                <w:szCs w:val="20"/>
              </w:rPr>
              <w:t>/a。为避免固体废弃物污染环境，本次评价要求运行单位将生活垃圾收集后交给当地环卫部门集中处理，避免对环境的污染。新建110kV输电线路运行期无废弃物产生，对环境无影响</w:t>
            </w:r>
            <w:r>
              <w:rPr>
                <w:rFonts w:eastAsia="宋体"/>
              </w:rPr>
              <w:t>。</w:t>
            </w:r>
          </w:p>
          <w:p>
            <w:pPr>
              <w:adjustRightInd w:val="0"/>
              <w:snapToGrid w:val="0"/>
              <w:spacing w:line="520" w:lineRule="exact"/>
              <w:ind w:firstLine="472" w:firstLineChars="200"/>
              <w:rPr>
                <w:rFonts w:eastAsia="宋体"/>
                <w:snapToGrid w:val="0"/>
                <w:kern w:val="16"/>
                <w:sz w:val="24"/>
                <w:szCs w:val="20"/>
              </w:rPr>
            </w:pPr>
            <w:r>
              <w:rPr>
                <w:rFonts w:eastAsia="宋体"/>
                <w:spacing w:val="-2"/>
                <w:kern w:val="16"/>
                <w:sz w:val="24"/>
              </w:rPr>
              <w:t>升压站内使用蓄电池作为信号指示、仪表记录、操作机构和储能机构电源备用，蓄电池正常使用情况下，6-8年更换一次，更换后的蓄电池作为危险废物交由具有处置资质的单位进行处理。</w:t>
            </w:r>
          </w:p>
          <w:p>
            <w:pPr>
              <w:adjustRightInd w:val="0"/>
              <w:snapToGrid w:val="0"/>
              <w:spacing w:line="520" w:lineRule="exact"/>
              <w:rPr>
                <w:rFonts w:eastAsia="宋体"/>
                <w:b/>
                <w:sz w:val="24"/>
              </w:rPr>
            </w:pPr>
            <w:r>
              <w:rPr>
                <w:rFonts w:eastAsia="宋体"/>
                <w:b/>
                <w:sz w:val="24"/>
              </w:rPr>
              <w:t>11.</w:t>
            </w:r>
            <w:r>
              <w:rPr>
                <w:rFonts w:hint="eastAsia" w:eastAsia="宋体"/>
                <w:b/>
                <w:sz w:val="24"/>
              </w:rPr>
              <w:t>5</w:t>
            </w:r>
            <w:r>
              <w:rPr>
                <w:rFonts w:eastAsia="宋体"/>
                <w:b/>
                <w:sz w:val="24"/>
              </w:rPr>
              <w:t>环境风险分析</w:t>
            </w:r>
          </w:p>
          <w:p>
            <w:pPr>
              <w:adjustRightInd w:val="0"/>
              <w:snapToGrid w:val="0"/>
              <w:spacing w:line="520" w:lineRule="exact"/>
              <w:ind w:firstLine="480" w:firstLineChars="200"/>
              <w:rPr>
                <w:rFonts w:eastAsia="宋体"/>
                <w:sz w:val="24"/>
              </w:rPr>
            </w:pPr>
            <w:r>
              <w:rPr>
                <w:rFonts w:eastAsia="宋体"/>
                <w:snapToGrid w:val="0"/>
                <w:kern w:val="16"/>
                <w:sz w:val="24"/>
                <w:szCs w:val="20"/>
              </w:rPr>
              <w:t>本工程升压站内设计有事故集油池，容积为</w:t>
            </w:r>
            <w:r>
              <w:rPr>
                <w:rFonts w:hint="eastAsia" w:eastAsia="宋体"/>
                <w:snapToGrid w:val="0"/>
                <w:kern w:val="16"/>
                <w:sz w:val="24"/>
                <w:szCs w:val="20"/>
              </w:rPr>
              <w:t>50</w:t>
            </w:r>
            <w:r>
              <w:rPr>
                <w:rFonts w:eastAsia="宋体"/>
                <w:snapToGrid w:val="0"/>
                <w:kern w:val="16"/>
                <w:sz w:val="24"/>
                <w:szCs w:val="20"/>
              </w:rPr>
              <w:t>m</w:t>
            </w:r>
            <w:r>
              <w:rPr>
                <w:rFonts w:eastAsia="宋体"/>
                <w:snapToGrid w:val="0"/>
                <w:kern w:val="16"/>
                <w:sz w:val="24"/>
                <w:szCs w:val="20"/>
                <w:vertAlign w:val="superscript"/>
              </w:rPr>
              <w:t>3</w:t>
            </w:r>
            <w:r>
              <w:rPr>
                <w:rFonts w:eastAsia="宋体"/>
                <w:snapToGrid w:val="0"/>
                <w:kern w:val="16"/>
                <w:sz w:val="24"/>
                <w:szCs w:val="20"/>
              </w:rPr>
              <w:t>。</w:t>
            </w:r>
            <w:r>
              <w:rPr>
                <w:rFonts w:eastAsia="宋体"/>
                <w:sz w:val="24"/>
              </w:rPr>
              <w:t>本项目升压站内设置一台变压器，单台</w:t>
            </w:r>
            <w:r>
              <w:rPr>
                <w:rFonts w:hint="eastAsia" w:eastAsia="宋体"/>
                <w:sz w:val="24"/>
              </w:rPr>
              <w:t>80</w:t>
            </w:r>
            <w:r>
              <w:rPr>
                <w:rFonts w:eastAsia="宋体"/>
                <w:sz w:val="24"/>
              </w:rPr>
              <w:t>MVA变压器含绝缘油约</w:t>
            </w:r>
            <w:r>
              <w:rPr>
                <w:rFonts w:hint="eastAsia" w:eastAsia="宋体"/>
                <w:sz w:val="24"/>
              </w:rPr>
              <w:t>22.5t</w:t>
            </w:r>
            <w:r>
              <w:rPr>
                <w:rFonts w:eastAsia="宋体"/>
                <w:sz w:val="24"/>
              </w:rPr>
              <w:t>，变压器油的密度</w:t>
            </w:r>
            <w:r>
              <w:rPr>
                <w:rFonts w:hint="eastAsia" w:eastAsia="宋体"/>
                <w:sz w:val="24"/>
              </w:rPr>
              <w:t>900</w:t>
            </w:r>
            <w:r>
              <w:rPr>
                <w:rFonts w:eastAsia="宋体"/>
                <w:sz w:val="24"/>
              </w:rPr>
              <w:t>kg/m</w:t>
            </w:r>
            <w:r>
              <w:rPr>
                <w:rFonts w:eastAsia="宋体"/>
                <w:sz w:val="24"/>
                <w:vertAlign w:val="superscript"/>
              </w:rPr>
              <w:t>3</w:t>
            </w:r>
            <w:r>
              <w:rPr>
                <w:rFonts w:eastAsia="宋体"/>
                <w:sz w:val="24"/>
              </w:rPr>
              <w:t>，所以该变压器油箱最大储油量约为</w:t>
            </w:r>
            <w:r>
              <w:rPr>
                <w:rFonts w:hint="eastAsia" w:eastAsia="宋体"/>
                <w:sz w:val="24"/>
              </w:rPr>
              <w:t>50</w:t>
            </w:r>
            <w:r>
              <w:rPr>
                <w:rFonts w:eastAsia="宋体"/>
                <w:sz w:val="24"/>
              </w:rPr>
              <w:t>m</w:t>
            </w:r>
            <w:r>
              <w:rPr>
                <w:rFonts w:eastAsia="宋体"/>
                <w:sz w:val="24"/>
                <w:vertAlign w:val="superscript"/>
              </w:rPr>
              <w:t>3</w:t>
            </w:r>
            <w:r>
              <w:rPr>
                <w:rFonts w:eastAsia="宋体"/>
                <w:sz w:val="24"/>
              </w:rPr>
              <w:t>。事故油池有油水分离的功能，变压器事故状态下需排油时，经主变下部的贮油坑与排油管排至事故油池。根据《3-110kV高压配电装置设计规范》（GB50060-2008）中“应设置能容纳100%油量的贮油设施”规定，本项目事故油池量可以满足本项目发生事故状况下的需求。</w:t>
            </w:r>
          </w:p>
          <w:p>
            <w:pPr>
              <w:adjustRightInd w:val="0"/>
              <w:snapToGrid w:val="0"/>
              <w:spacing w:line="520" w:lineRule="exact"/>
              <w:ind w:firstLine="480" w:firstLineChars="200"/>
              <w:rPr>
                <w:rFonts w:eastAsia="宋体"/>
                <w:snapToGrid w:val="0"/>
                <w:kern w:val="16"/>
                <w:sz w:val="24"/>
              </w:rPr>
            </w:pPr>
            <w:r>
              <w:rPr>
                <w:rFonts w:eastAsia="宋体"/>
                <w:snapToGrid w:val="0"/>
                <w:kern w:val="16"/>
                <w:sz w:val="24"/>
                <w:szCs w:val="20"/>
              </w:rPr>
              <w:t>本工程升压站内拟设事故集油池，容积为</w:t>
            </w:r>
            <w:r>
              <w:rPr>
                <w:rFonts w:hint="eastAsia" w:eastAsia="宋体"/>
                <w:snapToGrid w:val="0"/>
                <w:kern w:val="16"/>
                <w:sz w:val="24"/>
                <w:szCs w:val="20"/>
              </w:rPr>
              <w:t>50</w:t>
            </w:r>
            <w:r>
              <w:rPr>
                <w:rFonts w:eastAsia="宋体"/>
                <w:snapToGrid w:val="0"/>
                <w:kern w:val="16"/>
                <w:sz w:val="24"/>
                <w:szCs w:val="20"/>
              </w:rPr>
              <w:t>m</w:t>
            </w:r>
            <w:r>
              <w:rPr>
                <w:rFonts w:eastAsia="宋体"/>
                <w:snapToGrid w:val="0"/>
                <w:kern w:val="16"/>
                <w:sz w:val="24"/>
                <w:szCs w:val="20"/>
                <w:vertAlign w:val="superscript"/>
              </w:rPr>
              <w:t>3</w:t>
            </w:r>
            <w:r>
              <w:rPr>
                <w:rFonts w:eastAsia="宋体"/>
                <w:snapToGrid w:val="0"/>
                <w:kern w:val="16"/>
                <w:sz w:val="24"/>
                <w:szCs w:val="20"/>
              </w:rPr>
              <w:t>，满足1台主变发生事故状态下的需求，将事故状态下的废油及废水全部收集起来，收集的废变压器油及废水全部具有相应资格的危险废物处理机构进行妥善处理。避免造成其对外环境的污染。可将事故状态下的废油及废水全部收集起来，收集的废变压器油及废水全部具有相应资格的危险废物处理机构进行妥善处理。避免造成其对外环境的污染。事故油池需按照《危险废物贮存污染控制标准》（GB18597-2001）(2013年修改)中的有关规定，做好防渗、防漏及设置警示标志</w:t>
            </w:r>
            <w:r>
              <w:rPr>
                <w:rFonts w:hint="eastAsia" w:eastAsia="宋体"/>
                <w:snapToGrid w:val="0"/>
                <w:kern w:val="16"/>
                <w:sz w:val="24"/>
                <w:szCs w:val="20"/>
              </w:rPr>
              <w:t>，</w:t>
            </w:r>
            <w:r>
              <w:rPr>
                <w:rFonts w:hint="eastAsia" w:eastAsia="宋体"/>
                <w:sz w:val="24"/>
                <w:szCs w:val="28"/>
              </w:rPr>
              <w:t>由于事故油池为户外式，雨水天气下雨水会流入事故油池，因此，建设单位需定期清理事故油池的雨水。</w:t>
            </w:r>
          </w:p>
          <w:p>
            <w:pPr>
              <w:adjustRightInd w:val="0"/>
              <w:snapToGrid w:val="0"/>
              <w:spacing w:line="520" w:lineRule="exact"/>
              <w:rPr>
                <w:rFonts w:eastAsia="宋体"/>
                <w:b/>
                <w:sz w:val="24"/>
              </w:rPr>
            </w:pPr>
            <w:r>
              <w:rPr>
                <w:rFonts w:eastAsia="宋体"/>
                <w:b/>
                <w:sz w:val="24"/>
              </w:rPr>
              <w:t>11.</w:t>
            </w:r>
            <w:r>
              <w:rPr>
                <w:rFonts w:hint="eastAsia" w:eastAsia="宋体"/>
                <w:b/>
                <w:sz w:val="24"/>
              </w:rPr>
              <w:t>6</w:t>
            </w:r>
            <w:r>
              <w:rPr>
                <w:rFonts w:eastAsia="宋体"/>
                <w:b/>
                <w:sz w:val="24"/>
              </w:rPr>
              <w:t>公众参与结论</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本工程建设信息分别于</w:t>
            </w:r>
            <w:r>
              <w:rPr>
                <w:rFonts w:hint="eastAsia" w:eastAsia="宋体"/>
                <w:snapToGrid w:val="0"/>
                <w:kern w:val="16"/>
                <w:sz w:val="24"/>
                <w:szCs w:val="20"/>
              </w:rPr>
              <w:t>2020年4月7日</w:t>
            </w:r>
            <w:r>
              <w:rPr>
                <w:rFonts w:hint="eastAsia" w:eastAsia="宋体"/>
                <w:snapToGrid w:val="0"/>
                <w:color w:val="000000" w:themeColor="text1"/>
                <w:kern w:val="16"/>
                <w:sz w:val="24"/>
                <w:szCs w:val="20"/>
              </w:rPr>
              <w:t>、2020年4月26日</w:t>
            </w:r>
            <w:r>
              <w:rPr>
                <w:rFonts w:eastAsia="宋体"/>
                <w:snapToGrid w:val="0"/>
                <w:color w:val="000000" w:themeColor="text1"/>
                <w:kern w:val="16"/>
                <w:sz w:val="24"/>
                <w:szCs w:val="20"/>
              </w:rPr>
              <w:t>在</w:t>
            </w:r>
            <w:r>
              <w:rPr>
                <w:rFonts w:hint="eastAsia" w:eastAsia="宋体"/>
                <w:snapToGrid w:val="0"/>
                <w:color w:val="000000" w:themeColor="text1"/>
                <w:kern w:val="16"/>
                <w:sz w:val="24"/>
                <w:szCs w:val="20"/>
              </w:rPr>
              <w:t>中广核新能源控股有限公司网站上</w:t>
            </w:r>
            <w:r>
              <w:rPr>
                <w:rFonts w:eastAsia="宋体"/>
                <w:snapToGrid w:val="0"/>
                <w:color w:val="000000" w:themeColor="text1"/>
                <w:kern w:val="16"/>
                <w:sz w:val="24"/>
                <w:szCs w:val="20"/>
              </w:rPr>
              <w:t>进行了一次、二次公示，并于2020年</w:t>
            </w:r>
            <w:r>
              <w:rPr>
                <w:rFonts w:hint="eastAsia" w:eastAsia="宋体"/>
                <w:snapToGrid w:val="0"/>
                <w:color w:val="000000" w:themeColor="text1"/>
                <w:kern w:val="16"/>
                <w:sz w:val="24"/>
                <w:szCs w:val="20"/>
              </w:rPr>
              <w:t>4月30日、2020年5月6日</w:t>
            </w:r>
            <w:r>
              <w:rPr>
                <w:rFonts w:eastAsia="宋体"/>
                <w:snapToGrid w:val="0"/>
                <w:color w:val="000000" w:themeColor="text1"/>
                <w:kern w:val="16"/>
                <w:sz w:val="24"/>
                <w:szCs w:val="20"/>
              </w:rPr>
              <w:t>在</w:t>
            </w:r>
            <w:r>
              <w:rPr>
                <w:rFonts w:hint="eastAsia" w:eastAsia="宋体"/>
                <w:snapToGrid w:val="0"/>
                <w:color w:val="000000" w:themeColor="text1"/>
                <w:kern w:val="16"/>
                <w:sz w:val="24"/>
                <w:szCs w:val="20"/>
              </w:rPr>
              <w:t>大河报</w:t>
            </w:r>
            <w:r>
              <w:rPr>
                <w:rFonts w:eastAsia="宋体"/>
                <w:snapToGrid w:val="0"/>
                <w:color w:val="000000" w:themeColor="text1"/>
                <w:kern w:val="16"/>
                <w:sz w:val="24"/>
                <w:szCs w:val="20"/>
              </w:rPr>
              <w:t>上发布环境影响评价信息公示，同</w:t>
            </w:r>
            <w:r>
              <w:rPr>
                <w:rFonts w:eastAsia="宋体"/>
                <w:snapToGrid w:val="0"/>
                <w:kern w:val="16"/>
                <w:sz w:val="24"/>
                <w:szCs w:val="20"/>
              </w:rPr>
              <w:t>时，建设单位在工程建设地附近环境敏感点张贴环境信息公告、现场发放调查表进行公众参与调查，结果表明：100.0%的公众表示支持本项目的建设，无公众反对本项目建设。</w:t>
            </w:r>
          </w:p>
          <w:p>
            <w:pPr>
              <w:adjustRightInd w:val="0"/>
              <w:snapToGrid w:val="0"/>
              <w:spacing w:line="520" w:lineRule="exact"/>
              <w:rPr>
                <w:rFonts w:eastAsia="宋体"/>
                <w:b/>
                <w:bCs/>
                <w:sz w:val="24"/>
                <w:szCs w:val="28"/>
              </w:rPr>
            </w:pPr>
            <w:r>
              <w:rPr>
                <w:rFonts w:eastAsia="宋体"/>
                <w:b/>
                <w:bCs/>
                <w:sz w:val="24"/>
                <w:szCs w:val="28"/>
              </w:rPr>
              <w:t>11.</w:t>
            </w:r>
            <w:r>
              <w:rPr>
                <w:rFonts w:hint="eastAsia" w:eastAsia="宋体"/>
                <w:b/>
                <w:bCs/>
                <w:sz w:val="24"/>
                <w:szCs w:val="28"/>
              </w:rPr>
              <w:t>7</w:t>
            </w:r>
            <w:r>
              <w:rPr>
                <w:rFonts w:eastAsia="宋体"/>
                <w:b/>
                <w:bCs/>
                <w:sz w:val="24"/>
                <w:szCs w:val="28"/>
              </w:rPr>
              <w:t>综合结论</w:t>
            </w:r>
          </w:p>
          <w:p>
            <w:pPr>
              <w:adjustRightInd w:val="0"/>
              <w:snapToGrid w:val="0"/>
              <w:spacing w:line="520" w:lineRule="exact"/>
              <w:ind w:firstLine="472" w:firstLineChars="200"/>
              <w:rPr>
                <w:rFonts w:eastAsia="宋体"/>
                <w:snapToGrid w:val="0"/>
                <w:kern w:val="16"/>
                <w:sz w:val="24"/>
                <w:szCs w:val="20"/>
              </w:rPr>
            </w:pPr>
            <w:r>
              <w:rPr>
                <w:rFonts w:eastAsia="宋体"/>
                <w:spacing w:val="-2"/>
                <w:kern w:val="16"/>
                <w:sz w:val="24"/>
              </w:rPr>
              <w:t>综上分析，</w:t>
            </w:r>
            <w:r>
              <w:rPr>
                <w:rFonts w:hint="eastAsia" w:eastAsia="宋体"/>
                <w:sz w:val="24"/>
              </w:rPr>
              <w:t>中广核禹州市苌庄80MW风电场110kV升压站及送出线路工程</w:t>
            </w:r>
            <w:r>
              <w:rPr>
                <w:rFonts w:eastAsia="宋体"/>
                <w:spacing w:val="-2"/>
                <w:kern w:val="16"/>
                <w:sz w:val="24"/>
              </w:rPr>
              <w:t>的建设符合国家产业政策，符合河南省</w:t>
            </w:r>
            <w:r>
              <w:rPr>
                <w:rFonts w:hint="eastAsia" w:eastAsia="宋体"/>
                <w:spacing w:val="-2"/>
                <w:kern w:val="16"/>
                <w:sz w:val="24"/>
              </w:rPr>
              <w:t>许昌市</w:t>
            </w:r>
            <w:r>
              <w:rPr>
                <w:rFonts w:eastAsia="宋体"/>
                <w:spacing w:val="-2"/>
                <w:kern w:val="16"/>
                <w:sz w:val="24"/>
              </w:rPr>
              <w:t>电网规划。工程建设区域环境质量现状所涉及各项环境保护因子满足相应环境标准，经过环境影响预测，工程投运后各环境保护因子满足限值要求；工程在设计、施工和运行阶段拟采取一系列环境保护措施，在严格执行本环境影响报告表中规定的各项污染防治措施和生态保护措施后，从环境保护的角度而言，本项目是可行的。</w:t>
            </w:r>
          </w:p>
          <w:p>
            <w:pPr>
              <w:adjustRightInd w:val="0"/>
              <w:snapToGrid w:val="0"/>
              <w:spacing w:line="520" w:lineRule="exact"/>
              <w:ind w:firstLine="482" w:firstLineChars="200"/>
              <w:rPr>
                <w:rFonts w:eastAsia="宋体"/>
                <w:b/>
                <w:snapToGrid w:val="0"/>
                <w:kern w:val="16"/>
                <w:sz w:val="24"/>
                <w:szCs w:val="20"/>
              </w:rPr>
            </w:pPr>
          </w:p>
          <w:p>
            <w:pPr>
              <w:adjustRightInd w:val="0"/>
              <w:snapToGrid w:val="0"/>
              <w:spacing w:line="520" w:lineRule="exact"/>
              <w:ind w:firstLine="482" w:firstLineChars="200"/>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p>
            <w:pPr>
              <w:adjustRightInd w:val="0"/>
              <w:snapToGrid w:val="0"/>
              <w:spacing w:line="520" w:lineRule="exact"/>
              <w:rPr>
                <w:rFonts w:eastAsia="宋体"/>
                <w:b/>
                <w:snapToGrid w:val="0"/>
                <w:kern w:val="16"/>
                <w:sz w:val="24"/>
                <w:szCs w:val="20"/>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58" w:hRule="atLeast"/>
          <w:jc w:val="center"/>
        </w:trPr>
        <w:tc>
          <w:tcPr>
            <w:tcW w:w="8522" w:type="dxa"/>
          </w:tcPr>
          <w:p>
            <w:pPr>
              <w:spacing w:line="240" w:lineRule="atLeast"/>
              <w:rPr>
                <w:rFonts w:eastAsia="宋体"/>
              </w:rPr>
            </w:pPr>
            <w:r>
              <w:rPr>
                <w:rFonts w:eastAsia="宋体"/>
              </w:rPr>
              <w:t>预审意见：</w:t>
            </w:r>
          </w:p>
          <w:p>
            <w:pPr>
              <w:spacing w:line="240" w:lineRule="atLeast"/>
              <w:ind w:firstLine="640" w:firstLineChars="200"/>
              <w:rPr>
                <w:rFonts w:eastAsia="宋体"/>
                <w:sz w:val="32"/>
              </w:rPr>
            </w:pPr>
          </w:p>
          <w:p>
            <w:pPr>
              <w:spacing w:line="240" w:lineRule="atLeast"/>
              <w:ind w:firstLine="640" w:firstLineChars="200"/>
              <w:rPr>
                <w:rFonts w:eastAsia="宋体"/>
                <w:sz w:val="32"/>
              </w:rPr>
            </w:pPr>
          </w:p>
          <w:p>
            <w:pPr>
              <w:spacing w:line="240" w:lineRule="atLeast"/>
              <w:ind w:firstLine="640" w:firstLineChars="200"/>
              <w:rPr>
                <w:rFonts w:eastAsia="宋体"/>
                <w:sz w:val="32"/>
              </w:rPr>
            </w:pPr>
          </w:p>
          <w:p>
            <w:pPr>
              <w:spacing w:line="240" w:lineRule="atLeast"/>
              <w:ind w:firstLine="640" w:firstLineChars="200"/>
              <w:rPr>
                <w:rFonts w:eastAsia="宋体"/>
                <w:sz w:val="32"/>
              </w:rPr>
            </w:pPr>
          </w:p>
          <w:p>
            <w:pPr>
              <w:spacing w:line="240" w:lineRule="atLeast"/>
              <w:ind w:firstLine="640" w:firstLineChars="200"/>
              <w:rPr>
                <w:rFonts w:eastAsia="宋体"/>
                <w:sz w:val="32"/>
              </w:rPr>
            </w:pPr>
          </w:p>
          <w:p>
            <w:pPr>
              <w:spacing w:line="240" w:lineRule="atLeast"/>
              <w:rPr>
                <w:rFonts w:eastAsia="宋体"/>
                <w:sz w:val="32"/>
              </w:rPr>
            </w:pPr>
          </w:p>
          <w:p>
            <w:pPr>
              <w:spacing w:line="240" w:lineRule="atLeast"/>
              <w:rPr>
                <w:rFonts w:eastAsia="宋体"/>
                <w:sz w:val="32"/>
              </w:rPr>
            </w:pPr>
          </w:p>
          <w:p>
            <w:pPr>
              <w:spacing w:line="240" w:lineRule="atLeast"/>
              <w:rPr>
                <w:rFonts w:eastAsia="宋体"/>
              </w:rPr>
            </w:pPr>
            <w:r>
              <w:rPr>
                <w:rFonts w:eastAsia="宋体"/>
              </w:rPr>
              <w:t xml:space="preserve">                                           公    章</w:t>
            </w:r>
          </w:p>
          <w:p>
            <w:pPr>
              <w:spacing w:line="240" w:lineRule="atLeast"/>
              <w:rPr>
                <w:rFonts w:eastAsia="宋体"/>
              </w:rPr>
            </w:pPr>
            <w:r>
              <w:rPr>
                <w:rFonts w:eastAsia="宋体"/>
              </w:rPr>
              <w:t xml:space="preserve"> 经办人：</w:t>
            </w:r>
          </w:p>
          <w:p>
            <w:pPr>
              <w:rPr>
                <w:rFonts w:eastAsia="宋体"/>
              </w:rPr>
            </w:pPr>
            <w:r>
              <w:rPr>
                <w:rFonts w:eastAsia="宋体"/>
              </w:rPr>
              <w:t xml:space="preserve">                                       年     月     日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50" w:hRule="atLeast"/>
          <w:jc w:val="center"/>
        </w:trPr>
        <w:tc>
          <w:tcPr>
            <w:tcW w:w="8522" w:type="dxa"/>
          </w:tcPr>
          <w:p>
            <w:pPr>
              <w:spacing w:line="240" w:lineRule="atLeast"/>
              <w:rPr>
                <w:rFonts w:eastAsia="宋体"/>
              </w:rPr>
            </w:pPr>
            <w:r>
              <w:rPr>
                <w:rFonts w:eastAsia="宋体"/>
              </w:rPr>
              <w:t>下一级环境保护行政主管部门审查意见：</w:t>
            </w: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r>
              <w:rPr>
                <w:rFonts w:eastAsia="宋体"/>
              </w:rPr>
              <w:t xml:space="preserve">                                          公    章</w:t>
            </w:r>
          </w:p>
          <w:p>
            <w:pPr>
              <w:spacing w:line="240" w:lineRule="atLeast"/>
              <w:rPr>
                <w:rFonts w:eastAsia="宋体"/>
              </w:rPr>
            </w:pPr>
            <w:r>
              <w:rPr>
                <w:rFonts w:eastAsia="宋体"/>
              </w:rPr>
              <w:t xml:space="preserve"> 经办人：                                                                          </w:t>
            </w:r>
          </w:p>
          <w:p>
            <w:pPr>
              <w:ind w:firstLine="5325"/>
              <w:rPr>
                <w:rFonts w:eastAsia="宋体"/>
              </w:rPr>
            </w:pPr>
            <w:r>
              <w:rPr>
                <w:rFonts w:eastAsia="宋体"/>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50" w:hRule="atLeast"/>
          <w:jc w:val="center"/>
        </w:trPr>
        <w:tc>
          <w:tcPr>
            <w:tcW w:w="8522" w:type="dxa"/>
          </w:tcPr>
          <w:p>
            <w:pPr>
              <w:spacing w:line="240" w:lineRule="atLeast"/>
              <w:rPr>
                <w:rFonts w:eastAsia="宋体"/>
              </w:rPr>
            </w:pPr>
            <w:r>
              <w:rPr>
                <w:rFonts w:eastAsia="宋体"/>
              </w:rPr>
              <w:t>审批意见：</w:t>
            </w: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p>
          <w:p>
            <w:pPr>
              <w:spacing w:line="240" w:lineRule="atLeast"/>
              <w:rPr>
                <w:rFonts w:eastAsia="宋体"/>
              </w:rPr>
            </w:pPr>
            <w:r>
              <w:rPr>
                <w:rFonts w:eastAsia="宋体"/>
              </w:rPr>
              <w:t xml:space="preserve">                                                                                            </w:t>
            </w:r>
          </w:p>
          <w:p>
            <w:pPr>
              <w:spacing w:line="240" w:lineRule="atLeast"/>
              <w:rPr>
                <w:rFonts w:eastAsia="宋体"/>
              </w:rPr>
            </w:pPr>
            <w:r>
              <w:rPr>
                <w:rFonts w:eastAsia="宋体"/>
              </w:rPr>
              <w:t xml:space="preserve">                                           公    章</w:t>
            </w:r>
          </w:p>
          <w:p>
            <w:pPr>
              <w:spacing w:line="240" w:lineRule="atLeast"/>
              <w:rPr>
                <w:rFonts w:eastAsia="宋体"/>
              </w:rPr>
            </w:pPr>
            <w:r>
              <w:rPr>
                <w:rFonts w:eastAsia="宋体"/>
              </w:rPr>
              <w:t xml:space="preserve"> 经办人：                                                                           </w:t>
            </w:r>
          </w:p>
          <w:p>
            <w:pPr>
              <w:spacing w:line="240" w:lineRule="atLeast"/>
              <w:rPr>
                <w:rFonts w:eastAsia="宋体"/>
              </w:rPr>
            </w:pPr>
            <w:r>
              <w:rPr>
                <w:rFonts w:eastAsia="宋体"/>
              </w:rPr>
              <w:t xml:space="preserve">                                      年       月      </w:t>
            </w:r>
          </w:p>
          <w:p>
            <w:pPr>
              <w:spacing w:line="240" w:lineRule="atLeast"/>
              <w:rPr>
                <w:rFonts w:eastAsia="宋体"/>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50" w:hRule="atLeast"/>
          <w:jc w:val="center"/>
        </w:trPr>
        <w:tc>
          <w:tcPr>
            <w:tcW w:w="8522" w:type="dxa"/>
            <w:shd w:val="clear" w:color="auto" w:fill="auto"/>
          </w:tcPr>
          <w:p>
            <w:pPr>
              <w:spacing w:line="480" w:lineRule="exact"/>
              <w:rPr>
                <w:rFonts w:eastAsia="宋体"/>
                <w:b/>
                <w:color w:val="000000"/>
                <w:sz w:val="24"/>
              </w:rPr>
            </w:pPr>
            <w:r>
              <w:rPr>
                <w:rFonts w:eastAsia="宋体"/>
                <w:b/>
                <w:color w:val="000000"/>
                <w:sz w:val="24"/>
              </w:rPr>
              <w:t>专题</w:t>
            </w:r>
          </w:p>
          <w:p>
            <w:pPr>
              <w:spacing w:line="480" w:lineRule="exact"/>
              <w:ind w:firstLine="480" w:firstLineChars="200"/>
              <w:rPr>
                <w:rFonts w:eastAsia="宋体"/>
                <w:color w:val="000000"/>
                <w:sz w:val="24"/>
              </w:rPr>
            </w:pPr>
            <w:r>
              <w:rPr>
                <w:rFonts w:eastAsia="宋体"/>
                <w:color w:val="000000"/>
                <w:sz w:val="24"/>
              </w:rPr>
              <w:t>电磁环境专题评价</w:t>
            </w:r>
          </w:p>
          <w:p>
            <w:pPr>
              <w:spacing w:line="480" w:lineRule="exact"/>
              <w:rPr>
                <w:rFonts w:eastAsia="宋体"/>
                <w:b/>
                <w:color w:val="000000"/>
                <w:sz w:val="24"/>
              </w:rPr>
            </w:pPr>
            <w:r>
              <w:rPr>
                <w:rFonts w:eastAsia="宋体"/>
                <w:b/>
                <w:color w:val="000000"/>
                <w:sz w:val="24"/>
              </w:rPr>
              <w:t>附图</w:t>
            </w:r>
          </w:p>
          <w:p>
            <w:pPr>
              <w:autoSpaceDE w:val="0"/>
              <w:autoSpaceDN w:val="0"/>
              <w:spacing w:line="480" w:lineRule="exact"/>
              <w:ind w:firstLine="480" w:firstLineChars="200"/>
              <w:rPr>
                <w:rFonts w:eastAsia="宋体"/>
                <w:sz w:val="24"/>
              </w:rPr>
            </w:pPr>
            <w:r>
              <w:rPr>
                <w:rFonts w:hAnsi="宋体" w:eastAsia="宋体"/>
                <w:sz w:val="24"/>
              </w:rPr>
              <w:t>附图</w:t>
            </w:r>
            <w:r>
              <w:rPr>
                <w:rFonts w:eastAsia="宋体"/>
                <w:sz w:val="24"/>
              </w:rPr>
              <w:t xml:space="preserve">1  </w:t>
            </w:r>
            <w:r>
              <w:rPr>
                <w:rFonts w:hAnsi="宋体" w:eastAsia="宋体"/>
                <w:sz w:val="24"/>
              </w:rPr>
              <w:t>项目地理位置图</w:t>
            </w:r>
          </w:p>
          <w:p>
            <w:pPr>
              <w:autoSpaceDE w:val="0"/>
              <w:autoSpaceDN w:val="0"/>
              <w:spacing w:line="480" w:lineRule="exact"/>
              <w:ind w:firstLine="480" w:firstLineChars="200"/>
              <w:rPr>
                <w:rFonts w:eastAsia="宋体"/>
                <w:sz w:val="24"/>
              </w:rPr>
            </w:pPr>
            <w:r>
              <w:rPr>
                <w:rFonts w:hAnsi="宋体" w:eastAsia="宋体"/>
                <w:sz w:val="24"/>
              </w:rPr>
              <w:t>附图</w:t>
            </w:r>
            <w:r>
              <w:rPr>
                <w:rFonts w:eastAsia="宋体"/>
                <w:sz w:val="24"/>
              </w:rPr>
              <w:t xml:space="preserve">2  </w:t>
            </w:r>
            <w:r>
              <w:rPr>
                <w:rFonts w:hAnsi="宋体" w:eastAsia="宋体"/>
                <w:sz w:val="24"/>
              </w:rPr>
              <w:t>升压站周围、线路两侧敏感点分布及现状</w:t>
            </w:r>
            <w:r>
              <w:rPr>
                <w:rFonts w:hAnsi="宋体" w:eastAsia="宋体"/>
                <w:kern w:val="0"/>
                <w:sz w:val="24"/>
              </w:rPr>
              <w:t>监测布点图</w:t>
            </w:r>
          </w:p>
          <w:p>
            <w:pPr>
              <w:autoSpaceDE w:val="0"/>
              <w:autoSpaceDN w:val="0"/>
              <w:spacing w:line="480" w:lineRule="exact"/>
              <w:ind w:firstLine="480" w:firstLineChars="200"/>
              <w:rPr>
                <w:rFonts w:eastAsia="宋体"/>
                <w:sz w:val="24"/>
              </w:rPr>
            </w:pPr>
            <w:r>
              <w:rPr>
                <w:rFonts w:hAnsi="宋体" w:eastAsia="宋体"/>
                <w:sz w:val="24"/>
              </w:rPr>
              <w:t>附图</w:t>
            </w:r>
            <w:r>
              <w:rPr>
                <w:rFonts w:eastAsia="宋体"/>
                <w:sz w:val="24"/>
              </w:rPr>
              <w:t xml:space="preserve">3  </w:t>
            </w:r>
            <w:r>
              <w:rPr>
                <w:rFonts w:hAnsi="宋体" w:eastAsia="宋体"/>
                <w:sz w:val="24"/>
              </w:rPr>
              <w:t>输电线路路径走向图</w:t>
            </w:r>
          </w:p>
          <w:p>
            <w:pPr>
              <w:autoSpaceDE w:val="0"/>
              <w:autoSpaceDN w:val="0"/>
              <w:spacing w:line="480" w:lineRule="exact"/>
              <w:ind w:firstLine="480" w:firstLineChars="200"/>
              <w:rPr>
                <w:rFonts w:eastAsia="宋体"/>
                <w:sz w:val="24"/>
              </w:rPr>
            </w:pPr>
            <w:r>
              <w:rPr>
                <w:rFonts w:hAnsi="宋体" w:eastAsia="宋体"/>
                <w:sz w:val="24"/>
              </w:rPr>
              <w:t>附图</w:t>
            </w:r>
            <w:r>
              <w:rPr>
                <w:rFonts w:hint="eastAsia" w:eastAsia="宋体"/>
                <w:sz w:val="24"/>
              </w:rPr>
              <w:t>4</w:t>
            </w:r>
            <w:r>
              <w:rPr>
                <w:rFonts w:eastAsia="宋体"/>
                <w:sz w:val="24"/>
              </w:rPr>
              <w:t xml:space="preserve">  </w:t>
            </w:r>
            <w:r>
              <w:rPr>
                <w:rFonts w:hAnsi="宋体" w:eastAsia="宋体"/>
                <w:sz w:val="24"/>
              </w:rPr>
              <w:t>升压站总平面图</w:t>
            </w:r>
          </w:p>
          <w:p>
            <w:pPr>
              <w:autoSpaceDE w:val="0"/>
              <w:autoSpaceDN w:val="0"/>
              <w:spacing w:line="480" w:lineRule="exact"/>
              <w:ind w:firstLine="480" w:firstLineChars="200"/>
              <w:rPr>
                <w:rFonts w:eastAsia="宋体"/>
                <w:color w:val="000000" w:themeColor="text1"/>
                <w:sz w:val="24"/>
              </w:rPr>
            </w:pPr>
            <w:r>
              <w:rPr>
                <w:rFonts w:hAnsi="宋体" w:eastAsia="宋体"/>
                <w:color w:val="000000" w:themeColor="text1"/>
                <w:sz w:val="24"/>
              </w:rPr>
              <w:t>附图</w:t>
            </w:r>
            <w:r>
              <w:rPr>
                <w:rFonts w:hint="eastAsia" w:eastAsia="宋体"/>
                <w:color w:val="000000" w:themeColor="text1"/>
                <w:sz w:val="24"/>
              </w:rPr>
              <w:t xml:space="preserve">5  </w:t>
            </w:r>
            <w:r>
              <w:rPr>
                <w:rFonts w:hAnsi="宋体" w:eastAsia="宋体"/>
                <w:color w:val="000000" w:themeColor="text1"/>
                <w:sz w:val="24"/>
              </w:rPr>
              <w:t>项目杆塔一览图</w:t>
            </w:r>
          </w:p>
          <w:p>
            <w:pPr>
              <w:autoSpaceDE w:val="0"/>
              <w:autoSpaceDN w:val="0"/>
              <w:spacing w:line="480" w:lineRule="exact"/>
              <w:ind w:firstLine="480" w:firstLineChars="200"/>
              <w:rPr>
                <w:rFonts w:eastAsia="宋体"/>
                <w:sz w:val="24"/>
              </w:rPr>
            </w:pPr>
            <w:r>
              <w:rPr>
                <w:rFonts w:hAnsi="宋体" w:eastAsia="宋体"/>
                <w:sz w:val="24"/>
              </w:rPr>
              <w:t>附图</w:t>
            </w:r>
            <w:r>
              <w:rPr>
                <w:rFonts w:eastAsia="宋体"/>
                <w:sz w:val="24"/>
              </w:rPr>
              <w:t xml:space="preserve">6  </w:t>
            </w:r>
            <w:r>
              <w:rPr>
                <w:rFonts w:hAnsi="宋体" w:eastAsia="宋体"/>
                <w:sz w:val="24"/>
              </w:rPr>
              <w:t>升压站与风电场位置关系图</w:t>
            </w:r>
          </w:p>
          <w:p>
            <w:pPr>
              <w:autoSpaceDE w:val="0"/>
              <w:autoSpaceDN w:val="0"/>
              <w:spacing w:line="480" w:lineRule="exact"/>
              <w:ind w:firstLine="480" w:firstLineChars="200"/>
              <w:rPr>
                <w:rFonts w:eastAsia="宋体"/>
                <w:color w:val="000000" w:themeColor="text1"/>
                <w:sz w:val="24"/>
              </w:rPr>
            </w:pPr>
            <w:r>
              <w:rPr>
                <w:rFonts w:hAnsi="宋体" w:eastAsia="宋体"/>
                <w:color w:val="000000" w:themeColor="text1"/>
                <w:sz w:val="24"/>
              </w:rPr>
              <w:t>附图</w:t>
            </w:r>
            <w:r>
              <w:rPr>
                <w:rFonts w:eastAsia="宋体"/>
                <w:color w:val="000000" w:themeColor="text1"/>
                <w:sz w:val="24"/>
              </w:rPr>
              <w:t xml:space="preserve">7  </w:t>
            </w:r>
            <w:r>
              <w:rPr>
                <w:rFonts w:hint="eastAsia" w:eastAsia="宋体"/>
                <w:color w:val="000000" w:themeColor="text1"/>
                <w:sz w:val="24"/>
              </w:rPr>
              <w:t>项目在颍河水源保护区位置图</w:t>
            </w:r>
          </w:p>
          <w:p>
            <w:pPr>
              <w:autoSpaceDE w:val="0"/>
              <w:autoSpaceDN w:val="0"/>
              <w:spacing w:line="480" w:lineRule="exact"/>
              <w:ind w:firstLine="480" w:firstLineChars="200"/>
              <w:rPr>
                <w:rFonts w:eastAsia="宋体"/>
                <w:color w:val="000000" w:themeColor="text1"/>
                <w:sz w:val="24"/>
              </w:rPr>
            </w:pPr>
            <w:r>
              <w:rPr>
                <w:rFonts w:hAnsi="宋体" w:eastAsia="宋体"/>
                <w:color w:val="000000" w:themeColor="text1"/>
                <w:sz w:val="24"/>
              </w:rPr>
              <w:t>附图</w:t>
            </w:r>
            <w:r>
              <w:rPr>
                <w:rFonts w:eastAsia="宋体"/>
                <w:color w:val="000000" w:themeColor="text1"/>
                <w:sz w:val="24"/>
              </w:rPr>
              <w:t xml:space="preserve">8  </w:t>
            </w:r>
            <w:r>
              <w:rPr>
                <w:rFonts w:hAnsi="宋体" w:eastAsia="宋体"/>
                <w:color w:val="000000" w:themeColor="text1"/>
                <w:sz w:val="24"/>
              </w:rPr>
              <w:t>现场调查照片</w:t>
            </w:r>
          </w:p>
          <w:p>
            <w:pPr>
              <w:spacing w:line="460" w:lineRule="exact"/>
              <w:rPr>
                <w:rFonts w:eastAsia="宋体"/>
                <w:b/>
                <w:color w:val="000000"/>
                <w:sz w:val="24"/>
              </w:rPr>
            </w:pPr>
            <w:r>
              <w:rPr>
                <w:rFonts w:eastAsia="宋体"/>
                <w:b/>
                <w:color w:val="000000"/>
                <w:sz w:val="24"/>
              </w:rPr>
              <w:t>附件</w:t>
            </w:r>
          </w:p>
          <w:p>
            <w:pPr>
              <w:autoSpaceDE w:val="0"/>
              <w:autoSpaceDN w:val="0"/>
              <w:spacing w:line="460" w:lineRule="exact"/>
              <w:ind w:firstLine="480" w:firstLineChars="200"/>
              <w:rPr>
                <w:rFonts w:eastAsia="宋体"/>
                <w:sz w:val="24"/>
              </w:rPr>
            </w:pPr>
            <w:r>
              <w:rPr>
                <w:rFonts w:eastAsia="宋体"/>
                <w:sz w:val="24"/>
              </w:rPr>
              <w:t>附件1  环评委托书</w:t>
            </w:r>
          </w:p>
          <w:p>
            <w:pPr>
              <w:autoSpaceDE w:val="0"/>
              <w:autoSpaceDN w:val="0"/>
              <w:spacing w:line="460" w:lineRule="exact"/>
              <w:ind w:firstLine="480" w:firstLineChars="200"/>
              <w:rPr>
                <w:rFonts w:eastAsia="宋体"/>
                <w:sz w:val="24"/>
              </w:rPr>
            </w:pPr>
            <w:r>
              <w:rPr>
                <w:rFonts w:eastAsia="宋体"/>
                <w:sz w:val="24"/>
              </w:rPr>
              <w:t xml:space="preserve">附件2  </w:t>
            </w:r>
            <w:r>
              <w:rPr>
                <w:rFonts w:hint="eastAsia" w:eastAsia="宋体"/>
                <w:sz w:val="24"/>
              </w:rPr>
              <w:t>河南省发展和改革委员会关于切实做好2016年风电项目建设和管理工作的通知（豫发改能源〔2016〕517号）</w:t>
            </w:r>
          </w:p>
          <w:p>
            <w:pPr>
              <w:autoSpaceDE w:val="0"/>
              <w:autoSpaceDN w:val="0"/>
              <w:spacing w:line="460" w:lineRule="exact"/>
              <w:ind w:firstLine="480" w:firstLineChars="200"/>
              <w:rPr>
                <w:rFonts w:eastAsia="宋体"/>
                <w:sz w:val="24"/>
              </w:rPr>
            </w:pPr>
            <w:r>
              <w:rPr>
                <w:rFonts w:eastAsia="宋体"/>
                <w:sz w:val="24"/>
              </w:rPr>
              <w:t>附件</w:t>
            </w:r>
            <w:r>
              <w:rPr>
                <w:rFonts w:hint="eastAsia" w:eastAsia="宋体"/>
                <w:sz w:val="24"/>
              </w:rPr>
              <w:t>3</w:t>
            </w:r>
            <w:r>
              <w:rPr>
                <w:rFonts w:eastAsia="宋体"/>
                <w:sz w:val="24"/>
              </w:rPr>
              <w:t xml:space="preserve">  </w:t>
            </w:r>
            <w:r>
              <w:rPr>
                <w:rFonts w:hint="eastAsia" w:eastAsia="宋体"/>
                <w:sz w:val="24"/>
              </w:rPr>
              <w:t>许昌市发改委关于本项目的核准批复</w:t>
            </w:r>
          </w:p>
          <w:p>
            <w:pPr>
              <w:autoSpaceDE w:val="0"/>
              <w:autoSpaceDN w:val="0"/>
              <w:spacing w:line="460" w:lineRule="exact"/>
              <w:ind w:firstLine="480" w:firstLineChars="200"/>
              <w:rPr>
                <w:rFonts w:eastAsia="宋体"/>
                <w:sz w:val="24"/>
              </w:rPr>
            </w:pPr>
            <w:r>
              <w:rPr>
                <w:rFonts w:eastAsia="宋体"/>
                <w:sz w:val="24"/>
              </w:rPr>
              <w:t xml:space="preserve">附件4  </w:t>
            </w:r>
            <w:r>
              <w:rPr>
                <w:rFonts w:hint="eastAsia" w:eastAsia="宋体"/>
                <w:sz w:val="24"/>
              </w:rPr>
              <w:t>禹州市发改委关于本项目投资主体变更的复函</w:t>
            </w:r>
          </w:p>
          <w:p>
            <w:pPr>
              <w:autoSpaceDE w:val="0"/>
              <w:autoSpaceDN w:val="0"/>
              <w:spacing w:line="460" w:lineRule="exact"/>
              <w:ind w:firstLine="480" w:firstLineChars="200"/>
              <w:rPr>
                <w:rFonts w:eastAsia="宋体"/>
                <w:sz w:val="24"/>
              </w:rPr>
            </w:pPr>
            <w:r>
              <w:rPr>
                <w:rFonts w:eastAsia="宋体"/>
                <w:sz w:val="24"/>
              </w:rPr>
              <w:t xml:space="preserve">附件5  </w:t>
            </w:r>
            <w:r>
              <w:rPr>
                <w:rFonts w:hint="eastAsia" w:eastAsia="宋体"/>
                <w:sz w:val="24"/>
              </w:rPr>
              <w:t>国网河南省电力公司关于本项目接入系统方案评审的意见</w:t>
            </w:r>
          </w:p>
          <w:p>
            <w:pPr>
              <w:autoSpaceDE w:val="0"/>
              <w:autoSpaceDN w:val="0"/>
              <w:spacing w:line="460" w:lineRule="exact"/>
              <w:ind w:firstLine="480" w:firstLineChars="200"/>
              <w:rPr>
                <w:rFonts w:eastAsia="宋体"/>
                <w:sz w:val="24"/>
              </w:rPr>
            </w:pPr>
            <w:r>
              <w:rPr>
                <w:rFonts w:hint="eastAsia" w:eastAsia="宋体"/>
                <w:sz w:val="24"/>
              </w:rPr>
              <w:t>附件6  许昌市国土局关于本项目用地预审意见</w:t>
            </w:r>
          </w:p>
          <w:p>
            <w:pPr>
              <w:autoSpaceDE w:val="0"/>
              <w:autoSpaceDN w:val="0"/>
              <w:spacing w:line="460" w:lineRule="exact"/>
              <w:ind w:firstLine="480" w:firstLineChars="200"/>
              <w:rPr>
                <w:rFonts w:eastAsia="宋体"/>
                <w:sz w:val="24"/>
              </w:rPr>
            </w:pPr>
            <w:r>
              <w:rPr>
                <w:rFonts w:eastAsia="宋体"/>
                <w:sz w:val="24"/>
              </w:rPr>
              <w:t>附件</w:t>
            </w:r>
            <w:r>
              <w:rPr>
                <w:rFonts w:hint="eastAsia" w:eastAsia="宋体"/>
                <w:sz w:val="24"/>
              </w:rPr>
              <w:t>7</w:t>
            </w:r>
            <w:r>
              <w:rPr>
                <w:rFonts w:eastAsia="宋体"/>
                <w:sz w:val="24"/>
              </w:rPr>
              <w:t xml:space="preserve">  </w:t>
            </w:r>
            <w:r>
              <w:rPr>
                <w:rFonts w:hint="eastAsia" w:eastAsia="宋体"/>
                <w:sz w:val="24"/>
              </w:rPr>
              <w:t>禹州市国土局关于本项目用地预审意见</w:t>
            </w:r>
          </w:p>
          <w:p>
            <w:pPr>
              <w:autoSpaceDE w:val="0"/>
              <w:autoSpaceDN w:val="0"/>
              <w:spacing w:line="460" w:lineRule="exact"/>
              <w:ind w:firstLine="480" w:firstLineChars="200"/>
              <w:rPr>
                <w:rFonts w:eastAsia="宋体"/>
                <w:sz w:val="24"/>
              </w:rPr>
            </w:pPr>
            <w:r>
              <w:rPr>
                <w:rFonts w:eastAsia="宋体"/>
                <w:sz w:val="24"/>
              </w:rPr>
              <w:t>附件</w:t>
            </w:r>
            <w:r>
              <w:rPr>
                <w:rFonts w:hint="eastAsia" w:eastAsia="宋体"/>
                <w:sz w:val="24"/>
              </w:rPr>
              <w:t>8  禹州市城乡规划局关于本项目规划预审意见</w:t>
            </w:r>
          </w:p>
          <w:p>
            <w:pPr>
              <w:autoSpaceDE w:val="0"/>
              <w:autoSpaceDN w:val="0"/>
              <w:spacing w:line="460" w:lineRule="exact"/>
              <w:ind w:firstLine="480" w:firstLineChars="200"/>
              <w:rPr>
                <w:rFonts w:eastAsia="宋体"/>
                <w:sz w:val="24"/>
              </w:rPr>
            </w:pPr>
            <w:r>
              <w:rPr>
                <w:rFonts w:eastAsia="宋体"/>
                <w:sz w:val="24"/>
              </w:rPr>
              <w:t>附件</w:t>
            </w:r>
            <w:r>
              <w:rPr>
                <w:rFonts w:hint="eastAsia" w:eastAsia="宋体"/>
                <w:sz w:val="24"/>
              </w:rPr>
              <w:t>9</w:t>
            </w:r>
            <w:r>
              <w:rPr>
                <w:rFonts w:eastAsia="宋体"/>
                <w:sz w:val="24"/>
              </w:rPr>
              <w:t xml:space="preserve">  </w:t>
            </w:r>
            <w:r>
              <w:rPr>
                <w:rFonts w:hint="eastAsia" w:eastAsia="宋体"/>
                <w:sz w:val="24"/>
              </w:rPr>
              <w:t>禹州市县林业发展中心关于项目占用林地的意见</w:t>
            </w:r>
          </w:p>
          <w:p>
            <w:pPr>
              <w:autoSpaceDE w:val="0"/>
              <w:autoSpaceDN w:val="0"/>
              <w:spacing w:line="460" w:lineRule="exact"/>
              <w:ind w:firstLine="480" w:firstLineChars="200"/>
              <w:rPr>
                <w:rFonts w:eastAsia="宋体"/>
                <w:sz w:val="24"/>
              </w:rPr>
            </w:pPr>
            <w:r>
              <w:rPr>
                <w:rFonts w:eastAsia="宋体"/>
                <w:sz w:val="24"/>
              </w:rPr>
              <w:t>附件</w:t>
            </w:r>
            <w:r>
              <w:rPr>
                <w:rFonts w:hint="eastAsia" w:eastAsia="宋体"/>
                <w:sz w:val="24"/>
              </w:rPr>
              <w:t>10</w:t>
            </w:r>
            <w:r>
              <w:rPr>
                <w:rFonts w:eastAsia="宋体"/>
                <w:sz w:val="24"/>
              </w:rPr>
              <w:t xml:space="preserve"> </w:t>
            </w:r>
            <w:r>
              <w:rPr>
                <w:rFonts w:hint="eastAsia" w:eastAsia="宋体"/>
                <w:sz w:val="24"/>
              </w:rPr>
              <w:t>许昌供电公司变电站专线间隔审批会签单</w:t>
            </w:r>
          </w:p>
          <w:p>
            <w:pPr>
              <w:autoSpaceDE w:val="0"/>
              <w:autoSpaceDN w:val="0"/>
              <w:spacing w:line="460" w:lineRule="exact"/>
              <w:ind w:firstLine="480" w:firstLineChars="200"/>
              <w:rPr>
                <w:rFonts w:eastAsia="宋体"/>
                <w:sz w:val="24"/>
              </w:rPr>
            </w:pPr>
            <w:r>
              <w:rPr>
                <w:rFonts w:hint="eastAsia" w:eastAsia="宋体"/>
                <w:sz w:val="24"/>
              </w:rPr>
              <w:t>附件11 河南众志电力建设工程公司关于本项目的路径搜集资料和征求意见的函</w:t>
            </w:r>
          </w:p>
          <w:p>
            <w:pPr>
              <w:autoSpaceDE w:val="0"/>
              <w:autoSpaceDN w:val="0"/>
              <w:spacing w:line="460" w:lineRule="exact"/>
              <w:ind w:firstLine="480" w:firstLineChars="200"/>
              <w:rPr>
                <w:rFonts w:eastAsia="宋体"/>
                <w:sz w:val="24"/>
              </w:rPr>
            </w:pPr>
            <w:r>
              <w:rPr>
                <w:rFonts w:hint="eastAsia" w:eastAsia="宋体"/>
                <w:sz w:val="24"/>
              </w:rPr>
              <w:t>附件12 监测报告</w:t>
            </w:r>
          </w:p>
          <w:p>
            <w:pPr>
              <w:spacing w:line="460" w:lineRule="exact"/>
              <w:rPr>
                <w:rFonts w:eastAsia="宋体"/>
                <w:b/>
                <w:color w:val="000000"/>
                <w:sz w:val="24"/>
              </w:rPr>
            </w:pPr>
            <w:r>
              <w:rPr>
                <w:rFonts w:eastAsia="宋体"/>
                <w:b/>
                <w:color w:val="000000"/>
                <w:sz w:val="24"/>
              </w:rPr>
              <w:t>附表</w:t>
            </w:r>
          </w:p>
          <w:p>
            <w:pPr>
              <w:spacing w:line="460" w:lineRule="exact"/>
              <w:ind w:firstLine="480" w:firstLineChars="200"/>
              <w:rPr>
                <w:rFonts w:eastAsia="宋体"/>
                <w:sz w:val="24"/>
              </w:rPr>
            </w:pPr>
            <w:r>
              <w:rPr>
                <w:rFonts w:eastAsia="宋体"/>
                <w:sz w:val="24"/>
              </w:rPr>
              <w:t>附表</w:t>
            </w:r>
            <w:r>
              <w:rPr>
                <w:rFonts w:hint="eastAsia" w:eastAsia="宋体"/>
                <w:sz w:val="24"/>
              </w:rPr>
              <w:t>中广核禹州市苌庄80MW风电场110kV升压站及送出线路工程</w:t>
            </w:r>
            <w:r>
              <w:rPr>
                <w:rFonts w:eastAsia="宋体"/>
                <w:sz w:val="24"/>
              </w:rPr>
              <w:t>环评审批基础信息表</w:t>
            </w:r>
          </w:p>
        </w:tc>
      </w:tr>
    </w:tbl>
    <w:p>
      <w:pPr>
        <w:rPr>
          <w:rFonts w:eastAsia="宋体"/>
          <w:sz w:val="24"/>
          <w:szCs w:val="28"/>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jc w:val="center"/>
        <w:rPr>
          <w:rFonts w:hAnsi="Tahoma" w:eastAsia="宋体"/>
          <w:b/>
          <w:kern w:val="0"/>
          <w:sz w:val="44"/>
          <w:szCs w:val="44"/>
        </w:rPr>
      </w:pPr>
    </w:p>
    <w:p>
      <w:pPr>
        <w:rPr>
          <w:rFonts w:hAnsi="Tahoma" w:eastAsia="宋体"/>
          <w:b/>
          <w:kern w:val="0"/>
          <w:sz w:val="44"/>
          <w:szCs w:val="44"/>
        </w:rPr>
      </w:pPr>
    </w:p>
    <w:p>
      <w:pPr>
        <w:jc w:val="center"/>
        <w:rPr>
          <w:rFonts w:hAnsi="Tahoma" w:eastAsia="宋体"/>
          <w:b/>
          <w:kern w:val="0"/>
          <w:sz w:val="44"/>
          <w:szCs w:val="44"/>
        </w:rPr>
      </w:pPr>
      <w:r>
        <w:rPr>
          <w:rFonts w:hint="eastAsia" w:hAnsi="Tahoma" w:eastAsia="宋体"/>
          <w:b/>
          <w:kern w:val="0"/>
          <w:sz w:val="44"/>
          <w:szCs w:val="44"/>
        </w:rPr>
        <w:t>中广核禹州市苌庄80MW风电场110kV升压站及送出线路工程</w:t>
      </w:r>
    </w:p>
    <w:p>
      <w:pPr>
        <w:jc w:val="center"/>
        <w:rPr>
          <w:rFonts w:hAnsi="Tahoma" w:eastAsia="宋体"/>
          <w:b/>
          <w:kern w:val="0"/>
          <w:sz w:val="44"/>
          <w:szCs w:val="44"/>
        </w:rPr>
      </w:pPr>
      <w:r>
        <w:rPr>
          <w:rFonts w:hAnsi="Tahoma" w:eastAsia="宋体"/>
          <w:b/>
          <w:kern w:val="0"/>
          <w:sz w:val="44"/>
          <w:szCs w:val="44"/>
        </w:rPr>
        <w:t>电磁环境影响评价专题</w:t>
      </w:r>
    </w:p>
    <w:p>
      <w:pPr>
        <w:rPr>
          <w:rFonts w:eastAsia="宋体"/>
          <w:sz w:val="24"/>
          <w:szCs w:val="28"/>
        </w:rPr>
      </w:pPr>
    </w:p>
    <w:p>
      <w:pPr>
        <w:rPr>
          <w:rFonts w:eastAsia="宋体"/>
          <w:sz w:val="24"/>
          <w:szCs w:val="28"/>
        </w:rPr>
      </w:pPr>
    </w:p>
    <w:p>
      <w:pPr>
        <w:rPr>
          <w:rFonts w:eastAsia="宋体"/>
          <w:sz w:val="24"/>
          <w:szCs w:val="28"/>
        </w:rPr>
      </w:pPr>
    </w:p>
    <w:p/>
    <w:p/>
    <w:p/>
    <w:p/>
    <w:p/>
    <w:p/>
    <w:p/>
    <w:p/>
    <w:p/>
    <w:p/>
    <w:p/>
    <w:p>
      <w:pPr>
        <w:jc w:val="center"/>
        <w:rPr>
          <w:rFonts w:ascii="宋体" w:hAnsi="宋体" w:eastAsia="宋体"/>
          <w:b/>
          <w:sz w:val="32"/>
          <w:szCs w:val="32"/>
        </w:rPr>
      </w:pPr>
    </w:p>
    <w:p>
      <w:pPr>
        <w:jc w:val="center"/>
        <w:rPr>
          <w:rFonts w:ascii="宋体" w:hAnsi="宋体" w:eastAsia="宋体"/>
          <w:b/>
          <w:sz w:val="32"/>
          <w:szCs w:val="32"/>
        </w:rPr>
      </w:pPr>
      <w:r>
        <w:rPr>
          <w:rFonts w:hint="eastAsia" w:ascii="宋体" w:hAnsi="宋体" w:eastAsia="宋体"/>
          <w:b/>
          <w:sz w:val="32"/>
          <w:szCs w:val="32"/>
        </w:rPr>
        <w:t>河南雅文环保技术有限公司</w:t>
      </w:r>
    </w:p>
    <w:p>
      <w:pPr>
        <w:spacing w:after="200" w:line="220" w:lineRule="atLeast"/>
        <w:ind w:firstLine="643"/>
        <w:jc w:val="center"/>
        <w:rPr>
          <w:rFonts w:ascii="宋体" w:hAnsi="宋体" w:eastAsia="宋体"/>
          <w:b/>
          <w:sz w:val="32"/>
          <w:szCs w:val="32"/>
        </w:rPr>
      </w:pPr>
      <w:r>
        <w:rPr>
          <w:rFonts w:ascii="宋体" w:hAnsi="宋体" w:eastAsia="宋体"/>
          <w:b/>
          <w:sz w:val="32"/>
          <w:szCs w:val="32"/>
        </w:rPr>
        <w:t>二〇二〇年</w:t>
      </w:r>
      <w:r>
        <w:rPr>
          <w:rFonts w:hint="eastAsia" w:ascii="宋体" w:hAnsi="宋体" w:eastAsia="宋体"/>
          <w:b/>
          <w:sz w:val="32"/>
          <w:szCs w:val="32"/>
        </w:rPr>
        <w:t>七</w:t>
      </w:r>
      <w:r>
        <w:rPr>
          <w:rFonts w:ascii="宋体" w:hAnsi="宋体" w:eastAsia="宋体"/>
          <w:b/>
          <w:sz w:val="32"/>
          <w:szCs w:val="32"/>
        </w:rPr>
        <w:t>月</w:t>
      </w:r>
    </w:p>
    <w:p>
      <w:pPr>
        <w:widowControl/>
        <w:jc w:val="left"/>
        <w:rPr>
          <w:rFonts w:ascii="宋体" w:hAnsi="宋体" w:eastAsia="宋体"/>
          <w:b/>
          <w:sz w:val="32"/>
          <w:szCs w:val="32"/>
        </w:rPr>
      </w:pPr>
      <w:r>
        <w:rPr>
          <w:rFonts w:ascii="宋体" w:hAnsi="宋体" w:eastAsia="宋体"/>
          <w:b/>
          <w:sz w:val="32"/>
          <w:szCs w:val="32"/>
        </w:rPr>
        <w:br w:type="page"/>
      </w:r>
    </w:p>
    <w:p>
      <w:pPr>
        <w:widowControl/>
        <w:jc w:val="left"/>
        <w:rPr>
          <w:rFonts w:ascii="宋体" w:hAnsi="宋体" w:eastAsia="宋体"/>
          <w:b/>
          <w:sz w:val="32"/>
          <w:szCs w:val="32"/>
        </w:rPr>
      </w:pPr>
    </w:p>
    <w:p>
      <w:pPr>
        <w:widowControl/>
        <w:jc w:val="left"/>
        <w:rPr>
          <w:rFonts w:ascii="宋体" w:hAnsi="宋体" w:eastAsia="宋体"/>
          <w:b/>
          <w:sz w:val="32"/>
          <w:szCs w:val="32"/>
        </w:rPr>
      </w:pPr>
    </w:p>
    <w:p>
      <w:pPr>
        <w:widowControl/>
        <w:jc w:val="left"/>
        <w:rPr>
          <w:rFonts w:ascii="宋体" w:hAnsi="宋体" w:eastAsia="宋体"/>
          <w:b/>
          <w:sz w:val="32"/>
          <w:szCs w:val="32"/>
        </w:rPr>
      </w:pPr>
    </w:p>
    <w:p>
      <w:pPr>
        <w:widowControl/>
        <w:jc w:val="left"/>
        <w:rPr>
          <w:rFonts w:ascii="宋体" w:hAnsi="宋体" w:eastAsia="宋体"/>
          <w:b/>
          <w:sz w:val="32"/>
          <w:szCs w:val="32"/>
        </w:rPr>
      </w:pPr>
    </w:p>
    <w:p>
      <w:pPr>
        <w:widowControl/>
        <w:jc w:val="left"/>
        <w:rPr>
          <w:rFonts w:ascii="宋体" w:hAnsi="宋体" w:eastAsia="宋体"/>
          <w:b/>
          <w:sz w:val="32"/>
          <w:szCs w:val="32"/>
        </w:rPr>
        <w:sectPr>
          <w:pgSz w:w="11906" w:h="16838"/>
          <w:pgMar w:top="1440" w:right="1800" w:bottom="1440" w:left="1800" w:header="851" w:footer="992" w:gutter="0"/>
          <w:pgNumType w:start="1"/>
          <w:cols w:space="425" w:num="1"/>
          <w:docGrid w:type="lines" w:linePitch="312" w:charSpace="0"/>
        </w:sectPr>
      </w:pPr>
    </w:p>
    <w:p>
      <w:pPr>
        <w:widowControl/>
        <w:adjustRightInd w:val="0"/>
        <w:snapToGrid w:val="0"/>
        <w:spacing w:line="520" w:lineRule="exact"/>
        <w:jc w:val="center"/>
        <w:rPr>
          <w:rFonts w:ascii="Tahoma" w:hAnsi="Tahoma" w:eastAsia="宋体"/>
          <w:b/>
          <w:kern w:val="0"/>
          <w:sz w:val="36"/>
          <w:szCs w:val="36"/>
        </w:rPr>
      </w:pPr>
      <w:r>
        <w:rPr>
          <w:rFonts w:hint="eastAsia" w:ascii="Tahoma" w:hAnsi="Tahoma" w:eastAsia="宋体"/>
          <w:b/>
          <w:kern w:val="0"/>
          <w:sz w:val="36"/>
          <w:szCs w:val="36"/>
        </w:rPr>
        <w:t>电磁环境影响专题评价</w:t>
      </w:r>
    </w:p>
    <w:p>
      <w:pPr>
        <w:widowControl/>
        <w:adjustRightInd w:val="0"/>
        <w:snapToGrid w:val="0"/>
        <w:spacing w:line="520" w:lineRule="exact"/>
        <w:jc w:val="left"/>
        <w:rPr>
          <w:rFonts w:eastAsia="宋体"/>
          <w:b/>
          <w:kern w:val="0"/>
          <w:sz w:val="24"/>
          <w:szCs w:val="22"/>
        </w:rPr>
      </w:pPr>
      <w:r>
        <w:rPr>
          <w:rFonts w:eastAsia="宋体"/>
          <w:b/>
          <w:kern w:val="0"/>
          <w:sz w:val="24"/>
          <w:szCs w:val="22"/>
        </w:rPr>
        <w:t>1总则</w:t>
      </w:r>
    </w:p>
    <w:p>
      <w:pPr>
        <w:widowControl/>
        <w:adjustRightInd w:val="0"/>
        <w:snapToGrid w:val="0"/>
        <w:spacing w:line="520" w:lineRule="exact"/>
        <w:jc w:val="left"/>
        <w:rPr>
          <w:rFonts w:eastAsia="宋体"/>
          <w:b/>
          <w:kern w:val="0"/>
          <w:sz w:val="24"/>
          <w:szCs w:val="22"/>
        </w:rPr>
      </w:pPr>
      <w:r>
        <w:rPr>
          <w:rFonts w:eastAsia="宋体"/>
          <w:b/>
          <w:kern w:val="0"/>
          <w:sz w:val="24"/>
          <w:szCs w:val="22"/>
        </w:rPr>
        <w:t>1.1项目概况</w:t>
      </w:r>
    </w:p>
    <w:p>
      <w:pPr>
        <w:widowControl/>
        <w:adjustRightInd w:val="0"/>
        <w:snapToGrid w:val="0"/>
        <w:spacing w:line="520" w:lineRule="exact"/>
        <w:ind w:firstLine="480" w:firstLineChars="200"/>
        <w:jc w:val="left"/>
        <w:rPr>
          <w:rFonts w:eastAsia="宋体"/>
          <w:b/>
          <w:bCs/>
          <w:kern w:val="0"/>
          <w:sz w:val="24"/>
          <w:szCs w:val="22"/>
        </w:rPr>
      </w:pPr>
      <w:r>
        <w:rPr>
          <w:rFonts w:hAnsi="Tahoma" w:eastAsia="宋体"/>
          <w:kern w:val="0"/>
          <w:sz w:val="24"/>
          <w:szCs w:val="22"/>
        </w:rPr>
        <w:t>本项目建设内容见表</w:t>
      </w:r>
      <w:r>
        <w:rPr>
          <w:rFonts w:eastAsia="宋体"/>
          <w:kern w:val="0"/>
          <w:sz w:val="24"/>
          <w:szCs w:val="22"/>
        </w:rPr>
        <w:t>1</w:t>
      </w:r>
      <w:r>
        <w:rPr>
          <w:rFonts w:hAnsi="Tahoma" w:eastAsia="宋体"/>
          <w:kern w:val="0"/>
          <w:sz w:val="24"/>
          <w:szCs w:val="22"/>
        </w:rPr>
        <w:t>。</w:t>
      </w:r>
    </w:p>
    <w:p>
      <w:pPr>
        <w:spacing w:line="520" w:lineRule="exact"/>
        <w:ind w:firstLine="472" w:firstLineChars="200"/>
        <w:jc w:val="left"/>
        <w:rPr>
          <w:rFonts w:eastAsia="黑体"/>
          <w:spacing w:val="-2"/>
          <w:kern w:val="16"/>
          <w:sz w:val="24"/>
        </w:rPr>
      </w:pPr>
      <w:r>
        <w:rPr>
          <w:rFonts w:hAnsi="黑体" w:eastAsia="黑体"/>
          <w:spacing w:val="-2"/>
          <w:kern w:val="16"/>
          <w:sz w:val="24"/>
        </w:rPr>
        <w:t>表</w:t>
      </w:r>
      <w:r>
        <w:rPr>
          <w:rFonts w:eastAsia="黑体"/>
          <w:spacing w:val="-2"/>
          <w:kern w:val="16"/>
          <w:sz w:val="24"/>
        </w:rPr>
        <w:t>1</w:t>
      </w:r>
      <w:r>
        <w:rPr>
          <w:rFonts w:hAnsi="黑体" w:eastAsia="黑体"/>
          <w:spacing w:val="-2"/>
          <w:kern w:val="16"/>
          <w:sz w:val="24"/>
        </w:rPr>
        <w:t>中广核禹州市苌庄</w:t>
      </w:r>
      <w:r>
        <w:rPr>
          <w:rFonts w:eastAsia="黑体"/>
          <w:spacing w:val="-2"/>
          <w:kern w:val="16"/>
          <w:sz w:val="24"/>
        </w:rPr>
        <w:t>80MW</w:t>
      </w:r>
      <w:r>
        <w:rPr>
          <w:rFonts w:hAnsi="黑体" w:eastAsia="黑体"/>
          <w:spacing w:val="-2"/>
          <w:kern w:val="16"/>
          <w:sz w:val="24"/>
        </w:rPr>
        <w:t>风电场</w:t>
      </w:r>
      <w:r>
        <w:rPr>
          <w:rFonts w:eastAsia="黑体"/>
          <w:spacing w:val="-2"/>
          <w:kern w:val="16"/>
          <w:sz w:val="24"/>
        </w:rPr>
        <w:t>110kV</w:t>
      </w:r>
      <w:r>
        <w:rPr>
          <w:rFonts w:hAnsi="黑体" w:eastAsia="黑体"/>
          <w:spacing w:val="-2"/>
          <w:kern w:val="16"/>
          <w:sz w:val="24"/>
        </w:rPr>
        <w:t>升压站及送出线路工程建设内容一览表。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51"/>
        <w:gridCol w:w="1214"/>
        <w:gridCol w:w="1047"/>
        <w:gridCol w:w="55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751" w:type="dxa"/>
            <w:vAlign w:val="center"/>
          </w:tcPr>
          <w:p>
            <w:pPr>
              <w:autoSpaceDE w:val="0"/>
              <w:autoSpaceDN w:val="0"/>
              <w:adjustRightInd w:val="0"/>
              <w:spacing w:line="360" w:lineRule="exact"/>
              <w:jc w:val="center"/>
              <w:rPr>
                <w:rFonts w:eastAsia="宋体"/>
                <w:b/>
                <w:spacing w:val="-2"/>
                <w:kern w:val="16"/>
                <w:sz w:val="21"/>
              </w:rPr>
            </w:pPr>
            <w:r>
              <w:rPr>
                <w:rFonts w:hint="eastAsia" w:eastAsia="宋体"/>
                <w:b/>
                <w:spacing w:val="-2"/>
                <w:kern w:val="16"/>
                <w:sz w:val="21"/>
              </w:rPr>
              <w:t>序号</w:t>
            </w:r>
          </w:p>
        </w:tc>
        <w:tc>
          <w:tcPr>
            <w:tcW w:w="1214" w:type="dxa"/>
            <w:vAlign w:val="center"/>
          </w:tcPr>
          <w:p>
            <w:pPr>
              <w:autoSpaceDE w:val="0"/>
              <w:autoSpaceDN w:val="0"/>
              <w:adjustRightInd w:val="0"/>
              <w:spacing w:line="360" w:lineRule="exact"/>
              <w:jc w:val="center"/>
              <w:rPr>
                <w:rFonts w:eastAsia="宋体"/>
                <w:b/>
                <w:spacing w:val="-2"/>
                <w:kern w:val="16"/>
                <w:sz w:val="21"/>
              </w:rPr>
            </w:pPr>
            <w:r>
              <w:rPr>
                <w:rFonts w:hint="eastAsia" w:eastAsia="宋体"/>
                <w:b/>
                <w:spacing w:val="-2"/>
                <w:kern w:val="16"/>
                <w:sz w:val="21"/>
              </w:rPr>
              <w:t>工程名称</w:t>
            </w:r>
          </w:p>
        </w:tc>
        <w:tc>
          <w:tcPr>
            <w:tcW w:w="1047" w:type="dxa"/>
            <w:vAlign w:val="center"/>
          </w:tcPr>
          <w:p>
            <w:pPr>
              <w:autoSpaceDE w:val="0"/>
              <w:autoSpaceDN w:val="0"/>
              <w:adjustRightInd w:val="0"/>
              <w:spacing w:line="360" w:lineRule="exact"/>
              <w:jc w:val="center"/>
              <w:rPr>
                <w:rFonts w:eastAsia="宋体"/>
                <w:b/>
                <w:spacing w:val="-2"/>
                <w:kern w:val="16"/>
                <w:sz w:val="21"/>
              </w:rPr>
            </w:pPr>
            <w:r>
              <w:rPr>
                <w:rFonts w:hint="eastAsia" w:eastAsia="宋体"/>
                <w:b/>
                <w:spacing w:val="-2"/>
                <w:kern w:val="16"/>
                <w:sz w:val="21"/>
              </w:rPr>
              <w:t>性质</w:t>
            </w:r>
          </w:p>
        </w:tc>
        <w:tc>
          <w:tcPr>
            <w:tcW w:w="5510" w:type="dxa"/>
            <w:vAlign w:val="center"/>
          </w:tcPr>
          <w:p>
            <w:pPr>
              <w:autoSpaceDE w:val="0"/>
              <w:autoSpaceDN w:val="0"/>
              <w:adjustRightInd w:val="0"/>
              <w:spacing w:line="360" w:lineRule="exact"/>
              <w:jc w:val="center"/>
              <w:rPr>
                <w:rFonts w:eastAsia="宋体"/>
                <w:b/>
                <w:spacing w:val="-2"/>
                <w:kern w:val="16"/>
                <w:sz w:val="21"/>
              </w:rPr>
            </w:pPr>
            <w:r>
              <w:rPr>
                <w:rFonts w:hint="eastAsia" w:eastAsia="宋体"/>
                <w:b/>
                <w:spacing w:val="-2"/>
                <w:kern w:val="16"/>
                <w:sz w:val="21"/>
              </w:rPr>
              <w:t>建设内容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1" w:type="dxa"/>
            <w:vAlign w:val="center"/>
          </w:tcPr>
          <w:p>
            <w:pPr>
              <w:autoSpaceDE w:val="0"/>
              <w:autoSpaceDN w:val="0"/>
              <w:adjustRightInd w:val="0"/>
              <w:spacing w:line="360" w:lineRule="exact"/>
              <w:jc w:val="center"/>
              <w:rPr>
                <w:rFonts w:eastAsia="宋体"/>
                <w:spacing w:val="-2"/>
                <w:kern w:val="16"/>
                <w:sz w:val="21"/>
              </w:rPr>
            </w:pPr>
            <w:r>
              <w:rPr>
                <w:rFonts w:hint="eastAsia" w:eastAsia="宋体"/>
                <w:spacing w:val="-2"/>
                <w:kern w:val="16"/>
                <w:sz w:val="21"/>
              </w:rPr>
              <w:t>1</w:t>
            </w:r>
          </w:p>
        </w:tc>
        <w:tc>
          <w:tcPr>
            <w:tcW w:w="1214" w:type="dxa"/>
            <w:vAlign w:val="center"/>
          </w:tcPr>
          <w:p>
            <w:pPr>
              <w:autoSpaceDE w:val="0"/>
              <w:autoSpaceDN w:val="0"/>
              <w:adjustRightInd w:val="0"/>
              <w:spacing w:line="360" w:lineRule="exact"/>
              <w:jc w:val="center"/>
              <w:rPr>
                <w:rFonts w:eastAsia="宋体"/>
                <w:spacing w:val="-2"/>
                <w:kern w:val="16"/>
                <w:sz w:val="21"/>
              </w:rPr>
            </w:pPr>
            <w:r>
              <w:rPr>
                <w:rFonts w:hint="eastAsia" w:eastAsia="宋体"/>
                <w:spacing w:val="-2"/>
                <w:kern w:val="16"/>
                <w:sz w:val="21"/>
              </w:rPr>
              <w:t>升压站工程</w:t>
            </w:r>
          </w:p>
        </w:tc>
        <w:tc>
          <w:tcPr>
            <w:tcW w:w="1047" w:type="dxa"/>
            <w:vAlign w:val="center"/>
          </w:tcPr>
          <w:p>
            <w:pPr>
              <w:autoSpaceDE w:val="0"/>
              <w:autoSpaceDN w:val="0"/>
              <w:adjustRightInd w:val="0"/>
              <w:spacing w:line="360" w:lineRule="exact"/>
              <w:jc w:val="center"/>
              <w:rPr>
                <w:rFonts w:eastAsia="宋体"/>
                <w:spacing w:val="-2"/>
                <w:kern w:val="16"/>
                <w:sz w:val="21"/>
              </w:rPr>
            </w:pPr>
            <w:r>
              <w:rPr>
                <w:rFonts w:hint="eastAsia" w:eastAsia="宋体"/>
                <w:spacing w:val="-2"/>
                <w:kern w:val="16"/>
                <w:sz w:val="21"/>
              </w:rPr>
              <w:t>新建</w:t>
            </w:r>
          </w:p>
        </w:tc>
        <w:tc>
          <w:tcPr>
            <w:tcW w:w="5510" w:type="dxa"/>
            <w:vAlign w:val="center"/>
          </w:tcPr>
          <w:p>
            <w:pPr>
              <w:autoSpaceDE w:val="0"/>
              <w:autoSpaceDN w:val="0"/>
              <w:adjustRightInd w:val="0"/>
              <w:spacing w:line="360" w:lineRule="exact"/>
              <w:jc w:val="left"/>
              <w:rPr>
                <w:rFonts w:eastAsia="宋体"/>
                <w:spacing w:val="-2"/>
                <w:kern w:val="16"/>
                <w:sz w:val="21"/>
              </w:rPr>
            </w:pPr>
            <w:r>
              <w:rPr>
                <w:rFonts w:hint="eastAsia" w:eastAsia="宋体"/>
                <w:spacing w:val="-2"/>
                <w:kern w:val="16"/>
                <w:sz w:val="21"/>
              </w:rPr>
              <w:t>本项目</w:t>
            </w:r>
            <w:r>
              <w:rPr>
                <w:rFonts w:eastAsia="宋体"/>
                <w:spacing w:val="-2"/>
                <w:kern w:val="16"/>
                <w:sz w:val="21"/>
              </w:rPr>
              <w:t>站址</w:t>
            </w:r>
            <w:r>
              <w:rPr>
                <w:rFonts w:hint="eastAsia" w:eastAsia="宋体"/>
                <w:spacing w:val="-2"/>
                <w:kern w:val="16"/>
                <w:sz w:val="21"/>
              </w:rPr>
              <w:t>位于禹州市苌庄乡、浅井镇，四周为山地。站址处地形较为平整、紧邻村路，对外交通便利，出线较为方便。占地</w:t>
            </w:r>
            <w:r>
              <w:rPr>
                <w:rFonts w:eastAsia="宋体"/>
                <w:spacing w:val="-2"/>
                <w:kern w:val="16"/>
                <w:sz w:val="21"/>
              </w:rPr>
              <w:t>面积为</w:t>
            </w:r>
            <w:r>
              <w:rPr>
                <w:rFonts w:hint="eastAsia" w:eastAsia="宋体"/>
                <w:spacing w:val="-2"/>
                <w:kern w:val="16"/>
                <w:sz w:val="21"/>
              </w:rPr>
              <w:t>40</w:t>
            </w:r>
            <w:r>
              <w:rPr>
                <w:rFonts w:eastAsia="宋体"/>
                <w:spacing w:val="-2"/>
                <w:kern w:val="16"/>
                <w:sz w:val="21"/>
              </w:rPr>
              <w:t>30</w:t>
            </w:r>
            <w:r>
              <w:rPr>
                <w:rFonts w:hint="eastAsia" w:eastAsia="宋体"/>
                <w:spacing w:val="-2"/>
                <w:kern w:val="16"/>
                <w:sz w:val="21"/>
              </w:rPr>
              <w:t>m</w:t>
            </w:r>
            <w:r>
              <w:rPr>
                <w:rFonts w:eastAsia="宋体"/>
                <w:spacing w:val="-2"/>
                <w:kern w:val="16"/>
                <w:sz w:val="21"/>
                <w:vertAlign w:val="superscript"/>
              </w:rPr>
              <w:t>2</w:t>
            </w:r>
            <w:r>
              <w:rPr>
                <w:rFonts w:hint="eastAsia" w:eastAsia="宋体"/>
                <w:spacing w:val="-2"/>
                <w:kern w:val="16"/>
                <w:sz w:val="21"/>
              </w:rPr>
              <w:t>。本项目新建主变压器</w:t>
            </w:r>
            <w:r>
              <w:rPr>
                <w:rFonts w:eastAsia="宋体"/>
                <w:spacing w:val="-2"/>
                <w:kern w:val="16"/>
                <w:sz w:val="21"/>
              </w:rPr>
              <w:t>1</w:t>
            </w:r>
            <w:r>
              <w:rPr>
                <w:rFonts w:hint="eastAsia" w:eastAsia="宋体"/>
                <w:spacing w:val="-2"/>
                <w:kern w:val="16"/>
                <w:sz w:val="21"/>
              </w:rPr>
              <w:t>台，</w:t>
            </w:r>
            <w:r>
              <w:rPr>
                <w:rFonts w:eastAsia="宋体"/>
                <w:spacing w:val="-2"/>
                <w:kern w:val="16"/>
                <w:sz w:val="21"/>
              </w:rPr>
              <w:t>容量</w:t>
            </w:r>
            <w:r>
              <w:rPr>
                <w:rFonts w:hint="eastAsia" w:eastAsia="宋体"/>
                <w:spacing w:val="-2"/>
                <w:kern w:val="16"/>
                <w:sz w:val="21"/>
              </w:rPr>
              <w:t>80</w:t>
            </w:r>
            <w:r>
              <w:rPr>
                <w:rFonts w:eastAsia="宋体"/>
                <w:spacing w:val="-2"/>
                <w:kern w:val="16"/>
                <w:sz w:val="21"/>
              </w:rPr>
              <w:t>MVA</w:t>
            </w:r>
            <w:r>
              <w:rPr>
                <w:rFonts w:hint="eastAsia" w:eastAsia="宋体"/>
                <w:spacing w:val="-2"/>
                <w:kern w:val="16"/>
                <w:sz w:val="21"/>
              </w:rPr>
              <w:t>，</w:t>
            </w:r>
            <w:r>
              <w:rPr>
                <w:rFonts w:eastAsia="宋体"/>
                <w:spacing w:val="-2"/>
                <w:kern w:val="16"/>
                <w:sz w:val="21"/>
              </w:rPr>
              <w:t>采用</w:t>
            </w:r>
            <w:r>
              <w:rPr>
                <w:rFonts w:hint="eastAsia" w:eastAsia="宋体"/>
                <w:spacing w:val="-2"/>
                <w:kern w:val="16"/>
                <w:sz w:val="21"/>
              </w:rPr>
              <w:t>的110/35kV三相、双绕组、自冷型油浸式低损耗有载调压电力变压器。主变压器户外布置</w:t>
            </w:r>
            <w:r>
              <w:rPr>
                <w:rFonts w:eastAsia="宋体"/>
                <w:spacing w:val="-2"/>
                <w:kern w:val="16"/>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51" w:type="dxa"/>
            <w:vAlign w:val="center"/>
          </w:tcPr>
          <w:p>
            <w:pPr>
              <w:autoSpaceDE w:val="0"/>
              <w:autoSpaceDN w:val="0"/>
              <w:adjustRightInd w:val="0"/>
              <w:spacing w:line="360" w:lineRule="exact"/>
              <w:jc w:val="center"/>
              <w:rPr>
                <w:rFonts w:eastAsia="宋体"/>
                <w:spacing w:val="-2"/>
                <w:kern w:val="16"/>
                <w:sz w:val="21"/>
              </w:rPr>
            </w:pPr>
            <w:r>
              <w:rPr>
                <w:rFonts w:hint="eastAsia" w:eastAsia="宋体"/>
                <w:spacing w:val="-2"/>
                <w:kern w:val="16"/>
                <w:sz w:val="21"/>
              </w:rPr>
              <w:t>2</w:t>
            </w:r>
          </w:p>
        </w:tc>
        <w:tc>
          <w:tcPr>
            <w:tcW w:w="1214" w:type="dxa"/>
            <w:vAlign w:val="center"/>
          </w:tcPr>
          <w:p>
            <w:pPr>
              <w:autoSpaceDE w:val="0"/>
              <w:autoSpaceDN w:val="0"/>
              <w:adjustRightInd w:val="0"/>
              <w:spacing w:line="360" w:lineRule="exact"/>
              <w:jc w:val="center"/>
              <w:rPr>
                <w:rFonts w:eastAsia="宋体"/>
                <w:spacing w:val="-2"/>
                <w:kern w:val="16"/>
                <w:sz w:val="21"/>
              </w:rPr>
            </w:pPr>
            <w:r>
              <w:rPr>
                <w:rFonts w:hint="eastAsia" w:eastAsia="宋体"/>
                <w:spacing w:val="-2"/>
                <w:kern w:val="16"/>
                <w:sz w:val="21"/>
              </w:rPr>
              <w:t>110kV线路工程</w:t>
            </w:r>
          </w:p>
        </w:tc>
        <w:tc>
          <w:tcPr>
            <w:tcW w:w="1047" w:type="dxa"/>
            <w:vAlign w:val="center"/>
          </w:tcPr>
          <w:p>
            <w:pPr>
              <w:autoSpaceDE w:val="0"/>
              <w:autoSpaceDN w:val="0"/>
              <w:adjustRightInd w:val="0"/>
              <w:spacing w:line="360" w:lineRule="exact"/>
              <w:jc w:val="center"/>
              <w:rPr>
                <w:rFonts w:eastAsia="宋体"/>
                <w:spacing w:val="-2"/>
                <w:kern w:val="16"/>
                <w:sz w:val="21"/>
              </w:rPr>
            </w:pPr>
            <w:r>
              <w:rPr>
                <w:rFonts w:hint="eastAsia" w:eastAsia="宋体"/>
                <w:spacing w:val="-2"/>
                <w:kern w:val="16"/>
                <w:sz w:val="21"/>
              </w:rPr>
              <w:t>新建</w:t>
            </w:r>
          </w:p>
        </w:tc>
        <w:tc>
          <w:tcPr>
            <w:tcW w:w="5510" w:type="dxa"/>
            <w:vAlign w:val="center"/>
          </w:tcPr>
          <w:p>
            <w:pPr>
              <w:autoSpaceDE w:val="0"/>
              <w:autoSpaceDN w:val="0"/>
              <w:adjustRightInd w:val="0"/>
              <w:spacing w:line="360" w:lineRule="exact"/>
              <w:rPr>
                <w:rFonts w:eastAsia="宋体"/>
                <w:spacing w:val="-2"/>
                <w:kern w:val="16"/>
                <w:sz w:val="21"/>
              </w:rPr>
            </w:pPr>
            <w:r>
              <w:rPr>
                <w:rFonts w:eastAsia="宋体"/>
                <w:spacing w:val="-2"/>
                <w:kern w:val="16"/>
                <w:sz w:val="21"/>
              </w:rPr>
              <w:t>本期110kV</w:t>
            </w:r>
            <w:r>
              <w:rPr>
                <w:rFonts w:hint="eastAsia" w:eastAsia="宋体"/>
                <w:spacing w:val="-2"/>
                <w:kern w:val="16"/>
                <w:sz w:val="21"/>
              </w:rPr>
              <w:t>线路</w:t>
            </w:r>
            <w:r>
              <w:rPr>
                <w:rFonts w:eastAsia="宋体"/>
                <w:spacing w:val="-2"/>
                <w:kern w:val="16"/>
                <w:sz w:val="21"/>
              </w:rPr>
              <w:t>出线1回，</w:t>
            </w:r>
            <w:r>
              <w:rPr>
                <w:rFonts w:hint="eastAsia" w:eastAsia="宋体"/>
                <w:spacing w:val="-2"/>
                <w:kern w:val="16"/>
                <w:sz w:val="21"/>
              </w:rPr>
              <w:t>单回路假设，线路 14.56km，1回110kV架空线路接至110kV月湾变，并在月湾变扩建一个间隔，新建线路选用导线</w:t>
            </w:r>
            <w:r>
              <w:rPr>
                <w:rFonts w:eastAsia="宋体"/>
                <w:spacing w:val="-2"/>
                <w:kern w:val="16"/>
                <w:sz w:val="21"/>
              </w:rPr>
              <w:t>JL</w:t>
            </w:r>
            <w:r>
              <w:rPr>
                <w:rFonts w:hint="eastAsia" w:eastAsia="宋体"/>
                <w:spacing w:val="-2"/>
                <w:kern w:val="16"/>
                <w:sz w:val="21"/>
              </w:rPr>
              <w:t>/</w:t>
            </w:r>
            <w:r>
              <w:rPr>
                <w:rFonts w:eastAsia="宋体"/>
                <w:spacing w:val="-2"/>
                <w:kern w:val="16"/>
                <w:sz w:val="21"/>
              </w:rPr>
              <w:t>G</w:t>
            </w:r>
            <w:r>
              <w:rPr>
                <w:rFonts w:hint="eastAsia" w:eastAsia="宋体"/>
                <w:spacing w:val="-2"/>
                <w:kern w:val="16"/>
                <w:sz w:val="21"/>
              </w:rPr>
              <w:t>1A</w:t>
            </w:r>
            <w:r>
              <w:rPr>
                <w:rFonts w:eastAsia="宋体"/>
                <w:spacing w:val="-2"/>
                <w:kern w:val="16"/>
                <w:sz w:val="21"/>
              </w:rPr>
              <w:t>-</w:t>
            </w:r>
            <w:r>
              <w:rPr>
                <w:rFonts w:hint="eastAsia" w:eastAsia="宋体"/>
                <w:spacing w:val="-2"/>
                <w:kern w:val="16"/>
                <w:sz w:val="21"/>
              </w:rPr>
              <w:t>240/30。新建杆塔</w:t>
            </w:r>
            <w:r>
              <w:rPr>
                <w:rFonts w:hint="eastAsia" w:eastAsia="宋体"/>
                <w:spacing w:val="-2"/>
                <w:kern w:val="16"/>
                <w:sz w:val="21"/>
                <w:szCs w:val="21"/>
              </w:rPr>
              <w:t>51基，</w:t>
            </w:r>
            <w:r>
              <w:rPr>
                <w:rFonts w:eastAsia="宋体"/>
                <w:spacing w:val="-2"/>
                <w:kern w:val="16"/>
                <w:sz w:val="21"/>
                <w:szCs w:val="21"/>
              </w:rPr>
              <w:t>其中</w:t>
            </w:r>
            <w:r>
              <w:rPr>
                <w:rFonts w:hint="eastAsia" w:eastAsia="宋体"/>
                <w:sz w:val="21"/>
                <w:szCs w:val="21"/>
              </w:rPr>
              <w:t>直线塔31</w:t>
            </w:r>
            <w:r>
              <w:rPr>
                <w:rFonts w:eastAsia="宋体"/>
                <w:sz w:val="21"/>
                <w:szCs w:val="21"/>
              </w:rPr>
              <w:t>基，</w:t>
            </w:r>
            <w:r>
              <w:rPr>
                <w:rFonts w:hint="eastAsia" w:eastAsia="宋体"/>
                <w:sz w:val="21"/>
                <w:szCs w:val="21"/>
              </w:rPr>
              <w:t>转角塔18</w:t>
            </w:r>
            <w:r>
              <w:rPr>
                <w:rFonts w:eastAsia="宋体"/>
                <w:sz w:val="21"/>
                <w:szCs w:val="21"/>
              </w:rPr>
              <w:t>基</w:t>
            </w:r>
            <w:r>
              <w:rPr>
                <w:rFonts w:hint="eastAsia" w:eastAsia="宋体"/>
                <w:sz w:val="21"/>
                <w:szCs w:val="21"/>
              </w:rPr>
              <w:t>，</w:t>
            </w:r>
            <w:r>
              <w:rPr>
                <w:rFonts w:eastAsia="宋体"/>
                <w:sz w:val="21"/>
                <w:szCs w:val="21"/>
              </w:rPr>
              <w:t>终端塔</w:t>
            </w:r>
            <w:r>
              <w:rPr>
                <w:rFonts w:hint="eastAsia" w:eastAsia="宋体"/>
                <w:sz w:val="21"/>
                <w:szCs w:val="21"/>
              </w:rPr>
              <w:t>2基</w:t>
            </w:r>
            <w:r>
              <w:rPr>
                <w:rFonts w:hint="eastAsia" w:eastAsia="宋体"/>
                <w:spacing w:val="-2"/>
                <w:kern w:val="16"/>
                <w:sz w:val="21"/>
              </w:rPr>
              <w:t>，</w:t>
            </w:r>
            <w:r>
              <w:rPr>
                <w:rFonts w:eastAsia="宋体"/>
                <w:color w:val="000000" w:themeColor="text1"/>
                <w:sz w:val="21"/>
              </w:rPr>
              <w:t>具体见表</w:t>
            </w:r>
            <w:r>
              <w:rPr>
                <w:rFonts w:hint="eastAsia" w:eastAsia="宋体"/>
                <w:color w:val="000000" w:themeColor="text1"/>
                <w:sz w:val="21"/>
              </w:rPr>
              <w:t>1-</w:t>
            </w:r>
            <w:r>
              <w:rPr>
                <w:rFonts w:eastAsia="宋体"/>
                <w:color w:val="000000" w:themeColor="text1"/>
                <w:sz w:val="21"/>
              </w:rPr>
              <w:t>5及附图</w:t>
            </w:r>
            <w:r>
              <w:rPr>
                <w:rFonts w:hint="eastAsia" w:eastAsia="宋体"/>
                <w:color w:val="000000" w:themeColor="text1"/>
                <w:sz w:val="21"/>
              </w:rPr>
              <w:t>5</w:t>
            </w:r>
            <w:r>
              <w:rPr>
                <w:rFonts w:eastAsia="宋体"/>
                <w:color w:val="000000" w:themeColor="text1"/>
                <w:sz w:val="21"/>
              </w:rPr>
              <w:t>。</w:t>
            </w:r>
          </w:p>
        </w:tc>
      </w:tr>
    </w:tbl>
    <w:p>
      <w:pPr>
        <w:widowControl/>
        <w:adjustRightInd w:val="0"/>
        <w:snapToGrid w:val="0"/>
        <w:spacing w:line="520" w:lineRule="exact"/>
        <w:rPr>
          <w:rFonts w:eastAsia="宋体"/>
          <w:b/>
          <w:kern w:val="0"/>
          <w:sz w:val="24"/>
          <w:szCs w:val="22"/>
        </w:rPr>
      </w:pPr>
      <w:r>
        <w:rPr>
          <w:rFonts w:eastAsia="宋体"/>
          <w:b/>
          <w:kern w:val="0"/>
          <w:sz w:val="24"/>
          <w:szCs w:val="22"/>
        </w:rPr>
        <w:t>1.2评价因子</w:t>
      </w:r>
    </w:p>
    <w:p>
      <w:pPr>
        <w:widowControl/>
        <w:adjustRightInd w:val="0"/>
        <w:snapToGrid w:val="0"/>
        <w:spacing w:line="520" w:lineRule="exact"/>
        <w:ind w:firstLine="480" w:firstLineChars="200"/>
        <w:rPr>
          <w:rFonts w:eastAsia="宋体"/>
          <w:kern w:val="0"/>
          <w:sz w:val="24"/>
          <w:szCs w:val="22"/>
        </w:rPr>
      </w:pPr>
      <w:r>
        <w:rPr>
          <w:rFonts w:hAnsi="Tahoma" w:eastAsia="宋体"/>
          <w:kern w:val="0"/>
          <w:sz w:val="24"/>
          <w:szCs w:val="22"/>
        </w:rPr>
        <w:t>工频电场、工频磁场</w:t>
      </w:r>
      <w:r>
        <w:rPr>
          <w:rFonts w:hint="eastAsia" w:hAnsi="Tahoma" w:eastAsia="宋体"/>
          <w:kern w:val="0"/>
          <w:sz w:val="24"/>
          <w:szCs w:val="22"/>
        </w:rPr>
        <w:t>。</w:t>
      </w:r>
    </w:p>
    <w:p>
      <w:pPr>
        <w:widowControl/>
        <w:adjustRightInd w:val="0"/>
        <w:snapToGrid w:val="0"/>
        <w:spacing w:line="520" w:lineRule="exact"/>
        <w:rPr>
          <w:rFonts w:eastAsia="宋体"/>
          <w:b/>
          <w:kern w:val="0"/>
          <w:sz w:val="24"/>
          <w:szCs w:val="22"/>
        </w:rPr>
      </w:pPr>
      <w:r>
        <w:rPr>
          <w:rFonts w:eastAsia="宋体"/>
          <w:b/>
          <w:kern w:val="0"/>
          <w:sz w:val="24"/>
          <w:szCs w:val="22"/>
        </w:rPr>
        <w:t>1.3评价标准</w:t>
      </w:r>
    </w:p>
    <w:p>
      <w:pPr>
        <w:widowControl/>
        <w:adjustRightInd w:val="0"/>
        <w:snapToGrid w:val="0"/>
        <w:spacing w:line="520" w:lineRule="exact"/>
        <w:ind w:firstLine="480" w:firstLineChars="200"/>
        <w:rPr>
          <w:rFonts w:eastAsia="宋体"/>
          <w:kern w:val="0"/>
          <w:sz w:val="24"/>
          <w:szCs w:val="22"/>
        </w:rPr>
      </w:pPr>
      <w:r>
        <w:rPr>
          <w:rFonts w:eastAsia="宋体"/>
          <w:kern w:val="0"/>
          <w:sz w:val="24"/>
          <w:szCs w:val="22"/>
        </w:rPr>
        <w:t>根据《电磁环境控制限值》(GB8702-2014)，50Hz 频率下，环境中工频电场强度的公众曝露控制限值为4000V/m，工频磁感应强度的公众曝露控制限值为100μT。</w:t>
      </w:r>
    </w:p>
    <w:p>
      <w:pPr>
        <w:widowControl/>
        <w:adjustRightInd w:val="0"/>
        <w:snapToGrid w:val="0"/>
        <w:spacing w:line="520" w:lineRule="exact"/>
        <w:rPr>
          <w:rFonts w:eastAsia="宋体"/>
          <w:b/>
          <w:kern w:val="0"/>
          <w:sz w:val="24"/>
          <w:szCs w:val="22"/>
        </w:rPr>
      </w:pPr>
      <w:r>
        <w:rPr>
          <w:rFonts w:eastAsia="宋体"/>
          <w:b/>
          <w:kern w:val="0"/>
          <w:sz w:val="24"/>
          <w:szCs w:val="22"/>
        </w:rPr>
        <w:t>1.4评价工作等级</w:t>
      </w:r>
    </w:p>
    <w:p>
      <w:pPr>
        <w:spacing w:line="360" w:lineRule="auto"/>
        <w:ind w:firstLine="480" w:firstLineChars="200"/>
        <w:rPr>
          <w:rFonts w:eastAsia="宋体"/>
          <w:sz w:val="24"/>
        </w:rPr>
      </w:pPr>
      <w:r>
        <w:rPr>
          <w:rFonts w:eastAsia="宋体"/>
          <w:kern w:val="0"/>
          <w:sz w:val="24"/>
          <w:szCs w:val="22"/>
        </w:rPr>
        <w:t>根据《环境影响评价技术导则输变电工程》（HJ 24-2014）中关于输变电工程电磁环境影响评价工作等级（见表1）划分依据，本工程新建</w:t>
      </w:r>
      <w:r>
        <w:rPr>
          <w:rFonts w:hint="eastAsia" w:eastAsia="宋体"/>
          <w:kern w:val="0"/>
          <w:sz w:val="24"/>
          <w:szCs w:val="22"/>
        </w:rPr>
        <w:t>110</w:t>
      </w:r>
      <w:r>
        <w:rPr>
          <w:rFonts w:eastAsia="宋体"/>
          <w:kern w:val="0"/>
          <w:sz w:val="24"/>
          <w:szCs w:val="22"/>
        </w:rPr>
        <w:t>kV升压站为室外布置，</w:t>
      </w:r>
      <w:r>
        <w:rPr>
          <w:rFonts w:hint="eastAsia" w:eastAsia="宋体"/>
          <w:sz w:val="24"/>
        </w:rPr>
        <w:t>输电</w:t>
      </w:r>
      <w:r>
        <w:rPr>
          <w:rFonts w:eastAsia="宋体"/>
          <w:sz w:val="24"/>
        </w:rPr>
        <w:t>线路</w:t>
      </w:r>
      <w:r>
        <w:rPr>
          <w:rFonts w:hint="eastAsia" w:eastAsia="宋体"/>
          <w:sz w:val="24"/>
        </w:rPr>
        <w:t>两侧</w:t>
      </w:r>
      <w:r>
        <w:rPr>
          <w:rFonts w:eastAsia="宋体"/>
          <w:sz w:val="24"/>
        </w:rPr>
        <w:t>10m</w:t>
      </w:r>
      <w:r>
        <w:rPr>
          <w:rFonts w:hint="eastAsia" w:eastAsia="宋体"/>
          <w:sz w:val="24"/>
        </w:rPr>
        <w:t>内无</w:t>
      </w:r>
      <w:r>
        <w:rPr>
          <w:rFonts w:eastAsia="宋体"/>
          <w:sz w:val="24"/>
        </w:rPr>
        <w:t>环境</w:t>
      </w:r>
      <w:r>
        <w:rPr>
          <w:rFonts w:hint="eastAsia" w:eastAsia="宋体"/>
          <w:sz w:val="24"/>
        </w:rPr>
        <w:t>敏感</w:t>
      </w:r>
      <w:r>
        <w:rPr>
          <w:rFonts w:eastAsia="宋体"/>
          <w:sz w:val="24"/>
        </w:rPr>
        <w:t>目标</w:t>
      </w:r>
      <w:r>
        <w:rPr>
          <w:rFonts w:hint="eastAsia" w:eastAsia="宋体"/>
          <w:sz w:val="24"/>
        </w:rPr>
        <w:t>，</w:t>
      </w:r>
      <w:r>
        <w:rPr>
          <w:rFonts w:eastAsia="宋体"/>
          <w:sz w:val="24"/>
        </w:rPr>
        <w:t>因此，110kV升压站评价等级为</w:t>
      </w:r>
      <w:r>
        <w:rPr>
          <w:rFonts w:hint="eastAsia" w:eastAsia="宋体"/>
          <w:sz w:val="24"/>
        </w:rPr>
        <w:t>二</w:t>
      </w:r>
      <w:r>
        <w:rPr>
          <w:rFonts w:eastAsia="宋体"/>
          <w:sz w:val="24"/>
        </w:rPr>
        <w:t>级。本期110kV线路为</w:t>
      </w:r>
      <w:r>
        <w:rPr>
          <w:rFonts w:hint="eastAsia" w:eastAsia="宋体"/>
          <w:sz w:val="24"/>
        </w:rPr>
        <w:t>二</w:t>
      </w:r>
      <w:r>
        <w:rPr>
          <w:rFonts w:eastAsia="宋体"/>
          <w:sz w:val="24"/>
        </w:rPr>
        <w:t>级评价。</w:t>
      </w:r>
    </w:p>
    <w:p>
      <w:pPr>
        <w:pStyle w:val="4"/>
        <w:adjustRightInd w:val="0"/>
        <w:snapToGrid w:val="0"/>
        <w:ind w:firstLine="480" w:firstLineChars="200"/>
        <w:rPr>
          <w:rFonts w:ascii="黑体" w:hAnsi="黑体"/>
          <w:sz w:val="24"/>
          <w:szCs w:val="21"/>
        </w:rPr>
      </w:pPr>
    </w:p>
    <w:p>
      <w:pPr>
        <w:pStyle w:val="4"/>
        <w:adjustRightInd w:val="0"/>
        <w:snapToGrid w:val="0"/>
        <w:ind w:firstLine="480" w:firstLineChars="200"/>
        <w:rPr>
          <w:rFonts w:ascii="黑体" w:hAnsi="黑体"/>
          <w:sz w:val="24"/>
          <w:szCs w:val="21"/>
        </w:rPr>
      </w:pPr>
    </w:p>
    <w:p>
      <w:pPr>
        <w:pStyle w:val="4"/>
        <w:adjustRightInd w:val="0"/>
        <w:snapToGrid w:val="0"/>
        <w:ind w:firstLine="480" w:firstLineChars="200"/>
        <w:rPr>
          <w:rFonts w:ascii="黑体" w:hAnsi="黑体"/>
          <w:sz w:val="24"/>
          <w:szCs w:val="21"/>
        </w:rPr>
      </w:pPr>
    </w:p>
    <w:p>
      <w:pPr>
        <w:pStyle w:val="4"/>
        <w:adjustRightInd w:val="0"/>
        <w:snapToGrid w:val="0"/>
        <w:ind w:firstLine="480" w:firstLineChars="200"/>
        <w:rPr>
          <w:rFonts w:ascii="黑体" w:hAnsi="黑体"/>
          <w:sz w:val="24"/>
          <w:szCs w:val="21"/>
        </w:rPr>
      </w:pPr>
    </w:p>
    <w:p>
      <w:pPr>
        <w:pStyle w:val="4"/>
        <w:adjustRightInd w:val="0"/>
        <w:snapToGrid w:val="0"/>
        <w:rPr>
          <w:rFonts w:ascii="黑体" w:hAnsi="黑体"/>
          <w:sz w:val="24"/>
          <w:szCs w:val="21"/>
        </w:rPr>
      </w:pPr>
    </w:p>
    <w:p>
      <w:pPr>
        <w:pStyle w:val="4"/>
        <w:adjustRightInd w:val="0"/>
        <w:snapToGrid w:val="0"/>
        <w:spacing w:line="520" w:lineRule="exact"/>
        <w:ind w:firstLine="480" w:firstLineChars="200"/>
        <w:rPr>
          <w:rFonts w:ascii="Times New Roman" w:hAnsi="Times New Roman"/>
          <w:sz w:val="24"/>
          <w:szCs w:val="21"/>
        </w:rPr>
      </w:pPr>
      <w:r>
        <w:rPr>
          <w:rFonts w:ascii="Times New Roman" w:hAnsi="黑体"/>
          <w:sz w:val="24"/>
          <w:szCs w:val="21"/>
        </w:rPr>
        <w:t>表</w:t>
      </w:r>
      <w:r>
        <w:rPr>
          <w:rFonts w:ascii="Times New Roman" w:hAnsi="Times New Roman"/>
          <w:sz w:val="24"/>
          <w:szCs w:val="21"/>
        </w:rPr>
        <w:t xml:space="preserve">2             </w:t>
      </w:r>
      <w:r>
        <w:rPr>
          <w:rFonts w:ascii="Times New Roman" w:hAnsi="黑体"/>
          <w:sz w:val="24"/>
          <w:szCs w:val="21"/>
        </w:rPr>
        <w:t>输变电工程电磁环境影响评价工作等级</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021"/>
        <w:gridCol w:w="923"/>
        <w:gridCol w:w="5043"/>
        <w:gridCol w:w="1535"/>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1101" w:type="dxa"/>
            <w:vAlign w:val="center"/>
          </w:tcPr>
          <w:p>
            <w:pPr>
              <w:widowControl/>
              <w:spacing w:line="360" w:lineRule="exact"/>
              <w:jc w:val="center"/>
              <w:rPr>
                <w:rFonts w:eastAsia="宋体"/>
                <w:b/>
                <w:bCs/>
                <w:color w:val="000000"/>
                <w:kern w:val="0"/>
                <w:sz w:val="21"/>
                <w:szCs w:val="21"/>
              </w:rPr>
            </w:pPr>
            <w:r>
              <w:rPr>
                <w:rFonts w:eastAsia="宋体"/>
                <w:b/>
                <w:bCs/>
                <w:color w:val="000000"/>
                <w:kern w:val="0"/>
                <w:sz w:val="21"/>
                <w:szCs w:val="21"/>
              </w:rPr>
              <w:t>电压等级</w:t>
            </w:r>
          </w:p>
        </w:tc>
        <w:tc>
          <w:tcPr>
            <w:tcW w:w="992" w:type="dxa"/>
            <w:vAlign w:val="center"/>
          </w:tcPr>
          <w:p>
            <w:pPr>
              <w:widowControl/>
              <w:spacing w:line="360" w:lineRule="exact"/>
              <w:jc w:val="center"/>
              <w:rPr>
                <w:rFonts w:eastAsia="宋体"/>
                <w:b/>
                <w:bCs/>
                <w:color w:val="000000"/>
                <w:kern w:val="0"/>
                <w:sz w:val="21"/>
                <w:szCs w:val="21"/>
              </w:rPr>
            </w:pPr>
            <w:r>
              <w:rPr>
                <w:rFonts w:eastAsia="宋体"/>
                <w:b/>
                <w:bCs/>
                <w:color w:val="000000"/>
                <w:kern w:val="0"/>
                <w:sz w:val="21"/>
                <w:szCs w:val="21"/>
              </w:rPr>
              <w:t>工程</w:t>
            </w:r>
          </w:p>
        </w:tc>
        <w:tc>
          <w:tcPr>
            <w:tcW w:w="5528" w:type="dxa"/>
            <w:vAlign w:val="center"/>
          </w:tcPr>
          <w:p>
            <w:pPr>
              <w:widowControl/>
              <w:spacing w:line="360" w:lineRule="exact"/>
              <w:jc w:val="center"/>
              <w:rPr>
                <w:rFonts w:eastAsia="宋体"/>
                <w:b/>
                <w:bCs/>
                <w:color w:val="000000"/>
                <w:kern w:val="0"/>
                <w:sz w:val="21"/>
                <w:szCs w:val="21"/>
              </w:rPr>
            </w:pPr>
            <w:r>
              <w:rPr>
                <w:rFonts w:eastAsia="宋体"/>
                <w:b/>
                <w:bCs/>
                <w:color w:val="000000"/>
                <w:kern w:val="0"/>
                <w:sz w:val="21"/>
                <w:szCs w:val="21"/>
              </w:rPr>
              <w:t>条件</w:t>
            </w:r>
          </w:p>
        </w:tc>
        <w:tc>
          <w:tcPr>
            <w:tcW w:w="1666" w:type="dxa"/>
            <w:vAlign w:val="center"/>
          </w:tcPr>
          <w:p>
            <w:pPr>
              <w:widowControl/>
              <w:spacing w:line="360" w:lineRule="exact"/>
              <w:jc w:val="center"/>
              <w:rPr>
                <w:rFonts w:eastAsia="宋体"/>
                <w:b/>
                <w:bCs/>
                <w:color w:val="000000"/>
                <w:kern w:val="0"/>
                <w:sz w:val="21"/>
                <w:szCs w:val="21"/>
              </w:rPr>
            </w:pPr>
            <w:r>
              <w:rPr>
                <w:rFonts w:eastAsia="宋体"/>
                <w:b/>
                <w:bCs/>
                <w:color w:val="000000"/>
                <w:kern w:val="0"/>
                <w:sz w:val="21"/>
                <w:szCs w:val="21"/>
              </w:rPr>
              <w:t>评价工作等级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1101" w:type="dxa"/>
            <w:vMerge w:val="restart"/>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110kV</w:t>
            </w:r>
          </w:p>
        </w:tc>
        <w:tc>
          <w:tcPr>
            <w:tcW w:w="992" w:type="dxa"/>
            <w:vMerge w:val="restart"/>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变电站</w:t>
            </w:r>
          </w:p>
        </w:tc>
        <w:tc>
          <w:tcPr>
            <w:tcW w:w="5528"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户内式、地下式</w:t>
            </w:r>
          </w:p>
        </w:tc>
        <w:tc>
          <w:tcPr>
            <w:tcW w:w="1666"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三级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1101" w:type="dxa"/>
            <w:vMerge w:val="continue"/>
            <w:vAlign w:val="center"/>
          </w:tcPr>
          <w:p>
            <w:pPr>
              <w:widowControl/>
              <w:spacing w:line="360" w:lineRule="exact"/>
              <w:jc w:val="left"/>
              <w:rPr>
                <w:rFonts w:eastAsia="宋体"/>
                <w:color w:val="000000"/>
                <w:kern w:val="0"/>
                <w:sz w:val="21"/>
                <w:szCs w:val="21"/>
              </w:rPr>
            </w:pPr>
          </w:p>
        </w:tc>
        <w:tc>
          <w:tcPr>
            <w:tcW w:w="992" w:type="dxa"/>
            <w:vMerge w:val="continue"/>
            <w:vAlign w:val="center"/>
          </w:tcPr>
          <w:p>
            <w:pPr>
              <w:widowControl/>
              <w:spacing w:line="360" w:lineRule="exact"/>
              <w:jc w:val="left"/>
              <w:rPr>
                <w:rFonts w:eastAsia="宋体"/>
                <w:color w:val="000000"/>
                <w:kern w:val="0"/>
                <w:sz w:val="21"/>
                <w:szCs w:val="21"/>
              </w:rPr>
            </w:pPr>
          </w:p>
        </w:tc>
        <w:tc>
          <w:tcPr>
            <w:tcW w:w="5528"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户外式</w:t>
            </w:r>
          </w:p>
        </w:tc>
        <w:tc>
          <w:tcPr>
            <w:tcW w:w="1666"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二级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1101" w:type="dxa"/>
            <w:vMerge w:val="continue"/>
            <w:vAlign w:val="center"/>
          </w:tcPr>
          <w:p>
            <w:pPr>
              <w:widowControl/>
              <w:spacing w:line="360" w:lineRule="exact"/>
              <w:jc w:val="left"/>
              <w:rPr>
                <w:rFonts w:eastAsia="宋体"/>
                <w:color w:val="000000"/>
                <w:kern w:val="0"/>
                <w:sz w:val="21"/>
                <w:szCs w:val="21"/>
              </w:rPr>
            </w:pPr>
          </w:p>
        </w:tc>
        <w:tc>
          <w:tcPr>
            <w:tcW w:w="992" w:type="dxa"/>
            <w:vMerge w:val="restart"/>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输电</w:t>
            </w:r>
          </w:p>
          <w:p>
            <w:pPr>
              <w:widowControl/>
              <w:spacing w:line="360" w:lineRule="exact"/>
              <w:jc w:val="center"/>
              <w:rPr>
                <w:rFonts w:eastAsia="宋体"/>
                <w:color w:val="000000"/>
                <w:kern w:val="0"/>
                <w:sz w:val="21"/>
                <w:szCs w:val="21"/>
              </w:rPr>
            </w:pPr>
            <w:r>
              <w:rPr>
                <w:rFonts w:eastAsia="宋体"/>
                <w:color w:val="000000"/>
                <w:kern w:val="0"/>
                <w:sz w:val="21"/>
                <w:szCs w:val="21"/>
              </w:rPr>
              <w:t>线路</w:t>
            </w:r>
          </w:p>
        </w:tc>
        <w:tc>
          <w:tcPr>
            <w:tcW w:w="5528" w:type="dxa"/>
            <w:vMerge w:val="restart"/>
            <w:vAlign w:val="center"/>
          </w:tcPr>
          <w:p>
            <w:pPr>
              <w:widowControl/>
              <w:spacing w:line="360" w:lineRule="exact"/>
              <w:jc w:val="left"/>
              <w:rPr>
                <w:rFonts w:eastAsia="宋体"/>
                <w:color w:val="000000"/>
                <w:kern w:val="0"/>
                <w:sz w:val="21"/>
                <w:szCs w:val="21"/>
              </w:rPr>
            </w:pPr>
            <w:r>
              <w:rPr>
                <w:rFonts w:eastAsia="宋体"/>
                <w:color w:val="000000"/>
                <w:kern w:val="0"/>
                <w:sz w:val="21"/>
                <w:szCs w:val="21"/>
              </w:rPr>
              <w:t>1.地下电缆</w:t>
            </w:r>
          </w:p>
          <w:p>
            <w:pPr>
              <w:widowControl/>
              <w:spacing w:line="360" w:lineRule="exact"/>
              <w:jc w:val="left"/>
              <w:rPr>
                <w:rFonts w:eastAsia="宋体"/>
                <w:color w:val="000000"/>
                <w:kern w:val="0"/>
                <w:sz w:val="21"/>
                <w:szCs w:val="21"/>
              </w:rPr>
            </w:pPr>
            <w:r>
              <w:rPr>
                <w:rFonts w:eastAsia="宋体"/>
                <w:color w:val="000000"/>
                <w:kern w:val="0"/>
                <w:sz w:val="21"/>
                <w:szCs w:val="21"/>
              </w:rPr>
              <w:t>2.边导线地面投影外两侧各10m范围内无电磁环境敏感目标的架空线</w:t>
            </w:r>
          </w:p>
        </w:tc>
        <w:tc>
          <w:tcPr>
            <w:tcW w:w="1666" w:type="dxa"/>
            <w:vMerge w:val="restart"/>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三级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1101" w:type="dxa"/>
            <w:vMerge w:val="continue"/>
            <w:vAlign w:val="center"/>
          </w:tcPr>
          <w:p>
            <w:pPr>
              <w:widowControl/>
              <w:spacing w:line="360" w:lineRule="exact"/>
              <w:jc w:val="left"/>
              <w:rPr>
                <w:rFonts w:eastAsia="宋体"/>
                <w:color w:val="000000"/>
                <w:kern w:val="0"/>
                <w:sz w:val="21"/>
                <w:szCs w:val="21"/>
              </w:rPr>
            </w:pPr>
          </w:p>
        </w:tc>
        <w:tc>
          <w:tcPr>
            <w:tcW w:w="992" w:type="dxa"/>
            <w:vMerge w:val="continue"/>
            <w:vAlign w:val="center"/>
          </w:tcPr>
          <w:p>
            <w:pPr>
              <w:widowControl/>
              <w:spacing w:line="360" w:lineRule="exact"/>
              <w:jc w:val="left"/>
              <w:rPr>
                <w:rFonts w:eastAsia="宋体"/>
                <w:color w:val="000000"/>
                <w:kern w:val="0"/>
                <w:sz w:val="21"/>
                <w:szCs w:val="21"/>
              </w:rPr>
            </w:pPr>
          </w:p>
        </w:tc>
        <w:tc>
          <w:tcPr>
            <w:tcW w:w="5528" w:type="dxa"/>
            <w:vMerge w:val="continue"/>
            <w:vAlign w:val="center"/>
          </w:tcPr>
          <w:p>
            <w:pPr>
              <w:widowControl/>
              <w:spacing w:line="360" w:lineRule="exact"/>
              <w:jc w:val="left"/>
              <w:rPr>
                <w:rFonts w:eastAsia="宋体"/>
                <w:color w:val="000000"/>
                <w:kern w:val="0"/>
                <w:sz w:val="21"/>
                <w:szCs w:val="21"/>
              </w:rPr>
            </w:pPr>
          </w:p>
        </w:tc>
        <w:tc>
          <w:tcPr>
            <w:tcW w:w="1666" w:type="dxa"/>
            <w:vMerge w:val="continue"/>
            <w:vAlign w:val="center"/>
          </w:tcPr>
          <w:p>
            <w:pPr>
              <w:widowControl/>
              <w:spacing w:line="360" w:lineRule="exact"/>
              <w:jc w:val="left"/>
              <w:rPr>
                <w:rFonts w:eastAsia="宋体"/>
                <w:color w:val="00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1101" w:type="dxa"/>
            <w:vMerge w:val="continue"/>
            <w:vAlign w:val="center"/>
          </w:tcPr>
          <w:p>
            <w:pPr>
              <w:widowControl/>
              <w:spacing w:line="360" w:lineRule="exact"/>
              <w:jc w:val="left"/>
              <w:rPr>
                <w:rFonts w:eastAsia="宋体"/>
                <w:color w:val="000000"/>
                <w:kern w:val="0"/>
                <w:sz w:val="21"/>
                <w:szCs w:val="21"/>
              </w:rPr>
            </w:pPr>
          </w:p>
        </w:tc>
        <w:tc>
          <w:tcPr>
            <w:tcW w:w="992" w:type="dxa"/>
            <w:vMerge w:val="continue"/>
            <w:vAlign w:val="center"/>
          </w:tcPr>
          <w:p>
            <w:pPr>
              <w:widowControl/>
              <w:spacing w:line="360" w:lineRule="exact"/>
              <w:jc w:val="left"/>
              <w:rPr>
                <w:rFonts w:eastAsia="宋体"/>
                <w:color w:val="000000"/>
                <w:kern w:val="0"/>
                <w:sz w:val="21"/>
                <w:szCs w:val="21"/>
              </w:rPr>
            </w:pPr>
          </w:p>
        </w:tc>
        <w:tc>
          <w:tcPr>
            <w:tcW w:w="5528" w:type="dxa"/>
            <w:vAlign w:val="center"/>
          </w:tcPr>
          <w:p>
            <w:pPr>
              <w:widowControl/>
              <w:spacing w:line="360" w:lineRule="exact"/>
              <w:jc w:val="left"/>
              <w:rPr>
                <w:rFonts w:eastAsia="宋体"/>
                <w:color w:val="000000"/>
                <w:kern w:val="0"/>
                <w:sz w:val="21"/>
                <w:szCs w:val="21"/>
              </w:rPr>
            </w:pPr>
            <w:r>
              <w:rPr>
                <w:rFonts w:eastAsia="宋体"/>
                <w:color w:val="000000"/>
                <w:kern w:val="0"/>
                <w:sz w:val="21"/>
                <w:szCs w:val="21"/>
              </w:rPr>
              <w:t>边导线地面投影外两侧各10m范围内有电磁环境敏感目标的架空线</w:t>
            </w:r>
          </w:p>
        </w:tc>
        <w:tc>
          <w:tcPr>
            <w:tcW w:w="1666"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二级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9287" w:type="dxa"/>
            <w:gridSpan w:val="4"/>
            <w:vAlign w:val="center"/>
          </w:tcPr>
          <w:p>
            <w:pPr>
              <w:widowControl/>
              <w:spacing w:line="360" w:lineRule="exact"/>
              <w:ind w:firstLine="420" w:firstLineChars="200"/>
              <w:rPr>
                <w:rFonts w:eastAsia="宋体"/>
                <w:color w:val="000000"/>
                <w:kern w:val="0"/>
                <w:sz w:val="21"/>
                <w:szCs w:val="21"/>
              </w:rPr>
            </w:pPr>
            <w:r>
              <w:rPr>
                <w:rFonts w:hint="eastAsia" w:eastAsia="宋体"/>
                <w:color w:val="000000"/>
                <w:kern w:val="0"/>
                <w:sz w:val="21"/>
                <w:szCs w:val="21"/>
              </w:rPr>
              <w:t>注：进行电磁环境影响评价工作等级划分时，如工程涉及多个电压等级或涉及到交、直流的组合时，应以相应的最高工作等级进行评价。</w:t>
            </w:r>
          </w:p>
        </w:tc>
      </w:tr>
    </w:tbl>
    <w:p>
      <w:pPr>
        <w:widowControl/>
        <w:adjustRightInd w:val="0"/>
        <w:snapToGrid w:val="0"/>
        <w:spacing w:line="520" w:lineRule="exact"/>
        <w:jc w:val="left"/>
        <w:rPr>
          <w:rFonts w:eastAsia="宋体"/>
          <w:b/>
          <w:kern w:val="0"/>
          <w:sz w:val="24"/>
          <w:szCs w:val="22"/>
        </w:rPr>
      </w:pPr>
      <w:bookmarkStart w:id="53" w:name="_Toc466491507"/>
      <w:bookmarkStart w:id="54" w:name="_Toc437271453"/>
      <w:bookmarkStart w:id="55" w:name="_Toc437271381"/>
      <w:bookmarkStart w:id="56" w:name="_Toc433361794"/>
      <w:bookmarkStart w:id="57" w:name="_Toc485813668"/>
      <w:r>
        <w:rPr>
          <w:rFonts w:eastAsia="宋体"/>
          <w:b/>
          <w:kern w:val="0"/>
          <w:sz w:val="24"/>
          <w:szCs w:val="22"/>
        </w:rPr>
        <w:t>1.5评价范围</w:t>
      </w:r>
      <w:bookmarkEnd w:id="53"/>
      <w:bookmarkEnd w:id="54"/>
      <w:bookmarkEnd w:id="55"/>
      <w:bookmarkEnd w:id="56"/>
      <w:bookmarkEnd w:id="57"/>
    </w:p>
    <w:p>
      <w:pPr>
        <w:widowControl/>
        <w:adjustRightInd w:val="0"/>
        <w:snapToGrid w:val="0"/>
        <w:spacing w:line="520" w:lineRule="exact"/>
        <w:ind w:firstLine="480" w:firstLineChars="200"/>
        <w:rPr>
          <w:rFonts w:eastAsia="宋体"/>
          <w:kern w:val="0"/>
          <w:sz w:val="24"/>
          <w:szCs w:val="22"/>
        </w:rPr>
      </w:pPr>
      <w:r>
        <w:rPr>
          <w:rFonts w:hAnsi="Tahoma" w:eastAsia="宋体"/>
          <w:kern w:val="0"/>
          <w:sz w:val="24"/>
          <w:szCs w:val="22"/>
        </w:rPr>
        <w:t>根据《环境影响技术导则输变电工程》（</w:t>
      </w:r>
      <w:r>
        <w:rPr>
          <w:rFonts w:eastAsia="宋体"/>
          <w:kern w:val="0"/>
          <w:sz w:val="24"/>
          <w:szCs w:val="22"/>
        </w:rPr>
        <w:t>HJ 24-2014</w:t>
      </w:r>
      <w:r>
        <w:rPr>
          <w:rFonts w:hAnsi="Tahoma" w:eastAsia="宋体"/>
          <w:kern w:val="0"/>
          <w:sz w:val="24"/>
          <w:szCs w:val="22"/>
        </w:rPr>
        <w:t>）中关于电磁环境影响评价范围的相关内容。</w:t>
      </w:r>
    </w:p>
    <w:p>
      <w:pPr>
        <w:pStyle w:val="4"/>
        <w:adjustRightInd w:val="0"/>
        <w:snapToGrid w:val="0"/>
        <w:spacing w:line="520" w:lineRule="exact"/>
        <w:ind w:firstLine="480" w:firstLineChars="200"/>
        <w:rPr>
          <w:rFonts w:ascii="Times New Roman" w:hAnsi="Times New Roman"/>
          <w:sz w:val="24"/>
          <w:szCs w:val="21"/>
        </w:rPr>
      </w:pPr>
      <w:r>
        <w:rPr>
          <w:rFonts w:ascii="Times New Roman" w:hAnsi="黑体"/>
          <w:sz w:val="24"/>
          <w:szCs w:val="21"/>
        </w:rPr>
        <w:t>表</w:t>
      </w:r>
      <w:r>
        <w:rPr>
          <w:rFonts w:hint="eastAsia" w:ascii="Times New Roman" w:hAnsi="Times New Roman"/>
          <w:sz w:val="24"/>
          <w:szCs w:val="21"/>
        </w:rPr>
        <w:t>3</w:t>
      </w:r>
      <w:r>
        <w:rPr>
          <w:rFonts w:ascii="Times New Roman" w:hAnsi="Times New Roman"/>
          <w:sz w:val="24"/>
          <w:szCs w:val="21"/>
        </w:rPr>
        <w:t xml:space="preserve">             </w:t>
      </w:r>
      <w:r>
        <w:rPr>
          <w:rFonts w:ascii="Times New Roman" w:hAnsi="黑体"/>
          <w:sz w:val="24"/>
          <w:szCs w:val="21"/>
        </w:rPr>
        <w:t>输变电工程电磁环境影响评价范围</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735"/>
        <w:gridCol w:w="1748"/>
        <w:gridCol w:w="1747"/>
        <w:gridCol w:w="2897"/>
        <w:gridCol w:w="1395"/>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7" w:type="dxa"/>
            <w:vMerge w:val="restart"/>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分类</w:t>
            </w:r>
          </w:p>
        </w:tc>
        <w:tc>
          <w:tcPr>
            <w:tcW w:w="1906" w:type="dxa"/>
            <w:vMerge w:val="restart"/>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电压等级</w:t>
            </w:r>
          </w:p>
        </w:tc>
        <w:tc>
          <w:tcPr>
            <w:tcW w:w="6594" w:type="dxa"/>
            <w:gridSpan w:val="3"/>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评价范围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7" w:type="dxa"/>
            <w:vMerge w:val="continue"/>
            <w:vAlign w:val="center"/>
          </w:tcPr>
          <w:p>
            <w:pPr>
              <w:widowControl/>
              <w:spacing w:line="360" w:lineRule="exact"/>
              <w:jc w:val="left"/>
              <w:rPr>
                <w:rFonts w:eastAsia="宋体"/>
                <w:color w:val="000000"/>
                <w:kern w:val="0"/>
                <w:sz w:val="21"/>
                <w:szCs w:val="21"/>
              </w:rPr>
            </w:pPr>
          </w:p>
        </w:tc>
        <w:tc>
          <w:tcPr>
            <w:tcW w:w="1906" w:type="dxa"/>
            <w:vMerge w:val="continue"/>
            <w:vAlign w:val="center"/>
          </w:tcPr>
          <w:p>
            <w:pPr>
              <w:widowControl/>
              <w:spacing w:line="360" w:lineRule="exact"/>
              <w:jc w:val="left"/>
              <w:rPr>
                <w:rFonts w:eastAsia="宋体"/>
                <w:color w:val="000000"/>
                <w:kern w:val="0"/>
                <w:sz w:val="21"/>
                <w:szCs w:val="21"/>
              </w:rPr>
            </w:pPr>
          </w:p>
        </w:tc>
        <w:tc>
          <w:tcPr>
            <w:tcW w:w="1904" w:type="dxa"/>
            <w:vMerge w:val="restart"/>
            <w:vAlign w:val="center"/>
          </w:tcPr>
          <w:p>
            <w:pPr>
              <w:widowControl/>
              <w:spacing w:line="360" w:lineRule="exact"/>
              <w:jc w:val="center"/>
              <w:rPr>
                <w:rFonts w:ascii="宋体" w:hAnsi="宋体" w:eastAsia="宋体"/>
                <w:color w:val="000000"/>
                <w:kern w:val="0"/>
                <w:sz w:val="21"/>
                <w:szCs w:val="21"/>
              </w:rPr>
            </w:pPr>
            <w:r>
              <w:rPr>
                <w:rFonts w:hint="eastAsia" w:ascii="宋体" w:hAnsi="宋体" w:eastAsia="宋体"/>
                <w:color w:val="000000"/>
                <w:kern w:val="0"/>
                <w:sz w:val="21"/>
                <w:szCs w:val="21"/>
              </w:rPr>
              <w:t>变电站、换流站</w:t>
            </w:r>
          </w:p>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开关站、串补站</w:t>
            </w:r>
          </w:p>
        </w:tc>
        <w:tc>
          <w:tcPr>
            <w:tcW w:w="4690" w:type="dxa"/>
            <w:gridSpan w:val="2"/>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线路</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7" w:type="dxa"/>
            <w:vMerge w:val="continue"/>
            <w:vAlign w:val="center"/>
          </w:tcPr>
          <w:p>
            <w:pPr>
              <w:widowControl/>
              <w:spacing w:line="360" w:lineRule="exact"/>
              <w:jc w:val="left"/>
              <w:rPr>
                <w:rFonts w:eastAsia="宋体"/>
                <w:color w:val="000000"/>
                <w:kern w:val="0"/>
                <w:sz w:val="21"/>
                <w:szCs w:val="21"/>
              </w:rPr>
            </w:pPr>
          </w:p>
        </w:tc>
        <w:tc>
          <w:tcPr>
            <w:tcW w:w="1906" w:type="dxa"/>
            <w:vMerge w:val="continue"/>
            <w:vAlign w:val="center"/>
          </w:tcPr>
          <w:p>
            <w:pPr>
              <w:widowControl/>
              <w:spacing w:line="360" w:lineRule="exact"/>
              <w:jc w:val="left"/>
              <w:rPr>
                <w:rFonts w:eastAsia="宋体"/>
                <w:color w:val="000000"/>
                <w:kern w:val="0"/>
                <w:sz w:val="21"/>
                <w:szCs w:val="21"/>
              </w:rPr>
            </w:pPr>
          </w:p>
        </w:tc>
        <w:tc>
          <w:tcPr>
            <w:tcW w:w="1904" w:type="dxa"/>
            <w:vMerge w:val="continue"/>
            <w:vAlign w:val="center"/>
          </w:tcPr>
          <w:p>
            <w:pPr>
              <w:widowControl/>
              <w:spacing w:line="360" w:lineRule="exact"/>
              <w:jc w:val="left"/>
              <w:rPr>
                <w:rFonts w:eastAsia="宋体"/>
                <w:color w:val="000000"/>
                <w:kern w:val="0"/>
                <w:sz w:val="21"/>
                <w:szCs w:val="21"/>
              </w:rPr>
            </w:pPr>
          </w:p>
        </w:tc>
        <w:tc>
          <w:tcPr>
            <w:tcW w:w="317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架空线路</w:t>
            </w:r>
          </w:p>
        </w:tc>
        <w:tc>
          <w:tcPr>
            <w:tcW w:w="1516"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地下电缆</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7" w:type="dxa"/>
            <w:vMerge w:val="restart"/>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交流</w:t>
            </w:r>
          </w:p>
        </w:tc>
        <w:tc>
          <w:tcPr>
            <w:tcW w:w="1906"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110kV</w:t>
            </w:r>
          </w:p>
        </w:tc>
        <w:tc>
          <w:tcPr>
            <w:tcW w:w="190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站界外</w:t>
            </w:r>
            <w:r>
              <w:rPr>
                <w:rFonts w:eastAsia="宋体"/>
                <w:color w:val="000000"/>
                <w:kern w:val="0"/>
                <w:sz w:val="21"/>
                <w:szCs w:val="21"/>
              </w:rPr>
              <w:t>30m</w:t>
            </w:r>
          </w:p>
        </w:tc>
        <w:tc>
          <w:tcPr>
            <w:tcW w:w="317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边导线地面投影两侧各</w:t>
            </w:r>
            <w:r>
              <w:rPr>
                <w:rFonts w:eastAsia="宋体"/>
                <w:color w:val="000000"/>
                <w:kern w:val="0"/>
                <w:sz w:val="21"/>
                <w:szCs w:val="21"/>
              </w:rPr>
              <w:t>30m</w:t>
            </w:r>
          </w:p>
        </w:tc>
        <w:tc>
          <w:tcPr>
            <w:tcW w:w="1516" w:type="dxa"/>
            <w:vMerge w:val="restart"/>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电缆管廊两侧边缘各外延</w:t>
            </w:r>
            <w:r>
              <w:rPr>
                <w:rFonts w:eastAsia="宋体"/>
                <w:color w:val="000000"/>
                <w:kern w:val="0"/>
                <w:sz w:val="21"/>
                <w:szCs w:val="21"/>
              </w:rPr>
              <w:t>5m(</w:t>
            </w:r>
            <w:r>
              <w:rPr>
                <w:rFonts w:hint="eastAsia" w:ascii="宋体" w:hAnsi="宋体" w:eastAsia="宋体"/>
                <w:color w:val="000000"/>
                <w:kern w:val="0"/>
                <w:sz w:val="21"/>
                <w:szCs w:val="21"/>
              </w:rPr>
              <w:t>水平距离</w:t>
            </w:r>
            <w:r>
              <w:rPr>
                <w:rFonts w:eastAsia="宋体"/>
                <w:color w:val="000000"/>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7" w:type="dxa"/>
            <w:vMerge w:val="continue"/>
            <w:vAlign w:val="center"/>
          </w:tcPr>
          <w:p>
            <w:pPr>
              <w:widowControl/>
              <w:spacing w:line="360" w:lineRule="exact"/>
              <w:jc w:val="left"/>
              <w:rPr>
                <w:rFonts w:eastAsia="宋体"/>
                <w:color w:val="000000"/>
                <w:kern w:val="0"/>
                <w:sz w:val="21"/>
                <w:szCs w:val="21"/>
              </w:rPr>
            </w:pPr>
          </w:p>
        </w:tc>
        <w:tc>
          <w:tcPr>
            <w:tcW w:w="1906"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220~330kV</w:t>
            </w:r>
          </w:p>
        </w:tc>
        <w:tc>
          <w:tcPr>
            <w:tcW w:w="190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站界外</w:t>
            </w:r>
            <w:r>
              <w:rPr>
                <w:rFonts w:eastAsia="宋体"/>
                <w:color w:val="000000"/>
                <w:kern w:val="0"/>
                <w:sz w:val="21"/>
                <w:szCs w:val="21"/>
              </w:rPr>
              <w:t>40m</w:t>
            </w:r>
          </w:p>
        </w:tc>
        <w:tc>
          <w:tcPr>
            <w:tcW w:w="317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边导线地面投影两侧各</w:t>
            </w:r>
            <w:r>
              <w:rPr>
                <w:rFonts w:eastAsia="宋体"/>
                <w:color w:val="000000"/>
                <w:kern w:val="0"/>
                <w:sz w:val="21"/>
                <w:szCs w:val="21"/>
              </w:rPr>
              <w:t>40m</w:t>
            </w:r>
          </w:p>
        </w:tc>
        <w:tc>
          <w:tcPr>
            <w:tcW w:w="1516" w:type="dxa"/>
            <w:vMerge w:val="continue"/>
            <w:vAlign w:val="center"/>
          </w:tcPr>
          <w:p>
            <w:pPr>
              <w:widowControl/>
              <w:spacing w:line="360" w:lineRule="exact"/>
              <w:jc w:val="left"/>
              <w:rPr>
                <w:rFonts w:eastAsia="宋体"/>
                <w:color w:val="00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7" w:type="dxa"/>
            <w:vMerge w:val="continue"/>
            <w:vAlign w:val="center"/>
          </w:tcPr>
          <w:p>
            <w:pPr>
              <w:widowControl/>
              <w:spacing w:line="360" w:lineRule="exact"/>
              <w:jc w:val="left"/>
              <w:rPr>
                <w:rFonts w:eastAsia="宋体"/>
                <w:color w:val="000000"/>
                <w:kern w:val="0"/>
                <w:sz w:val="21"/>
                <w:szCs w:val="21"/>
              </w:rPr>
            </w:pPr>
          </w:p>
        </w:tc>
        <w:tc>
          <w:tcPr>
            <w:tcW w:w="1906"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500kV</w:t>
            </w:r>
            <w:r>
              <w:rPr>
                <w:rFonts w:hint="eastAsia" w:ascii="宋体" w:hAnsi="宋体" w:eastAsia="宋体"/>
                <w:color w:val="000000"/>
                <w:kern w:val="0"/>
                <w:sz w:val="21"/>
                <w:szCs w:val="21"/>
              </w:rPr>
              <w:t>及以上</w:t>
            </w:r>
          </w:p>
        </w:tc>
        <w:tc>
          <w:tcPr>
            <w:tcW w:w="190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站界外</w:t>
            </w:r>
            <w:r>
              <w:rPr>
                <w:rFonts w:eastAsia="宋体"/>
                <w:color w:val="000000"/>
                <w:kern w:val="0"/>
                <w:sz w:val="21"/>
                <w:szCs w:val="21"/>
              </w:rPr>
              <w:t>50m</w:t>
            </w:r>
          </w:p>
        </w:tc>
        <w:tc>
          <w:tcPr>
            <w:tcW w:w="317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边导线地面投影两侧各</w:t>
            </w:r>
            <w:r>
              <w:rPr>
                <w:rFonts w:eastAsia="宋体"/>
                <w:color w:val="000000"/>
                <w:kern w:val="0"/>
                <w:sz w:val="21"/>
                <w:szCs w:val="21"/>
              </w:rPr>
              <w:t>50m</w:t>
            </w:r>
          </w:p>
        </w:tc>
        <w:tc>
          <w:tcPr>
            <w:tcW w:w="1516" w:type="dxa"/>
            <w:vMerge w:val="continue"/>
            <w:vAlign w:val="center"/>
          </w:tcPr>
          <w:p>
            <w:pPr>
              <w:widowControl/>
              <w:spacing w:line="360" w:lineRule="exact"/>
              <w:jc w:val="left"/>
              <w:rPr>
                <w:rFonts w:eastAsia="宋体"/>
                <w:color w:val="00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87"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直流</w:t>
            </w:r>
          </w:p>
        </w:tc>
        <w:tc>
          <w:tcPr>
            <w:tcW w:w="1906" w:type="dxa"/>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±100kV</w:t>
            </w:r>
            <w:r>
              <w:rPr>
                <w:rFonts w:hint="eastAsia" w:ascii="宋体" w:hAnsi="宋体" w:eastAsia="宋体"/>
                <w:color w:val="000000"/>
                <w:kern w:val="0"/>
                <w:sz w:val="21"/>
                <w:szCs w:val="21"/>
              </w:rPr>
              <w:t>及以上</w:t>
            </w:r>
          </w:p>
        </w:tc>
        <w:tc>
          <w:tcPr>
            <w:tcW w:w="190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站界外</w:t>
            </w:r>
            <w:r>
              <w:rPr>
                <w:rFonts w:eastAsia="宋体"/>
                <w:color w:val="000000"/>
                <w:kern w:val="0"/>
                <w:sz w:val="21"/>
                <w:szCs w:val="21"/>
              </w:rPr>
              <w:t>50m</w:t>
            </w:r>
          </w:p>
        </w:tc>
        <w:tc>
          <w:tcPr>
            <w:tcW w:w="3174" w:type="dxa"/>
            <w:vAlign w:val="center"/>
          </w:tcPr>
          <w:p>
            <w:pPr>
              <w:widowControl/>
              <w:spacing w:line="360" w:lineRule="exact"/>
              <w:jc w:val="center"/>
              <w:rPr>
                <w:rFonts w:eastAsia="宋体"/>
                <w:color w:val="000000"/>
                <w:kern w:val="0"/>
                <w:sz w:val="21"/>
                <w:szCs w:val="21"/>
              </w:rPr>
            </w:pPr>
            <w:r>
              <w:rPr>
                <w:rFonts w:hint="eastAsia" w:ascii="宋体" w:hAnsi="宋体" w:eastAsia="宋体"/>
                <w:color w:val="000000"/>
                <w:kern w:val="0"/>
                <w:sz w:val="21"/>
                <w:szCs w:val="21"/>
              </w:rPr>
              <w:t>边导线地面投影两侧各</w:t>
            </w:r>
            <w:r>
              <w:rPr>
                <w:rFonts w:eastAsia="宋体"/>
                <w:color w:val="000000"/>
                <w:kern w:val="0"/>
                <w:sz w:val="21"/>
                <w:szCs w:val="21"/>
              </w:rPr>
              <w:t>50m</w:t>
            </w:r>
          </w:p>
        </w:tc>
        <w:tc>
          <w:tcPr>
            <w:tcW w:w="1516" w:type="dxa"/>
            <w:vMerge w:val="continue"/>
            <w:vAlign w:val="center"/>
          </w:tcPr>
          <w:p>
            <w:pPr>
              <w:widowControl/>
              <w:spacing w:line="360" w:lineRule="exact"/>
              <w:jc w:val="left"/>
              <w:rPr>
                <w:rFonts w:eastAsia="宋体"/>
                <w:color w:val="000000"/>
                <w:kern w:val="0"/>
                <w:sz w:val="21"/>
                <w:szCs w:val="21"/>
              </w:rPr>
            </w:pPr>
          </w:p>
        </w:tc>
      </w:tr>
    </w:tbl>
    <w:p>
      <w:pPr>
        <w:spacing w:line="520" w:lineRule="exact"/>
        <w:ind w:firstLine="480" w:firstLineChars="200"/>
        <w:jc w:val="left"/>
        <w:rPr>
          <w:rFonts w:eastAsia="宋体"/>
          <w:sz w:val="24"/>
        </w:rPr>
      </w:pPr>
      <w:r>
        <w:rPr>
          <w:rFonts w:hAnsi="宋体" w:eastAsia="宋体"/>
          <w:sz w:val="24"/>
        </w:rPr>
        <w:t>因此，本项目升压站电磁环境评价范围为站界外</w:t>
      </w:r>
      <w:r>
        <w:rPr>
          <w:rFonts w:eastAsia="宋体"/>
          <w:sz w:val="24"/>
        </w:rPr>
        <w:t>30m</w:t>
      </w:r>
      <w:r>
        <w:rPr>
          <w:rFonts w:hAnsi="宋体" w:eastAsia="宋体"/>
          <w:sz w:val="24"/>
        </w:rPr>
        <w:t>，架空段输电线路评价范围为边导线地面投影外两侧各</w:t>
      </w:r>
      <w:r>
        <w:rPr>
          <w:rFonts w:eastAsia="宋体"/>
          <w:sz w:val="24"/>
        </w:rPr>
        <w:t>30m</w:t>
      </w:r>
      <w:r>
        <w:rPr>
          <w:rFonts w:hAnsi="宋体" w:eastAsia="宋体"/>
          <w:sz w:val="24"/>
        </w:rPr>
        <w:t>。</w:t>
      </w:r>
    </w:p>
    <w:p>
      <w:pPr>
        <w:widowControl/>
        <w:adjustRightInd w:val="0"/>
        <w:snapToGrid w:val="0"/>
        <w:spacing w:line="520" w:lineRule="exact"/>
        <w:jc w:val="left"/>
        <w:rPr>
          <w:rFonts w:eastAsia="宋体"/>
          <w:b/>
          <w:kern w:val="0"/>
          <w:sz w:val="24"/>
          <w:szCs w:val="22"/>
        </w:rPr>
      </w:pPr>
      <w:bookmarkStart w:id="58" w:name="_Toc437271382"/>
      <w:bookmarkStart w:id="59" w:name="_Toc437271454"/>
      <w:bookmarkStart w:id="60" w:name="_Toc433361795"/>
      <w:bookmarkStart w:id="61" w:name="_Toc466491508"/>
      <w:bookmarkStart w:id="62" w:name="_Toc485813669"/>
      <w:r>
        <w:rPr>
          <w:rFonts w:hint="eastAsia" w:eastAsia="宋体"/>
          <w:b/>
          <w:kern w:val="0"/>
          <w:sz w:val="24"/>
          <w:szCs w:val="22"/>
        </w:rPr>
        <w:t>1.6</w:t>
      </w:r>
      <w:r>
        <w:rPr>
          <w:rFonts w:eastAsia="宋体"/>
          <w:b/>
          <w:kern w:val="0"/>
          <w:sz w:val="24"/>
          <w:szCs w:val="22"/>
        </w:rPr>
        <w:t>评价相关标准</w:t>
      </w:r>
      <w:bookmarkEnd w:id="58"/>
      <w:bookmarkEnd w:id="59"/>
      <w:bookmarkEnd w:id="60"/>
      <w:bookmarkEnd w:id="61"/>
      <w:bookmarkEnd w:id="62"/>
    </w:p>
    <w:p>
      <w:pPr>
        <w:spacing w:line="520" w:lineRule="exact"/>
        <w:ind w:firstLine="480" w:firstLineChars="200"/>
        <w:jc w:val="left"/>
        <w:rPr>
          <w:rFonts w:eastAsia="宋体"/>
          <w:sz w:val="24"/>
        </w:rPr>
      </w:pPr>
      <w:r>
        <w:rPr>
          <w:rFonts w:hAnsi="宋体" w:eastAsia="宋体"/>
          <w:sz w:val="24"/>
        </w:rPr>
        <w:t>（</w:t>
      </w:r>
      <w:r>
        <w:rPr>
          <w:rFonts w:eastAsia="宋体"/>
          <w:sz w:val="24"/>
        </w:rPr>
        <w:t>1</w:t>
      </w:r>
      <w:r>
        <w:rPr>
          <w:rFonts w:hAnsi="宋体" w:eastAsia="宋体"/>
          <w:sz w:val="24"/>
        </w:rPr>
        <w:t>）《环境影响评价技术导则</w:t>
      </w:r>
      <w:r>
        <w:rPr>
          <w:rFonts w:eastAsia="宋体"/>
          <w:sz w:val="24"/>
        </w:rPr>
        <w:t xml:space="preserve">  </w:t>
      </w:r>
      <w:r>
        <w:rPr>
          <w:rFonts w:hAnsi="宋体" w:eastAsia="宋体"/>
          <w:sz w:val="24"/>
        </w:rPr>
        <w:t>输变电工程》</w:t>
      </w:r>
      <w:r>
        <w:rPr>
          <w:rFonts w:eastAsia="宋体"/>
          <w:sz w:val="24"/>
        </w:rPr>
        <w:t>HJ 24-2014</w:t>
      </w:r>
      <w:r>
        <w:rPr>
          <w:rFonts w:hAnsi="宋体" w:eastAsia="宋体"/>
          <w:sz w:val="24"/>
        </w:rPr>
        <w:t>；</w:t>
      </w:r>
    </w:p>
    <w:p>
      <w:pPr>
        <w:spacing w:line="520" w:lineRule="exact"/>
        <w:ind w:firstLine="480" w:firstLineChars="200"/>
        <w:jc w:val="left"/>
        <w:rPr>
          <w:rFonts w:eastAsia="宋体"/>
          <w:sz w:val="24"/>
        </w:rPr>
      </w:pPr>
      <w:r>
        <w:rPr>
          <w:rFonts w:hAnsi="宋体" w:eastAsia="宋体"/>
          <w:sz w:val="24"/>
        </w:rPr>
        <w:t>（</w:t>
      </w:r>
      <w:r>
        <w:rPr>
          <w:rFonts w:eastAsia="宋体"/>
          <w:sz w:val="24"/>
        </w:rPr>
        <w:t>2</w:t>
      </w:r>
      <w:r>
        <w:rPr>
          <w:rFonts w:hAnsi="宋体" w:eastAsia="宋体"/>
          <w:sz w:val="24"/>
        </w:rPr>
        <w:t>）《电磁环境控制限值》</w:t>
      </w:r>
      <w:r>
        <w:rPr>
          <w:rFonts w:eastAsia="宋体"/>
          <w:sz w:val="24"/>
        </w:rPr>
        <w:t>GB 8702-2014</w:t>
      </w:r>
      <w:r>
        <w:rPr>
          <w:rFonts w:hAnsi="宋体" w:eastAsia="宋体"/>
          <w:sz w:val="24"/>
        </w:rPr>
        <w:t>；</w:t>
      </w:r>
    </w:p>
    <w:p>
      <w:pPr>
        <w:spacing w:line="520" w:lineRule="exact"/>
        <w:ind w:firstLine="480" w:firstLineChars="200"/>
        <w:jc w:val="left"/>
        <w:rPr>
          <w:rFonts w:eastAsia="宋体"/>
          <w:sz w:val="24"/>
        </w:rPr>
      </w:pPr>
      <w:r>
        <w:rPr>
          <w:rFonts w:hAnsi="宋体" w:eastAsia="宋体"/>
          <w:sz w:val="24"/>
        </w:rPr>
        <w:t>（</w:t>
      </w:r>
      <w:r>
        <w:rPr>
          <w:rFonts w:eastAsia="宋体"/>
          <w:sz w:val="24"/>
        </w:rPr>
        <w:t>3</w:t>
      </w:r>
      <w:r>
        <w:rPr>
          <w:rFonts w:hAnsi="宋体" w:eastAsia="宋体"/>
          <w:sz w:val="24"/>
        </w:rPr>
        <w:t>）《交流输变电工程电磁环境监测方法（试行）》（</w:t>
      </w:r>
      <w:r>
        <w:rPr>
          <w:rFonts w:eastAsia="宋体"/>
          <w:sz w:val="24"/>
        </w:rPr>
        <w:t>HJ 681-2013</w:t>
      </w:r>
      <w:r>
        <w:rPr>
          <w:rFonts w:hAnsi="宋体" w:eastAsia="宋体"/>
          <w:sz w:val="24"/>
        </w:rPr>
        <w:t>）。</w:t>
      </w:r>
    </w:p>
    <w:p>
      <w:pPr>
        <w:widowControl/>
        <w:adjustRightInd w:val="0"/>
        <w:snapToGrid w:val="0"/>
        <w:spacing w:line="520" w:lineRule="exact"/>
        <w:jc w:val="left"/>
        <w:rPr>
          <w:rFonts w:eastAsia="宋体"/>
          <w:b/>
          <w:kern w:val="0"/>
          <w:sz w:val="24"/>
          <w:szCs w:val="22"/>
        </w:rPr>
      </w:pPr>
      <w:bookmarkStart w:id="63" w:name="_Toc485813670"/>
      <w:bookmarkStart w:id="64" w:name="_Toc466491509"/>
      <w:bookmarkStart w:id="65" w:name="_Toc437271383"/>
      <w:bookmarkStart w:id="66" w:name="_Toc437271455"/>
      <w:bookmarkStart w:id="67" w:name="_Toc433361796"/>
      <w:r>
        <w:rPr>
          <w:rFonts w:hint="eastAsia" w:eastAsia="宋体"/>
          <w:b/>
          <w:kern w:val="0"/>
          <w:sz w:val="24"/>
          <w:szCs w:val="22"/>
        </w:rPr>
        <w:t>1.7电磁</w:t>
      </w:r>
      <w:r>
        <w:rPr>
          <w:rFonts w:eastAsia="宋体"/>
          <w:b/>
          <w:kern w:val="0"/>
          <w:sz w:val="24"/>
          <w:szCs w:val="22"/>
        </w:rPr>
        <w:t>环境保护目标</w:t>
      </w:r>
      <w:bookmarkEnd w:id="63"/>
      <w:bookmarkEnd w:id="64"/>
      <w:bookmarkEnd w:id="65"/>
      <w:bookmarkEnd w:id="66"/>
      <w:bookmarkEnd w:id="67"/>
    </w:p>
    <w:p>
      <w:pPr>
        <w:spacing w:line="520" w:lineRule="exact"/>
        <w:ind w:firstLine="480" w:firstLineChars="200"/>
        <w:jc w:val="left"/>
        <w:rPr>
          <w:rFonts w:eastAsia="宋体"/>
          <w:sz w:val="24"/>
        </w:rPr>
      </w:pPr>
      <w:r>
        <w:rPr>
          <w:rFonts w:hAnsi="宋体" w:eastAsia="宋体"/>
          <w:sz w:val="24"/>
        </w:rPr>
        <w:t>根据现场勘查及项目相关资料，本项目共有</w:t>
      </w:r>
      <w:r>
        <w:rPr>
          <w:rFonts w:eastAsia="宋体"/>
          <w:sz w:val="24"/>
        </w:rPr>
        <w:t>5</w:t>
      </w:r>
      <w:r>
        <w:rPr>
          <w:rFonts w:hAnsi="宋体" w:eastAsia="宋体"/>
          <w:sz w:val="24"/>
        </w:rPr>
        <w:t>处</w:t>
      </w:r>
      <w:r>
        <w:rPr>
          <w:rFonts w:hint="eastAsia" w:hAnsi="宋体" w:eastAsia="宋体"/>
          <w:sz w:val="24"/>
        </w:rPr>
        <w:t>电磁</w:t>
      </w:r>
      <w:r>
        <w:rPr>
          <w:rFonts w:hAnsi="宋体" w:eastAsia="宋体"/>
          <w:sz w:val="24"/>
        </w:rPr>
        <w:t>环境保护目标，评价范围内主要环境保护目标见表</w:t>
      </w:r>
      <w:r>
        <w:rPr>
          <w:rFonts w:hint="eastAsia" w:eastAsia="宋体"/>
          <w:sz w:val="24"/>
        </w:rPr>
        <w:t>4</w:t>
      </w:r>
      <w:r>
        <w:rPr>
          <w:rFonts w:hAnsi="宋体" w:eastAsia="宋体"/>
          <w:sz w:val="24"/>
        </w:rPr>
        <w:t>。</w:t>
      </w:r>
    </w:p>
    <w:p>
      <w:pPr>
        <w:pStyle w:val="4"/>
        <w:adjustRightInd w:val="0"/>
        <w:snapToGrid w:val="0"/>
        <w:spacing w:line="520" w:lineRule="exact"/>
        <w:ind w:firstLine="480" w:firstLineChars="200"/>
        <w:rPr>
          <w:rFonts w:ascii="Times New Roman" w:hAnsi="Times New Roman"/>
          <w:sz w:val="24"/>
          <w:szCs w:val="21"/>
        </w:rPr>
      </w:pPr>
      <w:r>
        <w:rPr>
          <w:rFonts w:ascii="Times New Roman" w:hAnsi="黑体"/>
          <w:sz w:val="24"/>
          <w:szCs w:val="21"/>
        </w:rPr>
        <w:t>表</w:t>
      </w:r>
      <w:r>
        <w:rPr>
          <w:rFonts w:ascii="Times New Roman" w:hAnsi="Times New Roman"/>
          <w:sz w:val="24"/>
          <w:szCs w:val="21"/>
        </w:rPr>
        <w:t xml:space="preserve">4                   </w:t>
      </w:r>
      <w:r>
        <w:rPr>
          <w:rFonts w:ascii="Times New Roman" w:hAnsi="黑体"/>
          <w:sz w:val="24"/>
          <w:szCs w:val="21"/>
        </w:rPr>
        <w:t>评价范围内主要环境保护目标</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805"/>
        <w:gridCol w:w="993"/>
        <w:gridCol w:w="1559"/>
        <w:gridCol w:w="850"/>
        <w:gridCol w:w="1048"/>
        <w:gridCol w:w="1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序号</w:t>
            </w:r>
          </w:p>
        </w:tc>
        <w:tc>
          <w:tcPr>
            <w:tcW w:w="1805"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敏感点名称</w:t>
            </w:r>
          </w:p>
        </w:tc>
        <w:tc>
          <w:tcPr>
            <w:tcW w:w="993"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所属行政区域</w:t>
            </w:r>
          </w:p>
        </w:tc>
        <w:tc>
          <w:tcPr>
            <w:tcW w:w="1559"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现状方位及距离</w:t>
            </w:r>
          </w:p>
        </w:tc>
        <w:tc>
          <w:tcPr>
            <w:tcW w:w="850"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规模</w:t>
            </w:r>
          </w:p>
        </w:tc>
        <w:tc>
          <w:tcPr>
            <w:tcW w:w="1048"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房屋结构</w:t>
            </w:r>
          </w:p>
        </w:tc>
        <w:tc>
          <w:tcPr>
            <w:tcW w:w="1696"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可能的影响因子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1</w:t>
            </w:r>
          </w:p>
        </w:tc>
        <w:tc>
          <w:tcPr>
            <w:tcW w:w="1805" w:type="dxa"/>
            <w:vAlign w:val="center"/>
          </w:tcPr>
          <w:p>
            <w:pPr>
              <w:widowControl/>
              <w:spacing w:line="360" w:lineRule="exact"/>
              <w:jc w:val="center"/>
              <w:rPr>
                <w:rFonts w:eastAsia="宋体"/>
                <w:color w:val="000000"/>
                <w:kern w:val="0"/>
                <w:sz w:val="21"/>
              </w:rPr>
            </w:pPr>
            <w:r>
              <w:rPr>
                <w:rFonts w:hAnsi="宋体" w:eastAsia="宋体"/>
                <w:color w:val="000000"/>
                <w:kern w:val="0"/>
                <w:sz w:val="21"/>
              </w:rPr>
              <w:t>杨桥村常海超家</w:t>
            </w:r>
          </w:p>
        </w:tc>
        <w:tc>
          <w:tcPr>
            <w:tcW w:w="993"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禹州市</w:t>
            </w:r>
          </w:p>
        </w:tc>
        <w:tc>
          <w:tcPr>
            <w:tcW w:w="1559"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线北侧</w:t>
            </w:r>
            <w:r>
              <w:rPr>
                <w:rFonts w:ascii="Times New Roman" w:hAnsi="Times New Roman" w:eastAsia="宋体"/>
                <w:sz w:val="21"/>
                <w:szCs w:val="21"/>
              </w:rPr>
              <w:t>20m</w:t>
            </w:r>
          </w:p>
        </w:tc>
        <w:tc>
          <w:tcPr>
            <w:tcW w:w="850" w:type="dxa"/>
            <w:vAlign w:val="center"/>
          </w:tcPr>
          <w:p>
            <w:pPr>
              <w:pStyle w:val="4"/>
              <w:spacing w:line="360" w:lineRule="exact"/>
              <w:jc w:val="center"/>
              <w:rPr>
                <w:rFonts w:ascii="Times New Roman" w:hAnsi="Times New Roman" w:eastAsia="宋体"/>
                <w:sz w:val="21"/>
                <w:szCs w:val="21"/>
              </w:rPr>
            </w:pPr>
            <w:r>
              <w:rPr>
                <w:rFonts w:ascii="Times New Roman" w:hAnsi="Times New Roman" w:eastAsia="宋体"/>
                <w:sz w:val="21"/>
                <w:szCs w:val="21"/>
              </w:rPr>
              <w:t>5-6</w:t>
            </w:r>
            <w:r>
              <w:rPr>
                <w:rFonts w:ascii="Times New Roman" w:hAnsi="宋体" w:eastAsia="宋体"/>
                <w:sz w:val="21"/>
                <w:szCs w:val="21"/>
              </w:rPr>
              <w:t>人</w:t>
            </w:r>
          </w:p>
        </w:tc>
        <w:tc>
          <w:tcPr>
            <w:tcW w:w="1048"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c>
          <w:tcPr>
            <w:tcW w:w="1696" w:type="dxa"/>
            <w:vAlign w:val="center"/>
          </w:tcPr>
          <w:p>
            <w:pPr>
              <w:pStyle w:val="4"/>
              <w:spacing w:line="360" w:lineRule="exact"/>
              <w:jc w:val="center"/>
              <w:rPr>
                <w:rFonts w:ascii="宋体" w:hAnsi="宋体" w:eastAsia="宋体"/>
                <w:sz w:val="21"/>
                <w:szCs w:val="21"/>
              </w:rPr>
            </w:pPr>
            <w:r>
              <w:rPr>
                <w:rFonts w:ascii="宋体" w:hAnsi="宋体" w:eastAsia="宋体"/>
                <w:sz w:val="21"/>
                <w:szCs w:val="21"/>
              </w:rPr>
              <w:t>工频电场、工频磁场、噪声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Align w:val="center"/>
          </w:tcPr>
          <w:p>
            <w:pPr>
              <w:pStyle w:val="4"/>
              <w:spacing w:line="360" w:lineRule="exact"/>
              <w:jc w:val="center"/>
              <w:rPr>
                <w:rFonts w:ascii="Times New Roman" w:hAnsi="Times New Roman" w:eastAsia="宋体"/>
                <w:sz w:val="21"/>
                <w:szCs w:val="21"/>
              </w:rPr>
            </w:pPr>
            <w:r>
              <w:rPr>
                <w:rFonts w:hint="eastAsia" w:ascii="Times New Roman" w:hAnsi="Times New Roman" w:eastAsia="宋体"/>
                <w:sz w:val="21"/>
                <w:szCs w:val="21"/>
              </w:rPr>
              <w:t>2</w:t>
            </w:r>
          </w:p>
        </w:tc>
        <w:tc>
          <w:tcPr>
            <w:tcW w:w="1805" w:type="dxa"/>
            <w:vAlign w:val="center"/>
          </w:tcPr>
          <w:p>
            <w:pPr>
              <w:spacing w:line="360" w:lineRule="exact"/>
              <w:jc w:val="center"/>
              <w:rPr>
                <w:rFonts w:eastAsia="宋体"/>
                <w:color w:val="000000"/>
                <w:sz w:val="21"/>
              </w:rPr>
            </w:pPr>
            <w:r>
              <w:rPr>
                <w:rFonts w:hAnsi="宋体" w:eastAsia="宋体"/>
                <w:color w:val="000000"/>
                <w:sz w:val="21"/>
              </w:rPr>
              <w:t>张垌村王娟家</w:t>
            </w:r>
          </w:p>
        </w:tc>
        <w:tc>
          <w:tcPr>
            <w:tcW w:w="993"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禹州市</w:t>
            </w:r>
          </w:p>
        </w:tc>
        <w:tc>
          <w:tcPr>
            <w:tcW w:w="1559"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南</w:t>
            </w:r>
            <w:r>
              <w:rPr>
                <w:rFonts w:ascii="Times New Roman" w:hAnsi="宋体" w:eastAsia="宋体"/>
                <w:sz w:val="21"/>
                <w:szCs w:val="21"/>
              </w:rPr>
              <w:t>侧</w:t>
            </w:r>
            <w:r>
              <w:rPr>
                <w:rFonts w:hint="eastAsia" w:ascii="Times New Roman" w:hAnsi="Times New Roman" w:eastAsia="宋体"/>
                <w:sz w:val="21"/>
                <w:szCs w:val="21"/>
              </w:rPr>
              <w:t>18</w:t>
            </w:r>
            <w:r>
              <w:rPr>
                <w:rFonts w:ascii="Times New Roman" w:hAnsi="Times New Roman" w:eastAsia="宋体"/>
                <w:sz w:val="21"/>
                <w:szCs w:val="21"/>
              </w:rPr>
              <w:t>m</w:t>
            </w:r>
          </w:p>
        </w:tc>
        <w:tc>
          <w:tcPr>
            <w:tcW w:w="850" w:type="dxa"/>
            <w:vAlign w:val="center"/>
          </w:tcPr>
          <w:p>
            <w:pPr>
              <w:pStyle w:val="4"/>
              <w:spacing w:line="360" w:lineRule="exact"/>
              <w:jc w:val="center"/>
              <w:rPr>
                <w:rFonts w:ascii="Times New Roman" w:hAnsi="Times New Roman" w:eastAsia="宋体"/>
                <w:sz w:val="21"/>
              </w:rPr>
            </w:pPr>
            <w:r>
              <w:rPr>
                <w:rFonts w:ascii="Times New Roman" w:hAnsi="Times New Roman" w:eastAsia="宋体"/>
                <w:sz w:val="21"/>
                <w:szCs w:val="21"/>
              </w:rPr>
              <w:t>2-4</w:t>
            </w:r>
            <w:r>
              <w:rPr>
                <w:rFonts w:ascii="Times New Roman" w:hAnsi="宋体" w:eastAsia="宋体"/>
                <w:sz w:val="21"/>
                <w:szCs w:val="21"/>
              </w:rPr>
              <w:t>人</w:t>
            </w:r>
          </w:p>
        </w:tc>
        <w:tc>
          <w:tcPr>
            <w:tcW w:w="1048"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c>
          <w:tcPr>
            <w:tcW w:w="1696" w:type="dxa"/>
            <w:vAlign w:val="center"/>
          </w:tcPr>
          <w:p>
            <w:pPr>
              <w:pStyle w:val="4"/>
              <w:spacing w:line="360" w:lineRule="exact"/>
              <w:jc w:val="center"/>
              <w:rPr>
                <w:rFonts w:ascii="宋体" w:hAnsi="宋体" w:eastAsia="宋体"/>
                <w:sz w:val="21"/>
                <w:szCs w:val="21"/>
              </w:rPr>
            </w:pPr>
            <w:r>
              <w:rPr>
                <w:rFonts w:ascii="宋体" w:hAnsi="宋体" w:eastAsia="宋体"/>
                <w:sz w:val="21"/>
                <w:szCs w:val="21"/>
              </w:rPr>
              <w:t>工频电场、工频磁场、噪声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Align w:val="center"/>
          </w:tcPr>
          <w:p>
            <w:pPr>
              <w:pStyle w:val="4"/>
              <w:spacing w:line="360" w:lineRule="exact"/>
              <w:jc w:val="center"/>
              <w:rPr>
                <w:rFonts w:ascii="Times New Roman" w:hAnsi="Times New Roman" w:eastAsia="宋体"/>
                <w:sz w:val="21"/>
                <w:szCs w:val="21"/>
              </w:rPr>
            </w:pPr>
            <w:r>
              <w:rPr>
                <w:rFonts w:hint="eastAsia" w:ascii="Times New Roman" w:hAnsi="Times New Roman" w:eastAsia="宋体"/>
                <w:sz w:val="21"/>
                <w:szCs w:val="21"/>
              </w:rPr>
              <w:t>3</w:t>
            </w:r>
          </w:p>
        </w:tc>
        <w:tc>
          <w:tcPr>
            <w:tcW w:w="1805" w:type="dxa"/>
            <w:vAlign w:val="center"/>
          </w:tcPr>
          <w:p>
            <w:pPr>
              <w:spacing w:line="360" w:lineRule="exact"/>
              <w:jc w:val="center"/>
              <w:rPr>
                <w:rFonts w:eastAsia="宋体"/>
                <w:color w:val="000000"/>
                <w:sz w:val="21"/>
              </w:rPr>
            </w:pPr>
            <w:r>
              <w:rPr>
                <w:rFonts w:hAnsi="宋体" w:eastAsia="宋体"/>
                <w:color w:val="000000"/>
                <w:sz w:val="21"/>
              </w:rPr>
              <w:t>张垌村范国明家</w:t>
            </w:r>
          </w:p>
        </w:tc>
        <w:tc>
          <w:tcPr>
            <w:tcW w:w="993"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禹州市</w:t>
            </w:r>
          </w:p>
        </w:tc>
        <w:tc>
          <w:tcPr>
            <w:tcW w:w="1559"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东北侧27m</w:t>
            </w:r>
          </w:p>
        </w:tc>
        <w:tc>
          <w:tcPr>
            <w:tcW w:w="850" w:type="dxa"/>
            <w:vAlign w:val="center"/>
          </w:tcPr>
          <w:p>
            <w:pPr>
              <w:pStyle w:val="4"/>
              <w:spacing w:line="360" w:lineRule="exact"/>
              <w:jc w:val="center"/>
              <w:rPr>
                <w:rFonts w:ascii="Times New Roman" w:hAnsi="Times New Roman" w:eastAsia="宋体"/>
                <w:sz w:val="21"/>
              </w:rPr>
            </w:pPr>
            <w:r>
              <w:rPr>
                <w:rFonts w:hint="eastAsia" w:ascii="Times New Roman" w:hAnsi="Times New Roman" w:eastAsia="宋体"/>
                <w:sz w:val="21"/>
                <w:szCs w:val="21"/>
              </w:rPr>
              <w:t>2-3</w:t>
            </w:r>
            <w:r>
              <w:rPr>
                <w:rFonts w:ascii="Times New Roman" w:hAnsi="宋体" w:eastAsia="宋体"/>
                <w:sz w:val="21"/>
                <w:szCs w:val="21"/>
              </w:rPr>
              <w:t>人</w:t>
            </w:r>
          </w:p>
        </w:tc>
        <w:tc>
          <w:tcPr>
            <w:tcW w:w="1048"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c>
          <w:tcPr>
            <w:tcW w:w="1696" w:type="dxa"/>
            <w:vAlign w:val="center"/>
          </w:tcPr>
          <w:p>
            <w:pPr>
              <w:pStyle w:val="4"/>
              <w:spacing w:line="360" w:lineRule="exact"/>
              <w:jc w:val="center"/>
              <w:rPr>
                <w:rFonts w:ascii="宋体" w:hAnsi="宋体" w:eastAsia="宋体"/>
                <w:sz w:val="21"/>
                <w:szCs w:val="21"/>
              </w:rPr>
            </w:pPr>
            <w:r>
              <w:rPr>
                <w:rFonts w:ascii="宋体" w:hAnsi="宋体" w:eastAsia="宋体"/>
                <w:sz w:val="21"/>
                <w:szCs w:val="21"/>
              </w:rPr>
              <w:t>工频电场、工频磁场、噪声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Align w:val="center"/>
          </w:tcPr>
          <w:p>
            <w:pPr>
              <w:pStyle w:val="4"/>
              <w:spacing w:line="360" w:lineRule="exact"/>
              <w:jc w:val="center"/>
              <w:rPr>
                <w:rFonts w:ascii="Times New Roman" w:hAnsi="Times New Roman" w:eastAsia="宋体"/>
                <w:sz w:val="21"/>
                <w:szCs w:val="21"/>
              </w:rPr>
            </w:pPr>
            <w:r>
              <w:rPr>
                <w:rFonts w:hint="eastAsia" w:ascii="Times New Roman" w:hAnsi="Times New Roman" w:eastAsia="宋体"/>
                <w:sz w:val="21"/>
                <w:szCs w:val="21"/>
              </w:rPr>
              <w:t>4</w:t>
            </w:r>
          </w:p>
        </w:tc>
        <w:tc>
          <w:tcPr>
            <w:tcW w:w="1805" w:type="dxa"/>
            <w:vAlign w:val="center"/>
          </w:tcPr>
          <w:p>
            <w:pPr>
              <w:spacing w:line="360" w:lineRule="exact"/>
              <w:jc w:val="center"/>
              <w:rPr>
                <w:rFonts w:eastAsia="宋体"/>
                <w:color w:val="000000"/>
                <w:sz w:val="21"/>
              </w:rPr>
            </w:pPr>
            <w:r>
              <w:rPr>
                <w:rFonts w:hAnsi="宋体" w:eastAsia="宋体"/>
                <w:color w:val="000000"/>
                <w:sz w:val="21"/>
              </w:rPr>
              <w:t>黑龙沟于发海家</w:t>
            </w:r>
          </w:p>
        </w:tc>
        <w:tc>
          <w:tcPr>
            <w:tcW w:w="993"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禹州市</w:t>
            </w:r>
          </w:p>
        </w:tc>
        <w:tc>
          <w:tcPr>
            <w:tcW w:w="1559"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15</w:t>
            </w:r>
            <w:r>
              <w:rPr>
                <w:rFonts w:ascii="Times New Roman" w:hAnsi="Times New Roman" w:eastAsia="宋体"/>
                <w:sz w:val="21"/>
                <w:szCs w:val="21"/>
              </w:rPr>
              <w:t>m</w:t>
            </w:r>
          </w:p>
        </w:tc>
        <w:tc>
          <w:tcPr>
            <w:tcW w:w="850" w:type="dxa"/>
            <w:vAlign w:val="center"/>
          </w:tcPr>
          <w:p>
            <w:pPr>
              <w:pStyle w:val="4"/>
              <w:spacing w:line="360" w:lineRule="exact"/>
              <w:jc w:val="center"/>
              <w:rPr>
                <w:rFonts w:ascii="Times New Roman" w:hAnsi="Times New Roman" w:eastAsia="宋体"/>
                <w:sz w:val="21"/>
              </w:rPr>
            </w:pPr>
            <w:r>
              <w:rPr>
                <w:rFonts w:ascii="Times New Roman" w:hAnsi="Times New Roman" w:eastAsia="宋体"/>
                <w:sz w:val="21"/>
                <w:szCs w:val="21"/>
              </w:rPr>
              <w:t>2-4</w:t>
            </w:r>
            <w:r>
              <w:rPr>
                <w:rFonts w:ascii="Times New Roman" w:hAnsi="宋体" w:eastAsia="宋体"/>
                <w:sz w:val="21"/>
                <w:szCs w:val="21"/>
              </w:rPr>
              <w:t>人</w:t>
            </w:r>
          </w:p>
        </w:tc>
        <w:tc>
          <w:tcPr>
            <w:tcW w:w="1048"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c>
          <w:tcPr>
            <w:tcW w:w="1696" w:type="dxa"/>
            <w:vAlign w:val="center"/>
          </w:tcPr>
          <w:p>
            <w:pPr>
              <w:pStyle w:val="4"/>
              <w:spacing w:line="360" w:lineRule="exact"/>
              <w:jc w:val="center"/>
              <w:rPr>
                <w:rFonts w:ascii="宋体" w:hAnsi="宋体" w:eastAsia="宋体"/>
                <w:sz w:val="21"/>
                <w:szCs w:val="21"/>
              </w:rPr>
            </w:pPr>
            <w:r>
              <w:rPr>
                <w:rFonts w:ascii="宋体" w:hAnsi="宋体" w:eastAsia="宋体"/>
                <w:sz w:val="21"/>
                <w:szCs w:val="21"/>
              </w:rPr>
              <w:t>工频电场、工频磁场、噪声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dxa"/>
            <w:vAlign w:val="center"/>
          </w:tcPr>
          <w:p>
            <w:pPr>
              <w:pStyle w:val="4"/>
              <w:spacing w:line="360" w:lineRule="exact"/>
              <w:jc w:val="center"/>
              <w:rPr>
                <w:rFonts w:ascii="Times New Roman" w:hAnsi="Times New Roman" w:eastAsia="宋体"/>
                <w:sz w:val="21"/>
                <w:szCs w:val="21"/>
              </w:rPr>
            </w:pPr>
            <w:r>
              <w:rPr>
                <w:rFonts w:hint="eastAsia" w:ascii="Times New Roman" w:hAnsi="Times New Roman" w:eastAsia="宋体"/>
                <w:sz w:val="21"/>
                <w:szCs w:val="21"/>
              </w:rPr>
              <w:t>5</w:t>
            </w:r>
          </w:p>
        </w:tc>
        <w:tc>
          <w:tcPr>
            <w:tcW w:w="1805" w:type="dxa"/>
            <w:vAlign w:val="center"/>
          </w:tcPr>
          <w:p>
            <w:pPr>
              <w:spacing w:line="360" w:lineRule="exact"/>
              <w:jc w:val="center"/>
              <w:rPr>
                <w:rFonts w:eastAsia="宋体"/>
                <w:color w:val="000000"/>
                <w:sz w:val="21"/>
              </w:rPr>
            </w:pPr>
            <w:r>
              <w:rPr>
                <w:rFonts w:hAnsi="宋体" w:eastAsia="宋体"/>
                <w:color w:val="000000"/>
                <w:sz w:val="21"/>
              </w:rPr>
              <w:t>黑龙沟于保成家</w:t>
            </w:r>
          </w:p>
        </w:tc>
        <w:tc>
          <w:tcPr>
            <w:tcW w:w="993"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禹州市</w:t>
            </w:r>
          </w:p>
        </w:tc>
        <w:tc>
          <w:tcPr>
            <w:tcW w:w="1559"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15</w:t>
            </w:r>
            <w:r>
              <w:rPr>
                <w:rFonts w:ascii="Times New Roman" w:hAnsi="Times New Roman" w:eastAsia="宋体"/>
                <w:sz w:val="21"/>
                <w:szCs w:val="21"/>
              </w:rPr>
              <w:t>m</w:t>
            </w:r>
          </w:p>
        </w:tc>
        <w:tc>
          <w:tcPr>
            <w:tcW w:w="850" w:type="dxa"/>
            <w:vAlign w:val="center"/>
          </w:tcPr>
          <w:p>
            <w:pPr>
              <w:pStyle w:val="4"/>
              <w:spacing w:line="360" w:lineRule="exact"/>
              <w:jc w:val="center"/>
              <w:rPr>
                <w:rFonts w:ascii="Times New Roman" w:hAnsi="Times New Roman" w:eastAsia="宋体"/>
                <w:sz w:val="21"/>
              </w:rPr>
            </w:pPr>
            <w:r>
              <w:rPr>
                <w:rFonts w:ascii="Times New Roman" w:hAnsi="Times New Roman" w:eastAsia="宋体"/>
                <w:sz w:val="21"/>
                <w:szCs w:val="21"/>
              </w:rPr>
              <w:t>2-4</w:t>
            </w:r>
            <w:r>
              <w:rPr>
                <w:rFonts w:ascii="Times New Roman" w:hAnsi="宋体" w:eastAsia="宋体"/>
                <w:sz w:val="21"/>
                <w:szCs w:val="21"/>
              </w:rPr>
              <w:t>人</w:t>
            </w:r>
          </w:p>
        </w:tc>
        <w:tc>
          <w:tcPr>
            <w:tcW w:w="1048" w:type="dxa"/>
            <w:vAlign w:val="center"/>
          </w:tcPr>
          <w:p>
            <w:pPr>
              <w:pStyle w:val="4"/>
              <w:spacing w:line="360" w:lineRule="exact"/>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F</w:t>
            </w:r>
            <w:r>
              <w:rPr>
                <w:rFonts w:hint="eastAsia" w:ascii="宋体" w:hAnsi="宋体" w:eastAsia="宋体"/>
                <w:sz w:val="21"/>
                <w:szCs w:val="21"/>
              </w:rPr>
              <w:t>平顶</w:t>
            </w:r>
          </w:p>
        </w:tc>
        <w:tc>
          <w:tcPr>
            <w:tcW w:w="1696" w:type="dxa"/>
            <w:vAlign w:val="center"/>
          </w:tcPr>
          <w:p>
            <w:pPr>
              <w:pStyle w:val="4"/>
              <w:spacing w:line="360" w:lineRule="exact"/>
              <w:jc w:val="center"/>
              <w:rPr>
                <w:rFonts w:ascii="宋体" w:hAnsi="宋体" w:eastAsia="宋体"/>
                <w:sz w:val="21"/>
                <w:szCs w:val="21"/>
              </w:rPr>
            </w:pPr>
            <w:r>
              <w:rPr>
                <w:rFonts w:ascii="宋体" w:hAnsi="宋体" w:eastAsia="宋体"/>
                <w:sz w:val="21"/>
                <w:szCs w:val="21"/>
              </w:rPr>
              <w:t>工频电场、工频磁场、噪声</w:t>
            </w:r>
          </w:p>
        </w:tc>
      </w:tr>
    </w:tbl>
    <w:p>
      <w:pPr>
        <w:widowControl/>
        <w:adjustRightInd w:val="0"/>
        <w:snapToGrid w:val="0"/>
        <w:spacing w:line="520" w:lineRule="exact"/>
        <w:jc w:val="left"/>
        <w:rPr>
          <w:rFonts w:eastAsia="宋体"/>
          <w:b/>
          <w:kern w:val="0"/>
          <w:sz w:val="24"/>
          <w:szCs w:val="22"/>
        </w:rPr>
      </w:pPr>
      <w:r>
        <w:rPr>
          <w:rFonts w:eastAsia="宋体"/>
          <w:b/>
          <w:kern w:val="0"/>
          <w:sz w:val="24"/>
          <w:szCs w:val="22"/>
        </w:rPr>
        <w:t>2环境影响评价范围</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1 \* GB3 </w:instrText>
      </w:r>
      <w:r>
        <w:rPr>
          <w:rFonts w:eastAsia="宋体"/>
          <w:spacing w:val="-2"/>
          <w:kern w:val="16"/>
          <w:sz w:val="24"/>
        </w:rPr>
        <w:fldChar w:fldCharType="separate"/>
      </w:r>
      <w:r>
        <w:rPr>
          <w:rFonts w:hAnsi="宋体" w:eastAsia="宋体"/>
          <w:spacing w:val="-2"/>
          <w:kern w:val="16"/>
          <w:sz w:val="24"/>
        </w:rPr>
        <w:t>①</w:t>
      </w:r>
      <w:r>
        <w:rPr>
          <w:rFonts w:eastAsia="宋体"/>
          <w:spacing w:val="-2"/>
          <w:kern w:val="16"/>
          <w:sz w:val="24"/>
        </w:rPr>
        <w:fldChar w:fldCharType="end"/>
      </w:r>
      <w:r>
        <w:rPr>
          <w:rFonts w:eastAsia="宋体"/>
          <w:spacing w:val="-2"/>
          <w:kern w:val="16"/>
          <w:sz w:val="24"/>
        </w:rPr>
        <w:t>工频电场、工频磁场</w:t>
      </w:r>
    </w:p>
    <w:p>
      <w:pPr>
        <w:spacing w:line="520" w:lineRule="exact"/>
        <w:ind w:firstLine="480" w:firstLineChars="200"/>
        <w:textAlignment w:val="center"/>
        <w:rPr>
          <w:rFonts w:eastAsia="宋体"/>
        </w:rPr>
      </w:pPr>
      <w:r>
        <w:rPr>
          <w:rFonts w:eastAsia="宋体"/>
          <w:sz w:val="24"/>
        </w:rPr>
        <w:t>升压站：110kV升压站站界外30m。</w:t>
      </w:r>
    </w:p>
    <w:p>
      <w:pPr>
        <w:spacing w:line="520" w:lineRule="exact"/>
        <w:ind w:firstLine="480" w:firstLineChars="200"/>
        <w:textAlignment w:val="center"/>
        <w:rPr>
          <w:rFonts w:eastAsia="宋体"/>
          <w:sz w:val="24"/>
        </w:rPr>
      </w:pPr>
      <w:r>
        <w:rPr>
          <w:rFonts w:eastAsia="宋体"/>
          <w:sz w:val="24"/>
        </w:rPr>
        <w:t>架空输电线路：输电线路边导线地面投影外两侧各30m。</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2 \* GB3 </w:instrText>
      </w:r>
      <w:r>
        <w:rPr>
          <w:rFonts w:eastAsia="宋体"/>
          <w:spacing w:val="-2"/>
          <w:kern w:val="16"/>
          <w:sz w:val="24"/>
        </w:rPr>
        <w:fldChar w:fldCharType="separate"/>
      </w:r>
      <w:r>
        <w:rPr>
          <w:rFonts w:hAnsi="宋体" w:eastAsia="宋体"/>
          <w:spacing w:val="-2"/>
          <w:kern w:val="16"/>
          <w:sz w:val="24"/>
        </w:rPr>
        <w:t>②</w:t>
      </w:r>
      <w:r>
        <w:rPr>
          <w:rFonts w:eastAsia="宋体"/>
          <w:spacing w:val="-2"/>
          <w:kern w:val="16"/>
          <w:sz w:val="24"/>
        </w:rPr>
        <w:fldChar w:fldCharType="end"/>
      </w:r>
      <w:r>
        <w:rPr>
          <w:rFonts w:eastAsia="宋体"/>
          <w:spacing w:val="-2"/>
          <w:kern w:val="16"/>
          <w:sz w:val="24"/>
        </w:rPr>
        <w:t>噪声</w:t>
      </w:r>
    </w:p>
    <w:p>
      <w:pPr>
        <w:spacing w:line="520" w:lineRule="exact"/>
        <w:ind w:firstLine="480" w:firstLineChars="200"/>
        <w:jc w:val="left"/>
        <w:textAlignment w:val="center"/>
        <w:rPr>
          <w:rFonts w:eastAsia="宋体"/>
        </w:rPr>
      </w:pPr>
      <w:r>
        <w:rPr>
          <w:rFonts w:eastAsia="宋体"/>
          <w:sz w:val="24"/>
        </w:rPr>
        <w:t>升压站：升压站边界向外200m。</w:t>
      </w:r>
    </w:p>
    <w:p>
      <w:pPr>
        <w:autoSpaceDE w:val="0"/>
        <w:autoSpaceDN w:val="0"/>
        <w:adjustRightInd w:val="0"/>
        <w:spacing w:line="520" w:lineRule="exact"/>
        <w:ind w:firstLine="480" w:firstLineChars="200"/>
        <w:jc w:val="left"/>
        <w:rPr>
          <w:rFonts w:eastAsia="宋体"/>
          <w:sz w:val="24"/>
        </w:rPr>
      </w:pPr>
      <w:r>
        <w:rPr>
          <w:rFonts w:eastAsia="宋体"/>
          <w:sz w:val="24"/>
        </w:rPr>
        <w:t>架空输电线路：输电线路边导线地面投影外两侧各30m。</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fldChar w:fldCharType="begin"/>
      </w:r>
      <w:r>
        <w:rPr>
          <w:rFonts w:eastAsia="宋体"/>
          <w:spacing w:val="-2"/>
          <w:kern w:val="16"/>
          <w:sz w:val="24"/>
        </w:rPr>
        <w:instrText xml:space="preserve"> = 3 \* GB3 </w:instrText>
      </w:r>
      <w:r>
        <w:rPr>
          <w:rFonts w:eastAsia="宋体"/>
          <w:spacing w:val="-2"/>
          <w:kern w:val="16"/>
          <w:sz w:val="24"/>
        </w:rPr>
        <w:fldChar w:fldCharType="separate"/>
      </w:r>
      <w:r>
        <w:rPr>
          <w:rFonts w:hAnsi="宋体" w:eastAsia="宋体"/>
          <w:spacing w:val="-2"/>
          <w:kern w:val="16"/>
          <w:sz w:val="24"/>
        </w:rPr>
        <w:t>③</w:t>
      </w:r>
      <w:r>
        <w:rPr>
          <w:rFonts w:eastAsia="宋体"/>
          <w:spacing w:val="-2"/>
          <w:kern w:val="16"/>
          <w:sz w:val="24"/>
        </w:rPr>
        <w:fldChar w:fldCharType="end"/>
      </w:r>
      <w:r>
        <w:rPr>
          <w:rFonts w:eastAsia="宋体"/>
          <w:spacing w:val="-2"/>
          <w:kern w:val="16"/>
          <w:sz w:val="24"/>
        </w:rPr>
        <w:t>生态环境</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t>升压站：升压站围墙外500m内。</w:t>
      </w:r>
    </w:p>
    <w:p>
      <w:pPr>
        <w:autoSpaceDE w:val="0"/>
        <w:autoSpaceDN w:val="0"/>
        <w:adjustRightInd w:val="0"/>
        <w:spacing w:line="520" w:lineRule="exact"/>
        <w:ind w:firstLine="472" w:firstLineChars="200"/>
        <w:jc w:val="left"/>
        <w:rPr>
          <w:rFonts w:eastAsia="宋体"/>
          <w:spacing w:val="-2"/>
          <w:kern w:val="16"/>
          <w:sz w:val="24"/>
        </w:rPr>
      </w:pPr>
      <w:r>
        <w:rPr>
          <w:rFonts w:eastAsia="宋体"/>
          <w:spacing w:val="-2"/>
          <w:kern w:val="16"/>
          <w:sz w:val="24"/>
        </w:rPr>
        <w:t>输电线路：输电线路边导线地面投影外两侧各300m带状区域。</w:t>
      </w:r>
    </w:p>
    <w:p>
      <w:pPr>
        <w:widowControl/>
        <w:adjustRightInd w:val="0"/>
        <w:snapToGrid w:val="0"/>
        <w:spacing w:line="520" w:lineRule="exact"/>
        <w:jc w:val="left"/>
        <w:rPr>
          <w:rFonts w:eastAsia="宋体"/>
          <w:b/>
          <w:kern w:val="0"/>
          <w:sz w:val="24"/>
          <w:szCs w:val="22"/>
        </w:rPr>
      </w:pPr>
      <w:r>
        <w:rPr>
          <w:rFonts w:eastAsia="宋体"/>
          <w:b/>
          <w:kern w:val="0"/>
          <w:sz w:val="24"/>
          <w:szCs w:val="22"/>
        </w:rPr>
        <w:t>3电磁环境现状评价</w:t>
      </w:r>
    </w:p>
    <w:p>
      <w:pPr>
        <w:spacing w:line="520" w:lineRule="exact"/>
        <w:ind w:firstLine="472" w:firstLineChars="200"/>
        <w:jc w:val="left"/>
        <w:rPr>
          <w:rFonts w:eastAsia="宋体"/>
          <w:spacing w:val="-2"/>
          <w:kern w:val="16"/>
          <w:sz w:val="24"/>
        </w:rPr>
      </w:pPr>
      <w:r>
        <w:rPr>
          <w:rFonts w:eastAsia="宋体"/>
          <w:spacing w:val="-2"/>
          <w:kern w:val="16"/>
          <w:sz w:val="24"/>
        </w:rPr>
        <w:t>按照电磁环境现状调查、影响预测及评价需要，对110kV升压站、输电线路及敏感点的现状电磁环境调查均采用现场实测法，监测数据详见表</w:t>
      </w:r>
      <w:r>
        <w:rPr>
          <w:rFonts w:hint="eastAsia" w:eastAsia="宋体"/>
          <w:spacing w:val="-2"/>
          <w:kern w:val="16"/>
          <w:sz w:val="24"/>
        </w:rPr>
        <w:t>5。</w:t>
      </w:r>
    </w:p>
    <w:p>
      <w:pPr>
        <w:pStyle w:val="4"/>
        <w:adjustRightInd w:val="0"/>
        <w:snapToGrid w:val="0"/>
        <w:spacing w:line="520" w:lineRule="exact"/>
        <w:ind w:firstLine="480" w:firstLineChars="200"/>
        <w:rPr>
          <w:rFonts w:ascii="Times New Roman" w:hAnsi="Times New Roman"/>
          <w:sz w:val="24"/>
          <w:szCs w:val="21"/>
        </w:rPr>
      </w:pPr>
    </w:p>
    <w:p>
      <w:pPr>
        <w:pStyle w:val="4"/>
        <w:adjustRightInd w:val="0"/>
        <w:snapToGrid w:val="0"/>
        <w:spacing w:line="520" w:lineRule="exact"/>
        <w:ind w:firstLine="480" w:firstLineChars="200"/>
        <w:rPr>
          <w:rFonts w:ascii="Times New Roman" w:hAnsi="Times New Roman"/>
          <w:sz w:val="24"/>
          <w:szCs w:val="21"/>
        </w:rPr>
      </w:pPr>
    </w:p>
    <w:p>
      <w:pPr>
        <w:pStyle w:val="4"/>
        <w:adjustRightInd w:val="0"/>
        <w:snapToGrid w:val="0"/>
        <w:spacing w:line="520" w:lineRule="exact"/>
        <w:ind w:firstLine="480" w:firstLineChars="200"/>
        <w:rPr>
          <w:rFonts w:ascii="Times New Roman" w:hAnsi="Times New Roman"/>
          <w:sz w:val="24"/>
          <w:szCs w:val="21"/>
        </w:rPr>
      </w:pPr>
    </w:p>
    <w:p>
      <w:pPr>
        <w:pStyle w:val="4"/>
        <w:adjustRightInd w:val="0"/>
        <w:snapToGrid w:val="0"/>
        <w:spacing w:line="520" w:lineRule="exact"/>
        <w:ind w:firstLine="480" w:firstLineChars="200"/>
        <w:rPr>
          <w:rFonts w:ascii="Times New Roman" w:hAnsi="Times New Roman"/>
          <w:sz w:val="24"/>
          <w:szCs w:val="21"/>
        </w:rPr>
      </w:pPr>
      <w:r>
        <w:rPr>
          <w:rFonts w:ascii="Times New Roman" w:hAnsi="Times New Roman"/>
          <w:sz w:val="24"/>
          <w:szCs w:val="21"/>
        </w:rPr>
        <w:t>表</w:t>
      </w:r>
      <w:r>
        <w:rPr>
          <w:rFonts w:hint="eastAsia" w:ascii="Times New Roman" w:hAnsi="Times New Roman"/>
          <w:sz w:val="24"/>
          <w:szCs w:val="21"/>
        </w:rPr>
        <w:t>5</w:t>
      </w:r>
      <w:r>
        <w:rPr>
          <w:rFonts w:ascii="Times New Roman" w:hAnsi="Times New Roman"/>
          <w:sz w:val="24"/>
          <w:szCs w:val="21"/>
        </w:rPr>
        <w:t xml:space="preserve">       各监测点位工频电场、工频磁感应强度现状监测结果</w:t>
      </w:r>
    </w:p>
    <w:tbl>
      <w:tblPr>
        <w:tblStyle w:val="15"/>
        <w:tblW w:w="5000" w:type="pct"/>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3716"/>
        <w:gridCol w:w="1897"/>
        <w:gridCol w:w="1984"/>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序号</w:t>
            </w:r>
          </w:p>
        </w:tc>
        <w:tc>
          <w:tcPr>
            <w:tcW w:w="3613"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测点位置</w:t>
            </w:r>
          </w:p>
        </w:tc>
        <w:tc>
          <w:tcPr>
            <w:tcW w:w="1844"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电场强度（V/m）</w:t>
            </w:r>
          </w:p>
        </w:tc>
        <w:tc>
          <w:tcPr>
            <w:tcW w:w="1929"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磁感应强度（</w:t>
            </w:r>
            <w:r>
              <w:rPr>
                <w:rFonts w:hint="eastAsia" w:eastAsia="宋体"/>
                <w:color w:val="000000" w:themeColor="text1"/>
                <w:sz w:val="21"/>
                <w:szCs w:val="21"/>
              </w:rPr>
              <w:t>m</w:t>
            </w:r>
            <w:r>
              <w:rPr>
                <w:rFonts w:eastAsia="宋体"/>
                <w:color w:val="000000" w:themeColor="text1"/>
                <w:sz w:val="21"/>
                <w:szCs w:val="21"/>
              </w:rPr>
              <w:t>T）</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86" w:type="dxa"/>
            <w:gridSpan w:val="4"/>
            <w:vAlign w:val="center"/>
          </w:tcPr>
          <w:p>
            <w:pPr>
              <w:spacing w:line="360" w:lineRule="exact"/>
              <w:jc w:val="center"/>
              <w:rPr>
                <w:rFonts w:eastAsia="宋体"/>
                <w:color w:val="000000" w:themeColor="text1"/>
                <w:sz w:val="21"/>
                <w:szCs w:val="21"/>
              </w:rPr>
            </w:pPr>
            <w:r>
              <w:rPr>
                <w:rFonts w:eastAsia="宋体"/>
                <w:color w:val="000000" w:themeColor="text1"/>
                <w:sz w:val="21"/>
                <w:szCs w:val="21"/>
              </w:rPr>
              <w:t>一、升压站厂界</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w:t>
            </w:r>
          </w:p>
        </w:tc>
        <w:tc>
          <w:tcPr>
            <w:tcW w:w="3613" w:type="dxa"/>
            <w:vAlign w:val="center"/>
          </w:tcPr>
          <w:p>
            <w:pPr>
              <w:pStyle w:val="25"/>
              <w:spacing w:line="360" w:lineRule="exact"/>
              <w:rPr>
                <w:rFonts w:ascii="Times New Roman" w:hAnsi="Times New Roman"/>
                <w:color w:val="000000" w:themeColor="text1"/>
                <w:szCs w:val="21"/>
              </w:rPr>
            </w:pPr>
            <w:r>
              <w:rPr>
                <w:rFonts w:ascii="Times New Roman" w:hAnsi="Times New Roman"/>
                <w:color w:val="000000" w:themeColor="text1"/>
                <w:szCs w:val="21"/>
              </w:rPr>
              <w:t>升压站东侧</w:t>
            </w:r>
          </w:p>
        </w:tc>
        <w:tc>
          <w:tcPr>
            <w:tcW w:w="1844" w:type="dxa"/>
            <w:vAlign w:val="center"/>
          </w:tcPr>
          <w:p>
            <w:pPr>
              <w:widowControl/>
              <w:spacing w:line="360" w:lineRule="exact"/>
              <w:jc w:val="center"/>
              <w:textAlignment w:val="center"/>
              <w:rPr>
                <w:rFonts w:eastAsia="宋体"/>
                <w:color w:val="000000" w:themeColor="text1"/>
                <w:sz w:val="21"/>
                <w:szCs w:val="21"/>
              </w:rPr>
            </w:pPr>
            <w:r>
              <w:rPr>
                <w:rFonts w:hint="eastAsia" w:eastAsia="宋体"/>
                <w:color w:val="000000" w:themeColor="text1"/>
                <w:sz w:val="21"/>
                <w:szCs w:val="21"/>
              </w:rPr>
              <w:t>31.72</w:t>
            </w:r>
          </w:p>
        </w:tc>
        <w:tc>
          <w:tcPr>
            <w:tcW w:w="1929" w:type="dxa"/>
            <w:vAlign w:val="bottom"/>
          </w:tcPr>
          <w:p>
            <w:pPr>
              <w:spacing w:line="360" w:lineRule="exact"/>
              <w:jc w:val="center"/>
              <w:rPr>
                <w:color w:val="000000" w:themeColor="text1"/>
                <w:sz w:val="21"/>
                <w:szCs w:val="21"/>
              </w:rPr>
            </w:pPr>
            <w:r>
              <w:rPr>
                <w:rFonts w:hint="eastAsia" w:eastAsia="宋体"/>
                <w:color w:val="000000" w:themeColor="text1"/>
                <w:sz w:val="21"/>
                <w:szCs w:val="21"/>
              </w:rPr>
              <w:t>0.0046</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w:t>
            </w:r>
          </w:p>
        </w:tc>
        <w:tc>
          <w:tcPr>
            <w:tcW w:w="3613" w:type="dxa"/>
            <w:vAlign w:val="center"/>
          </w:tcPr>
          <w:p>
            <w:pPr>
              <w:pStyle w:val="25"/>
              <w:spacing w:line="360" w:lineRule="exact"/>
              <w:rPr>
                <w:rFonts w:ascii="Times New Roman" w:hAnsi="Times New Roman"/>
                <w:color w:val="000000" w:themeColor="text1"/>
                <w:szCs w:val="21"/>
              </w:rPr>
            </w:pPr>
            <w:r>
              <w:rPr>
                <w:rFonts w:ascii="Times New Roman" w:hAnsi="Times New Roman"/>
                <w:color w:val="000000" w:themeColor="text1"/>
                <w:szCs w:val="21"/>
              </w:rPr>
              <w:t>升压站南侧</w:t>
            </w:r>
          </w:p>
        </w:tc>
        <w:tc>
          <w:tcPr>
            <w:tcW w:w="1844" w:type="dxa"/>
            <w:vAlign w:val="center"/>
          </w:tcPr>
          <w:p>
            <w:pPr>
              <w:widowControl/>
              <w:spacing w:line="360" w:lineRule="exact"/>
              <w:jc w:val="center"/>
              <w:textAlignment w:val="center"/>
              <w:rPr>
                <w:rFonts w:eastAsia="宋体"/>
                <w:color w:val="000000" w:themeColor="text1"/>
                <w:sz w:val="21"/>
                <w:szCs w:val="21"/>
              </w:rPr>
            </w:pPr>
            <w:r>
              <w:rPr>
                <w:rFonts w:hint="eastAsia" w:eastAsia="宋体"/>
                <w:color w:val="000000" w:themeColor="text1"/>
                <w:sz w:val="21"/>
                <w:szCs w:val="21"/>
              </w:rPr>
              <w:t>11.55</w:t>
            </w:r>
          </w:p>
        </w:tc>
        <w:tc>
          <w:tcPr>
            <w:tcW w:w="1929" w:type="dxa"/>
            <w:vAlign w:val="bottom"/>
          </w:tcPr>
          <w:p>
            <w:pPr>
              <w:spacing w:line="360" w:lineRule="exact"/>
              <w:jc w:val="center"/>
              <w:rPr>
                <w:color w:val="000000" w:themeColor="text1"/>
                <w:sz w:val="21"/>
                <w:szCs w:val="21"/>
              </w:rPr>
            </w:pPr>
            <w:r>
              <w:rPr>
                <w:rFonts w:hint="eastAsia" w:eastAsia="宋体"/>
                <w:color w:val="000000" w:themeColor="text1"/>
                <w:sz w:val="21"/>
                <w:szCs w:val="21"/>
              </w:rPr>
              <w:t>0.0061</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3</w:t>
            </w:r>
          </w:p>
        </w:tc>
        <w:tc>
          <w:tcPr>
            <w:tcW w:w="3613" w:type="dxa"/>
            <w:vAlign w:val="center"/>
          </w:tcPr>
          <w:p>
            <w:pPr>
              <w:pStyle w:val="25"/>
              <w:spacing w:line="360" w:lineRule="exact"/>
              <w:rPr>
                <w:rFonts w:ascii="Times New Roman" w:hAnsi="Times New Roman"/>
                <w:color w:val="000000" w:themeColor="text1"/>
                <w:szCs w:val="21"/>
              </w:rPr>
            </w:pPr>
            <w:r>
              <w:rPr>
                <w:rFonts w:ascii="Times New Roman" w:hAnsi="Times New Roman"/>
                <w:color w:val="000000" w:themeColor="text1"/>
                <w:szCs w:val="21"/>
              </w:rPr>
              <w:t>升压站西侧</w:t>
            </w:r>
          </w:p>
        </w:tc>
        <w:tc>
          <w:tcPr>
            <w:tcW w:w="1844" w:type="dxa"/>
            <w:vAlign w:val="center"/>
          </w:tcPr>
          <w:p>
            <w:pPr>
              <w:widowControl/>
              <w:spacing w:line="360" w:lineRule="exact"/>
              <w:jc w:val="center"/>
              <w:textAlignment w:val="center"/>
              <w:rPr>
                <w:rFonts w:eastAsia="宋体"/>
                <w:color w:val="000000" w:themeColor="text1"/>
                <w:sz w:val="21"/>
                <w:szCs w:val="21"/>
              </w:rPr>
            </w:pPr>
            <w:r>
              <w:rPr>
                <w:rFonts w:hint="eastAsia" w:eastAsia="宋体"/>
                <w:color w:val="000000" w:themeColor="text1"/>
                <w:sz w:val="21"/>
                <w:szCs w:val="21"/>
              </w:rPr>
              <w:t>0.65</w:t>
            </w:r>
          </w:p>
        </w:tc>
        <w:tc>
          <w:tcPr>
            <w:tcW w:w="1929" w:type="dxa"/>
            <w:vAlign w:val="bottom"/>
          </w:tcPr>
          <w:p>
            <w:pPr>
              <w:spacing w:line="360" w:lineRule="exact"/>
              <w:jc w:val="center"/>
              <w:rPr>
                <w:color w:val="000000" w:themeColor="text1"/>
                <w:sz w:val="21"/>
                <w:szCs w:val="21"/>
              </w:rPr>
            </w:pPr>
            <w:r>
              <w:rPr>
                <w:rFonts w:hint="eastAsia" w:eastAsia="宋体"/>
                <w:color w:val="000000" w:themeColor="text1"/>
                <w:sz w:val="21"/>
                <w:szCs w:val="21"/>
              </w:rPr>
              <w:t>0.0064</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4</w:t>
            </w:r>
          </w:p>
        </w:tc>
        <w:tc>
          <w:tcPr>
            <w:tcW w:w="3613" w:type="dxa"/>
            <w:vAlign w:val="center"/>
          </w:tcPr>
          <w:p>
            <w:pPr>
              <w:pStyle w:val="25"/>
              <w:spacing w:line="360" w:lineRule="exact"/>
              <w:rPr>
                <w:rFonts w:ascii="Times New Roman" w:hAnsi="Times New Roman"/>
                <w:color w:val="000000" w:themeColor="text1"/>
                <w:szCs w:val="21"/>
              </w:rPr>
            </w:pPr>
            <w:r>
              <w:rPr>
                <w:rFonts w:ascii="Times New Roman" w:hAnsi="Times New Roman"/>
                <w:color w:val="000000" w:themeColor="text1"/>
                <w:szCs w:val="21"/>
              </w:rPr>
              <w:t>升压站北侧</w:t>
            </w:r>
          </w:p>
        </w:tc>
        <w:tc>
          <w:tcPr>
            <w:tcW w:w="1844" w:type="dxa"/>
            <w:vAlign w:val="center"/>
          </w:tcPr>
          <w:p>
            <w:pPr>
              <w:widowControl/>
              <w:spacing w:line="360" w:lineRule="exact"/>
              <w:jc w:val="center"/>
              <w:textAlignment w:val="center"/>
              <w:rPr>
                <w:rFonts w:eastAsia="宋体"/>
                <w:color w:val="000000" w:themeColor="text1"/>
                <w:sz w:val="21"/>
                <w:szCs w:val="21"/>
              </w:rPr>
            </w:pPr>
            <w:r>
              <w:rPr>
                <w:rFonts w:hint="eastAsia" w:eastAsia="宋体"/>
                <w:color w:val="000000" w:themeColor="text1"/>
                <w:sz w:val="21"/>
                <w:szCs w:val="21"/>
              </w:rPr>
              <w:t>10.42</w:t>
            </w:r>
          </w:p>
        </w:tc>
        <w:tc>
          <w:tcPr>
            <w:tcW w:w="1929" w:type="dxa"/>
            <w:vAlign w:val="center"/>
          </w:tcPr>
          <w:p>
            <w:pPr>
              <w:widowControl/>
              <w:spacing w:line="360" w:lineRule="exact"/>
              <w:jc w:val="center"/>
              <w:textAlignment w:val="center"/>
              <w:rPr>
                <w:rFonts w:eastAsia="宋体"/>
                <w:color w:val="000000" w:themeColor="text1"/>
                <w:sz w:val="21"/>
                <w:szCs w:val="21"/>
              </w:rPr>
            </w:pPr>
            <w:r>
              <w:rPr>
                <w:rFonts w:hint="eastAsia" w:eastAsia="宋体"/>
                <w:color w:val="000000" w:themeColor="text1"/>
                <w:sz w:val="21"/>
                <w:szCs w:val="21"/>
              </w:rPr>
              <w:t>0.0046</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86" w:type="dxa"/>
            <w:gridSpan w:val="4"/>
            <w:vAlign w:val="center"/>
          </w:tcPr>
          <w:p>
            <w:pPr>
              <w:spacing w:line="360" w:lineRule="exact"/>
              <w:jc w:val="center"/>
              <w:rPr>
                <w:color w:val="000000" w:themeColor="text1"/>
                <w:sz w:val="21"/>
                <w:szCs w:val="21"/>
              </w:rPr>
            </w:pPr>
            <w:r>
              <w:rPr>
                <w:rFonts w:eastAsia="宋体"/>
                <w:color w:val="000000" w:themeColor="text1"/>
                <w:sz w:val="21"/>
                <w:szCs w:val="21"/>
              </w:rPr>
              <w:t>衰减断面</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5</w:t>
            </w:r>
          </w:p>
        </w:tc>
        <w:tc>
          <w:tcPr>
            <w:tcW w:w="3613" w:type="dxa"/>
            <w:vAlign w:val="center"/>
          </w:tcPr>
          <w:p>
            <w:pPr>
              <w:pStyle w:val="25"/>
              <w:spacing w:line="360" w:lineRule="exact"/>
              <w:rPr>
                <w:rFonts w:ascii="Times New Roman" w:hAnsi="Times New Roman"/>
                <w:color w:val="000000" w:themeColor="text1"/>
                <w:szCs w:val="21"/>
              </w:rPr>
            </w:pPr>
            <w:r>
              <w:rPr>
                <w:rFonts w:ascii="Times New Roman"/>
                <w:color w:val="000000" w:themeColor="text1"/>
                <w:kern w:val="2"/>
                <w:szCs w:val="21"/>
              </w:rPr>
              <w:t>升压站北侧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rFonts w:eastAsia="宋体"/>
                <w:color w:val="000000" w:themeColor="text1"/>
                <w:sz w:val="21"/>
                <w:szCs w:val="21"/>
              </w:rPr>
            </w:pPr>
            <w:r>
              <w:rPr>
                <w:rFonts w:eastAsia="宋体"/>
                <w:color w:val="000000" w:themeColor="text1"/>
                <w:kern w:val="0"/>
                <w:sz w:val="21"/>
                <w:szCs w:val="21"/>
              </w:rPr>
              <w:t xml:space="preserve">11.55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0.0061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6</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10m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8.49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0.0035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7</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15m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7.29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0.0069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8</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20m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5.04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0.0045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9</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25m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3.87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0.0062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10</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30m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2.84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0.0071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11</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35m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2.</w:t>
            </w:r>
            <w:r>
              <w:rPr>
                <w:rFonts w:hint="eastAsia" w:eastAsia="宋体"/>
                <w:color w:val="000000" w:themeColor="text1"/>
                <w:kern w:val="0"/>
                <w:sz w:val="21"/>
                <w:szCs w:val="21"/>
              </w:rPr>
              <w:t>6</w:t>
            </w:r>
            <w:r>
              <w:rPr>
                <w:rFonts w:eastAsia="宋体"/>
                <w:color w:val="000000" w:themeColor="text1"/>
                <w:kern w:val="0"/>
                <w:sz w:val="21"/>
                <w:szCs w:val="21"/>
              </w:rPr>
              <w:t xml:space="preserve">5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0.0044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12</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40m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2.</w:t>
            </w:r>
            <w:r>
              <w:rPr>
                <w:rFonts w:hint="eastAsia" w:eastAsia="宋体"/>
                <w:color w:val="000000" w:themeColor="text1"/>
                <w:kern w:val="0"/>
                <w:sz w:val="21"/>
                <w:szCs w:val="21"/>
              </w:rPr>
              <w:t>5</w:t>
            </w:r>
            <w:r>
              <w:rPr>
                <w:rFonts w:eastAsia="宋体"/>
                <w:color w:val="000000" w:themeColor="text1"/>
                <w:kern w:val="0"/>
                <w:sz w:val="21"/>
                <w:szCs w:val="21"/>
              </w:rPr>
              <w:t xml:space="preserve">5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0.0044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13</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45m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1.93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0.0038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14</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升压站北侧</w:t>
            </w:r>
            <w:r>
              <w:rPr>
                <w:rFonts w:ascii="Times New Roman" w:hAnsi="Times New Roman"/>
                <w:color w:val="000000" w:themeColor="text1"/>
                <w:kern w:val="2"/>
                <w:szCs w:val="21"/>
              </w:rPr>
              <w:t>50m</w:t>
            </w:r>
            <w:r>
              <w:rPr>
                <w:rFonts w:ascii="Times New Roman"/>
                <w:color w:val="000000" w:themeColor="text1"/>
                <w:kern w:val="2"/>
                <w:szCs w:val="21"/>
              </w:rPr>
              <w:t>处</w:t>
            </w:r>
          </w:p>
        </w:tc>
        <w:tc>
          <w:tcPr>
            <w:tcW w:w="1844"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1.23 </w:t>
            </w:r>
          </w:p>
        </w:tc>
        <w:tc>
          <w:tcPr>
            <w:tcW w:w="1929" w:type="dxa"/>
            <w:vAlign w:val="center"/>
          </w:tcPr>
          <w:p>
            <w:pPr>
              <w:widowControl/>
              <w:spacing w:line="360" w:lineRule="exact"/>
              <w:jc w:val="center"/>
              <w:textAlignment w:val="center"/>
              <w:rPr>
                <w:color w:val="000000" w:themeColor="text1"/>
                <w:sz w:val="21"/>
                <w:szCs w:val="21"/>
              </w:rPr>
            </w:pPr>
            <w:r>
              <w:rPr>
                <w:rFonts w:eastAsia="宋体"/>
                <w:color w:val="000000" w:themeColor="text1"/>
                <w:kern w:val="0"/>
                <w:sz w:val="21"/>
                <w:szCs w:val="21"/>
              </w:rPr>
              <w:t xml:space="preserve">0.0023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286" w:type="dxa"/>
            <w:gridSpan w:val="4"/>
            <w:vAlign w:val="center"/>
          </w:tcPr>
          <w:p>
            <w:pPr>
              <w:spacing w:line="360" w:lineRule="exact"/>
              <w:jc w:val="center"/>
              <w:rPr>
                <w:rFonts w:eastAsia="宋体"/>
                <w:bCs/>
                <w:color w:val="000000" w:themeColor="text1"/>
                <w:spacing w:val="-2"/>
                <w:sz w:val="21"/>
                <w:szCs w:val="21"/>
              </w:rPr>
            </w:pPr>
            <w:r>
              <w:rPr>
                <w:rFonts w:eastAsia="宋体"/>
                <w:bCs/>
                <w:color w:val="000000" w:themeColor="text1"/>
                <w:spacing w:val="-2"/>
                <w:sz w:val="21"/>
                <w:szCs w:val="21"/>
              </w:rPr>
              <w:t>二、线路敏感点</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15</w:t>
            </w:r>
          </w:p>
        </w:tc>
        <w:tc>
          <w:tcPr>
            <w:tcW w:w="3613" w:type="dxa"/>
            <w:vAlign w:val="center"/>
          </w:tcPr>
          <w:p>
            <w:pPr>
              <w:widowControl/>
              <w:spacing w:line="360" w:lineRule="exact"/>
              <w:jc w:val="center"/>
              <w:rPr>
                <w:rFonts w:eastAsia="宋体"/>
                <w:color w:val="000000" w:themeColor="text1"/>
                <w:kern w:val="0"/>
                <w:sz w:val="21"/>
                <w:szCs w:val="21"/>
              </w:rPr>
            </w:pPr>
            <w:r>
              <w:rPr>
                <w:rFonts w:eastAsia="宋体"/>
                <w:color w:val="000000" w:themeColor="text1"/>
                <w:kern w:val="0"/>
                <w:sz w:val="21"/>
                <w:szCs w:val="21"/>
              </w:rPr>
              <w:t>杨桥村常海超家</w:t>
            </w:r>
          </w:p>
        </w:tc>
        <w:tc>
          <w:tcPr>
            <w:tcW w:w="1844" w:type="dxa"/>
            <w:vAlign w:val="bottom"/>
          </w:tcPr>
          <w:p>
            <w:pPr>
              <w:widowControl/>
              <w:spacing w:line="360" w:lineRule="exact"/>
              <w:jc w:val="center"/>
              <w:rPr>
                <w:rFonts w:eastAsia="宋体"/>
                <w:color w:val="000000" w:themeColor="text1"/>
                <w:kern w:val="0"/>
                <w:sz w:val="21"/>
                <w:szCs w:val="21"/>
              </w:rPr>
            </w:pPr>
            <w:r>
              <w:rPr>
                <w:rFonts w:hint="eastAsia" w:eastAsia="宋体"/>
                <w:color w:val="000000" w:themeColor="text1"/>
                <w:kern w:val="0"/>
                <w:sz w:val="21"/>
                <w:szCs w:val="21"/>
              </w:rPr>
              <w:t>20.87</w:t>
            </w:r>
          </w:p>
        </w:tc>
        <w:tc>
          <w:tcPr>
            <w:tcW w:w="1929" w:type="dxa"/>
            <w:vAlign w:val="bottom"/>
          </w:tcPr>
          <w:p>
            <w:pPr>
              <w:spacing w:line="360" w:lineRule="exact"/>
              <w:jc w:val="center"/>
              <w:rPr>
                <w:color w:val="000000" w:themeColor="text1"/>
                <w:sz w:val="21"/>
                <w:szCs w:val="21"/>
              </w:rPr>
            </w:pPr>
            <w:r>
              <w:rPr>
                <w:rFonts w:hint="eastAsia"/>
                <w:color w:val="000000" w:themeColor="text1"/>
                <w:sz w:val="21"/>
                <w:szCs w:val="21"/>
              </w:rPr>
              <w:t>0.1696</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16</w:t>
            </w:r>
          </w:p>
        </w:tc>
        <w:tc>
          <w:tcPr>
            <w:tcW w:w="3613"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张垌村王娟家</w:t>
            </w:r>
          </w:p>
        </w:tc>
        <w:tc>
          <w:tcPr>
            <w:tcW w:w="1844" w:type="dxa"/>
            <w:vAlign w:val="bottom"/>
          </w:tcPr>
          <w:p>
            <w:pPr>
              <w:spacing w:line="360" w:lineRule="exact"/>
              <w:jc w:val="center"/>
              <w:rPr>
                <w:color w:val="000000" w:themeColor="text1"/>
                <w:sz w:val="21"/>
                <w:szCs w:val="21"/>
              </w:rPr>
            </w:pPr>
            <w:r>
              <w:rPr>
                <w:rFonts w:hint="eastAsia"/>
                <w:color w:val="000000" w:themeColor="text1"/>
                <w:sz w:val="21"/>
                <w:szCs w:val="21"/>
              </w:rPr>
              <w:t>75.57</w:t>
            </w:r>
          </w:p>
        </w:tc>
        <w:tc>
          <w:tcPr>
            <w:tcW w:w="1929" w:type="dxa"/>
            <w:vAlign w:val="bottom"/>
          </w:tcPr>
          <w:p>
            <w:pPr>
              <w:spacing w:line="360" w:lineRule="exact"/>
              <w:jc w:val="center"/>
              <w:rPr>
                <w:color w:val="000000" w:themeColor="text1"/>
                <w:sz w:val="21"/>
                <w:szCs w:val="21"/>
              </w:rPr>
            </w:pPr>
            <w:r>
              <w:rPr>
                <w:rFonts w:hint="eastAsia"/>
                <w:color w:val="000000" w:themeColor="text1"/>
                <w:sz w:val="21"/>
                <w:szCs w:val="21"/>
              </w:rPr>
              <w:t>0.1873</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17</w:t>
            </w:r>
          </w:p>
        </w:tc>
        <w:tc>
          <w:tcPr>
            <w:tcW w:w="3613"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张垌村范国明家</w:t>
            </w:r>
          </w:p>
        </w:tc>
        <w:tc>
          <w:tcPr>
            <w:tcW w:w="1844" w:type="dxa"/>
            <w:vAlign w:val="bottom"/>
          </w:tcPr>
          <w:p>
            <w:pPr>
              <w:spacing w:line="360" w:lineRule="exact"/>
              <w:jc w:val="center"/>
              <w:rPr>
                <w:color w:val="000000" w:themeColor="text1"/>
                <w:sz w:val="21"/>
                <w:szCs w:val="21"/>
              </w:rPr>
            </w:pPr>
            <w:r>
              <w:rPr>
                <w:rFonts w:hint="eastAsia"/>
                <w:color w:val="000000" w:themeColor="text1"/>
                <w:sz w:val="21"/>
                <w:szCs w:val="21"/>
              </w:rPr>
              <w:t>2.38</w:t>
            </w:r>
          </w:p>
        </w:tc>
        <w:tc>
          <w:tcPr>
            <w:tcW w:w="1929" w:type="dxa"/>
            <w:vAlign w:val="bottom"/>
          </w:tcPr>
          <w:p>
            <w:pPr>
              <w:spacing w:line="360" w:lineRule="exact"/>
              <w:jc w:val="center"/>
              <w:rPr>
                <w:color w:val="000000" w:themeColor="text1"/>
                <w:sz w:val="21"/>
                <w:szCs w:val="21"/>
              </w:rPr>
            </w:pPr>
            <w:r>
              <w:rPr>
                <w:rFonts w:hint="eastAsia"/>
                <w:color w:val="000000" w:themeColor="text1"/>
                <w:sz w:val="21"/>
                <w:szCs w:val="21"/>
              </w:rPr>
              <w:t>0.0727</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18</w:t>
            </w:r>
          </w:p>
        </w:tc>
        <w:tc>
          <w:tcPr>
            <w:tcW w:w="3613"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黑龙沟于发海家</w:t>
            </w:r>
          </w:p>
        </w:tc>
        <w:tc>
          <w:tcPr>
            <w:tcW w:w="1844" w:type="dxa"/>
            <w:vAlign w:val="bottom"/>
          </w:tcPr>
          <w:p>
            <w:pPr>
              <w:spacing w:line="360" w:lineRule="exact"/>
              <w:jc w:val="center"/>
              <w:rPr>
                <w:color w:val="000000" w:themeColor="text1"/>
                <w:sz w:val="21"/>
                <w:szCs w:val="21"/>
              </w:rPr>
            </w:pPr>
            <w:r>
              <w:rPr>
                <w:rFonts w:hint="eastAsia"/>
                <w:color w:val="000000" w:themeColor="text1"/>
                <w:sz w:val="21"/>
                <w:szCs w:val="21"/>
              </w:rPr>
              <w:t>2.33</w:t>
            </w:r>
          </w:p>
        </w:tc>
        <w:tc>
          <w:tcPr>
            <w:tcW w:w="1929" w:type="dxa"/>
            <w:vAlign w:val="bottom"/>
          </w:tcPr>
          <w:p>
            <w:pPr>
              <w:spacing w:line="360" w:lineRule="exact"/>
              <w:jc w:val="center"/>
              <w:rPr>
                <w:color w:val="000000" w:themeColor="text1"/>
                <w:sz w:val="21"/>
                <w:szCs w:val="21"/>
              </w:rPr>
            </w:pPr>
            <w:r>
              <w:rPr>
                <w:rFonts w:hint="eastAsia"/>
                <w:color w:val="000000" w:themeColor="text1"/>
                <w:sz w:val="21"/>
                <w:szCs w:val="21"/>
              </w:rPr>
              <w:t>0.0299</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19</w:t>
            </w:r>
          </w:p>
        </w:tc>
        <w:tc>
          <w:tcPr>
            <w:tcW w:w="3613"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黑龙沟于保成家</w:t>
            </w:r>
          </w:p>
        </w:tc>
        <w:tc>
          <w:tcPr>
            <w:tcW w:w="1844" w:type="dxa"/>
            <w:vAlign w:val="bottom"/>
          </w:tcPr>
          <w:p>
            <w:pPr>
              <w:spacing w:line="360" w:lineRule="exact"/>
              <w:jc w:val="center"/>
              <w:rPr>
                <w:color w:val="000000" w:themeColor="text1"/>
                <w:sz w:val="21"/>
                <w:szCs w:val="21"/>
              </w:rPr>
            </w:pPr>
            <w:r>
              <w:rPr>
                <w:rFonts w:hint="eastAsia"/>
                <w:color w:val="000000" w:themeColor="text1"/>
                <w:sz w:val="21"/>
                <w:szCs w:val="21"/>
              </w:rPr>
              <w:t>0.19</w:t>
            </w:r>
          </w:p>
        </w:tc>
        <w:tc>
          <w:tcPr>
            <w:tcW w:w="1929" w:type="dxa"/>
            <w:vAlign w:val="bottom"/>
          </w:tcPr>
          <w:p>
            <w:pPr>
              <w:spacing w:line="360" w:lineRule="exact"/>
              <w:jc w:val="center"/>
              <w:rPr>
                <w:color w:val="000000" w:themeColor="text1"/>
                <w:sz w:val="21"/>
                <w:szCs w:val="21"/>
              </w:rPr>
            </w:pPr>
            <w:r>
              <w:rPr>
                <w:rFonts w:hint="eastAsia"/>
                <w:color w:val="000000" w:themeColor="text1"/>
                <w:sz w:val="21"/>
                <w:szCs w:val="21"/>
              </w:rPr>
              <w:t>0.0238</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20</w:t>
            </w:r>
          </w:p>
        </w:tc>
        <w:tc>
          <w:tcPr>
            <w:tcW w:w="3613" w:type="dxa"/>
            <w:vAlign w:val="center"/>
          </w:tcPr>
          <w:p>
            <w:pPr>
              <w:pStyle w:val="25"/>
              <w:spacing w:line="360" w:lineRule="exact"/>
              <w:rPr>
                <w:rFonts w:ascii="Times New Roman"/>
                <w:color w:val="000000" w:themeColor="text1"/>
                <w:kern w:val="2"/>
                <w:szCs w:val="21"/>
              </w:rPr>
            </w:pPr>
            <w:r>
              <w:rPr>
                <w:rFonts w:hint="eastAsia" w:ascii="Times New Roman"/>
                <w:color w:val="000000" w:themeColor="text1"/>
                <w:kern w:val="2"/>
                <w:szCs w:val="21"/>
              </w:rPr>
              <w:t>中心导线处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237.11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0.4413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21</w:t>
            </w:r>
          </w:p>
        </w:tc>
        <w:tc>
          <w:tcPr>
            <w:tcW w:w="3613" w:type="dxa"/>
            <w:vAlign w:val="center"/>
          </w:tcPr>
          <w:p>
            <w:pPr>
              <w:pStyle w:val="25"/>
              <w:spacing w:line="360" w:lineRule="exact"/>
              <w:rPr>
                <w:rFonts w:ascii="Times New Roman" w:hAnsi="Times New Roman"/>
                <w:color w:val="000000" w:themeColor="text1"/>
                <w:szCs w:val="21"/>
              </w:rPr>
            </w:pPr>
            <w:r>
              <w:rPr>
                <w:rFonts w:hint="eastAsia" w:ascii="Times New Roman"/>
                <w:color w:val="000000" w:themeColor="text1"/>
                <w:kern w:val="2"/>
                <w:szCs w:val="21"/>
              </w:rPr>
              <w:t>线路</w:t>
            </w:r>
            <w:r>
              <w:rPr>
                <w:rFonts w:ascii="Times New Roman"/>
                <w:color w:val="000000" w:themeColor="text1"/>
                <w:kern w:val="2"/>
                <w:szCs w:val="21"/>
              </w:rPr>
              <w:t>北侧</w:t>
            </w:r>
            <w:r>
              <w:rPr>
                <w:rFonts w:ascii="Times New Roman" w:hAnsi="Times New Roman"/>
                <w:color w:val="000000" w:themeColor="text1"/>
                <w:kern w:val="2"/>
                <w:szCs w:val="21"/>
              </w:rPr>
              <w:t>5m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241.72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0.4199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22</w:t>
            </w:r>
          </w:p>
        </w:tc>
        <w:tc>
          <w:tcPr>
            <w:tcW w:w="3613" w:type="dxa"/>
            <w:vAlign w:val="center"/>
          </w:tcPr>
          <w:p>
            <w:pPr>
              <w:pStyle w:val="25"/>
              <w:spacing w:line="360" w:lineRule="exact"/>
              <w:rPr>
                <w:rFonts w:ascii="Times New Roman" w:hAnsi="Times New Roman"/>
                <w:color w:val="000000" w:themeColor="text1"/>
                <w:kern w:val="2"/>
                <w:szCs w:val="21"/>
              </w:rPr>
            </w:pPr>
            <w:r>
              <w:rPr>
                <w:rFonts w:hint="eastAsia" w:ascii="Times New Roman"/>
                <w:color w:val="000000" w:themeColor="text1"/>
                <w:kern w:val="2"/>
                <w:szCs w:val="21"/>
              </w:rPr>
              <w:t>线路</w:t>
            </w:r>
            <w:r>
              <w:rPr>
                <w:rFonts w:ascii="Times New Roman"/>
                <w:color w:val="000000" w:themeColor="text1"/>
                <w:kern w:val="2"/>
                <w:szCs w:val="21"/>
              </w:rPr>
              <w:t>北侧</w:t>
            </w:r>
            <w:r>
              <w:rPr>
                <w:rFonts w:ascii="Times New Roman" w:hAnsi="Times New Roman"/>
                <w:color w:val="000000" w:themeColor="text1"/>
                <w:kern w:val="2"/>
                <w:szCs w:val="21"/>
              </w:rPr>
              <w:t>10m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237.95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0.3795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23</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15m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224.13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0.3213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24</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20m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188.98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0.2630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25</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25m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156.05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0.2463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26</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30m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124.16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0.2003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27</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35m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100.59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0.1616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28</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40m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80.69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0.1417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ascii="Times New Roman" w:hAnsi="Times New Roman"/>
                <w:color w:val="000000" w:themeColor="text1"/>
              </w:rPr>
              <w:t>29</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45m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63.59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0.1256 </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pStyle w:val="19"/>
              <w:spacing w:before="0" w:beforeAutospacing="0" w:after="0" w:afterAutospacing="0" w:line="360" w:lineRule="exact"/>
              <w:rPr>
                <w:rFonts w:ascii="Times New Roman" w:hAnsi="Times New Roman"/>
                <w:color w:val="000000" w:themeColor="text1"/>
              </w:rPr>
            </w:pPr>
            <w:r>
              <w:rPr>
                <w:rFonts w:hint="eastAsia" w:ascii="Times New Roman" w:hAnsi="Times New Roman"/>
                <w:color w:val="000000" w:themeColor="text1"/>
              </w:rPr>
              <w:t>30</w:t>
            </w:r>
          </w:p>
        </w:tc>
        <w:tc>
          <w:tcPr>
            <w:tcW w:w="3613" w:type="dxa"/>
            <w:vAlign w:val="center"/>
          </w:tcPr>
          <w:p>
            <w:pPr>
              <w:pStyle w:val="25"/>
              <w:spacing w:line="360" w:lineRule="exact"/>
              <w:rPr>
                <w:rFonts w:ascii="Times New Roman" w:hAnsi="Times New Roman"/>
                <w:color w:val="000000" w:themeColor="text1"/>
                <w:kern w:val="2"/>
                <w:szCs w:val="21"/>
              </w:rPr>
            </w:pPr>
            <w:r>
              <w:rPr>
                <w:rFonts w:ascii="Times New Roman"/>
                <w:color w:val="000000" w:themeColor="text1"/>
                <w:kern w:val="2"/>
                <w:szCs w:val="21"/>
              </w:rPr>
              <w:t>线路北侧</w:t>
            </w:r>
            <w:r>
              <w:rPr>
                <w:rFonts w:ascii="Times New Roman" w:hAnsi="Times New Roman"/>
                <w:color w:val="000000" w:themeColor="text1"/>
                <w:kern w:val="2"/>
                <w:szCs w:val="21"/>
              </w:rPr>
              <w:t>50m</w:t>
            </w:r>
            <w:r>
              <w:rPr>
                <w:rFonts w:ascii="Times New Roman"/>
                <w:color w:val="000000" w:themeColor="text1"/>
                <w:kern w:val="2"/>
                <w:szCs w:val="21"/>
              </w:rPr>
              <w:t>处</w:t>
            </w:r>
          </w:p>
        </w:tc>
        <w:tc>
          <w:tcPr>
            <w:tcW w:w="1844" w:type="dxa"/>
            <w:vAlign w:val="center"/>
          </w:tcPr>
          <w:p>
            <w:pPr>
              <w:spacing w:line="360" w:lineRule="exact"/>
              <w:jc w:val="center"/>
              <w:rPr>
                <w:color w:val="000000" w:themeColor="text1"/>
                <w:sz w:val="21"/>
                <w:szCs w:val="21"/>
              </w:rPr>
            </w:pPr>
            <w:r>
              <w:rPr>
                <w:color w:val="000000" w:themeColor="text1"/>
                <w:sz w:val="21"/>
                <w:szCs w:val="21"/>
              </w:rPr>
              <w:t xml:space="preserve">52.09 </w:t>
            </w:r>
          </w:p>
        </w:tc>
        <w:tc>
          <w:tcPr>
            <w:tcW w:w="1929" w:type="dxa"/>
            <w:vAlign w:val="center"/>
          </w:tcPr>
          <w:p>
            <w:pPr>
              <w:spacing w:line="360" w:lineRule="exact"/>
              <w:jc w:val="center"/>
              <w:rPr>
                <w:color w:val="000000" w:themeColor="text1"/>
                <w:sz w:val="21"/>
                <w:szCs w:val="21"/>
              </w:rPr>
            </w:pPr>
            <w:r>
              <w:rPr>
                <w:color w:val="000000" w:themeColor="text1"/>
                <w:sz w:val="21"/>
                <w:szCs w:val="21"/>
              </w:rPr>
              <w:t xml:space="preserve">0.1166 </w:t>
            </w:r>
          </w:p>
        </w:tc>
      </w:tr>
    </w:tbl>
    <w:p>
      <w:pPr>
        <w:spacing w:line="520" w:lineRule="exact"/>
        <w:ind w:firstLine="472" w:firstLineChars="200"/>
        <w:rPr>
          <w:rFonts w:eastAsia="宋体"/>
          <w:color w:val="000000" w:themeColor="text1"/>
          <w:spacing w:val="-2"/>
          <w:kern w:val="16"/>
          <w:sz w:val="24"/>
        </w:rPr>
      </w:pPr>
      <w:r>
        <w:rPr>
          <w:rFonts w:eastAsia="宋体"/>
          <w:color w:val="000000" w:themeColor="text1"/>
          <w:spacing w:val="-2"/>
          <w:kern w:val="16"/>
          <w:sz w:val="24"/>
        </w:rPr>
        <w:t>表5可知，本项目所在地、周边敏感点处的工频电场强度及工频磁感应强度满足《电磁环境控制限值》（GB8702-2014）4kV/m和0.1mT的公众曝露控制限值的评价标准。</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（1）工频电场</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1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升压站站址：由表</w:t>
      </w:r>
      <w:r>
        <w:rPr>
          <w:rFonts w:hint="eastAsia" w:eastAsia="宋体"/>
          <w:color w:val="000000" w:themeColor="text1"/>
          <w:spacing w:val="-2"/>
          <w:kern w:val="16"/>
          <w:sz w:val="24"/>
        </w:rPr>
        <w:t>5</w:t>
      </w:r>
      <w:r>
        <w:rPr>
          <w:rFonts w:eastAsia="宋体"/>
          <w:color w:val="000000" w:themeColor="text1"/>
          <w:spacing w:val="-2"/>
          <w:kern w:val="16"/>
          <w:sz w:val="24"/>
        </w:rPr>
        <w:t>可知，110kV升压站站址处工频电场范围为</w:t>
      </w:r>
      <w:r>
        <w:rPr>
          <w:rFonts w:hint="eastAsia" w:eastAsia="宋体"/>
          <w:color w:val="000000" w:themeColor="text1"/>
          <w:spacing w:val="-2"/>
          <w:kern w:val="16"/>
          <w:sz w:val="24"/>
        </w:rPr>
        <w:t>0.65</w:t>
      </w:r>
      <w:r>
        <w:rPr>
          <w:rFonts w:eastAsia="宋体"/>
          <w:color w:val="000000" w:themeColor="text1"/>
          <w:spacing w:val="-2"/>
          <w:kern w:val="16"/>
          <w:sz w:val="24"/>
        </w:rPr>
        <w:t>～</w:t>
      </w:r>
      <w:r>
        <w:rPr>
          <w:rFonts w:hint="eastAsia" w:eastAsia="宋体"/>
          <w:color w:val="000000" w:themeColor="text1"/>
          <w:spacing w:val="-2"/>
          <w:kern w:val="16"/>
          <w:sz w:val="24"/>
        </w:rPr>
        <w:t>31.72</w:t>
      </w:r>
      <w:r>
        <w:rPr>
          <w:rFonts w:eastAsia="宋体"/>
          <w:color w:val="000000" w:themeColor="text1"/>
          <w:spacing w:val="-2"/>
          <w:kern w:val="16"/>
          <w:sz w:val="24"/>
        </w:rPr>
        <w:t>V/m。最大值</w:t>
      </w:r>
      <w:r>
        <w:rPr>
          <w:rFonts w:hint="eastAsia" w:eastAsia="宋体"/>
          <w:color w:val="000000" w:themeColor="text1"/>
          <w:spacing w:val="-2"/>
          <w:kern w:val="16"/>
          <w:sz w:val="24"/>
        </w:rPr>
        <w:t>31.72</w:t>
      </w:r>
      <w:r>
        <w:rPr>
          <w:rFonts w:eastAsia="宋体"/>
          <w:color w:val="000000" w:themeColor="text1"/>
          <w:spacing w:val="-2"/>
          <w:kern w:val="16"/>
          <w:sz w:val="24"/>
        </w:rPr>
        <w:t>V/m出现在升压站</w:t>
      </w:r>
      <w:r>
        <w:rPr>
          <w:rFonts w:hint="eastAsia" w:eastAsia="宋体"/>
          <w:color w:val="000000" w:themeColor="text1"/>
          <w:spacing w:val="-2"/>
          <w:kern w:val="16"/>
          <w:sz w:val="24"/>
        </w:rPr>
        <w:t>东</w:t>
      </w:r>
      <w:r>
        <w:rPr>
          <w:rFonts w:eastAsia="宋体"/>
          <w:color w:val="000000" w:themeColor="text1"/>
          <w:spacing w:val="-2"/>
          <w:kern w:val="16"/>
          <w:sz w:val="24"/>
        </w:rPr>
        <w:t>侧，站址四周工频电场现状值满足4kV/m的标准限值要求。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2 \* GB3 </w:instrText>
      </w:r>
      <w:r>
        <w:rPr>
          <w:rFonts w:eastAsia="宋体"/>
          <w:color w:val="000000" w:themeColor="text1"/>
          <w:spacing w:val="-2"/>
          <w:kern w:val="16"/>
          <w:sz w:val="24"/>
        </w:rPr>
        <w:fldChar w:fldCharType="separate"/>
      </w:r>
      <w:r>
        <w:rPr>
          <w:rFonts w:hAnsi="宋体" w:eastAsia="宋体"/>
          <w:color w:val="000000" w:themeColor="text1"/>
          <w:spacing w:val="-2"/>
          <w:kern w:val="16"/>
          <w:sz w:val="24"/>
        </w:rPr>
        <w:t>②</w:t>
      </w:r>
      <w:r>
        <w:rPr>
          <w:rFonts w:eastAsia="宋体"/>
          <w:color w:val="000000" w:themeColor="text1"/>
          <w:spacing w:val="-2"/>
          <w:kern w:val="16"/>
          <w:sz w:val="24"/>
        </w:rPr>
        <w:fldChar w:fldCharType="end"/>
      </w:r>
      <w:r>
        <w:rPr>
          <w:rFonts w:hAnsi="宋体" w:eastAsia="宋体"/>
          <w:color w:val="000000" w:themeColor="text1"/>
          <w:spacing w:val="-2"/>
          <w:kern w:val="16"/>
          <w:sz w:val="24"/>
        </w:rPr>
        <w:t>敏感点：由表</w:t>
      </w:r>
      <w:r>
        <w:rPr>
          <w:rFonts w:hint="eastAsia" w:eastAsia="宋体"/>
          <w:color w:val="000000" w:themeColor="text1"/>
          <w:spacing w:val="-2"/>
          <w:kern w:val="16"/>
          <w:sz w:val="24"/>
        </w:rPr>
        <w:t>5</w:t>
      </w:r>
      <w:r>
        <w:rPr>
          <w:rFonts w:hAnsi="宋体" w:eastAsia="宋体"/>
          <w:color w:val="000000" w:themeColor="text1"/>
          <w:spacing w:val="-2"/>
          <w:kern w:val="16"/>
          <w:sz w:val="24"/>
        </w:rPr>
        <w:t>可知，本工程敏感点处工频电场范围为</w:t>
      </w:r>
      <w:r>
        <w:rPr>
          <w:rFonts w:eastAsia="宋体"/>
          <w:color w:val="000000" w:themeColor="text1"/>
          <w:spacing w:val="-2"/>
          <w:kern w:val="16"/>
          <w:sz w:val="24"/>
        </w:rPr>
        <w:t>0.19</w:t>
      </w:r>
      <w:r>
        <w:rPr>
          <w:rFonts w:hAnsi="宋体" w:eastAsia="宋体"/>
          <w:color w:val="000000" w:themeColor="text1"/>
          <w:spacing w:val="-2"/>
          <w:kern w:val="16"/>
          <w:sz w:val="24"/>
        </w:rPr>
        <w:t>～</w:t>
      </w:r>
      <w:r>
        <w:rPr>
          <w:rFonts w:eastAsia="宋体"/>
          <w:color w:val="000000" w:themeColor="text1"/>
          <w:spacing w:val="-2"/>
          <w:kern w:val="16"/>
          <w:sz w:val="24"/>
        </w:rPr>
        <w:t>75.57V/m</w:t>
      </w:r>
      <w:r>
        <w:rPr>
          <w:rFonts w:hAnsi="宋体" w:eastAsia="宋体"/>
          <w:color w:val="000000" w:themeColor="text1"/>
          <w:spacing w:val="-2"/>
          <w:kern w:val="16"/>
          <w:sz w:val="24"/>
        </w:rPr>
        <w:t>，最大值</w:t>
      </w:r>
      <w:r>
        <w:rPr>
          <w:rFonts w:eastAsia="宋体"/>
          <w:color w:val="000000" w:themeColor="text1"/>
          <w:spacing w:val="-2"/>
          <w:kern w:val="16"/>
          <w:sz w:val="24"/>
        </w:rPr>
        <w:t>75.57V/m</w:t>
      </w:r>
      <w:r>
        <w:rPr>
          <w:rFonts w:hAnsi="宋体" w:eastAsia="宋体"/>
          <w:color w:val="000000" w:themeColor="text1"/>
          <w:spacing w:val="-2"/>
          <w:kern w:val="16"/>
          <w:sz w:val="24"/>
        </w:rPr>
        <w:t>出现在</w:t>
      </w:r>
      <w:r>
        <w:rPr>
          <w:rFonts w:hAnsi="宋体" w:eastAsia="宋体"/>
          <w:color w:val="000000" w:themeColor="text1"/>
          <w:sz w:val="24"/>
        </w:rPr>
        <w:t>张垌村王娟家</w:t>
      </w:r>
      <w:r>
        <w:rPr>
          <w:rFonts w:hAnsi="宋体" w:eastAsia="宋体"/>
          <w:color w:val="000000" w:themeColor="text1"/>
          <w:spacing w:val="-2"/>
          <w:kern w:val="16"/>
          <w:sz w:val="24"/>
        </w:rPr>
        <w:t>。敏感点处的工频电场现状值满足</w:t>
      </w:r>
      <w:r>
        <w:rPr>
          <w:rFonts w:eastAsia="宋体"/>
          <w:color w:val="000000" w:themeColor="text1"/>
          <w:spacing w:val="-2"/>
          <w:kern w:val="16"/>
          <w:sz w:val="24"/>
        </w:rPr>
        <w:t>4kV/m</w:t>
      </w:r>
      <w:r>
        <w:rPr>
          <w:rFonts w:hAnsi="宋体" w:eastAsia="宋体"/>
          <w:color w:val="000000" w:themeColor="text1"/>
          <w:spacing w:val="-2"/>
          <w:kern w:val="16"/>
          <w:sz w:val="24"/>
        </w:rPr>
        <w:t>的标准限值要求。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t>（2）工频磁感应强度</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1 \* GB3 </w:instrText>
      </w:r>
      <w:r>
        <w:rPr>
          <w:rFonts w:eastAsia="宋体"/>
          <w:color w:val="000000" w:themeColor="text1"/>
          <w:spacing w:val="-2"/>
          <w:kern w:val="16"/>
          <w:sz w:val="24"/>
        </w:rPr>
        <w:fldChar w:fldCharType="separate"/>
      </w:r>
      <w:r>
        <w:rPr>
          <w:rFonts w:hint="eastAsia" w:ascii="宋体" w:hAnsi="宋体" w:eastAsia="宋体" w:cs="宋体"/>
          <w:color w:val="000000" w:themeColor="text1"/>
          <w:spacing w:val="-2"/>
          <w:kern w:val="16"/>
          <w:sz w:val="24"/>
        </w:rPr>
        <w:t>①</w:t>
      </w:r>
      <w:r>
        <w:rPr>
          <w:rFonts w:eastAsia="宋体"/>
          <w:color w:val="000000" w:themeColor="text1"/>
          <w:spacing w:val="-2"/>
          <w:kern w:val="16"/>
          <w:sz w:val="24"/>
        </w:rPr>
        <w:fldChar w:fldCharType="end"/>
      </w:r>
      <w:r>
        <w:rPr>
          <w:rFonts w:eastAsia="宋体"/>
          <w:color w:val="000000" w:themeColor="text1"/>
          <w:spacing w:val="-2"/>
          <w:kern w:val="16"/>
          <w:sz w:val="24"/>
        </w:rPr>
        <w:t>升压站站址：由表</w:t>
      </w:r>
      <w:r>
        <w:rPr>
          <w:rFonts w:hint="eastAsia" w:eastAsia="宋体"/>
          <w:color w:val="000000" w:themeColor="text1"/>
          <w:spacing w:val="-2"/>
          <w:kern w:val="16"/>
          <w:sz w:val="24"/>
        </w:rPr>
        <w:t>5</w:t>
      </w:r>
      <w:r>
        <w:rPr>
          <w:rFonts w:eastAsia="宋体"/>
          <w:color w:val="000000" w:themeColor="text1"/>
          <w:spacing w:val="-2"/>
          <w:kern w:val="16"/>
          <w:sz w:val="24"/>
        </w:rPr>
        <w:t>可知，110kV升压站站址处工频磁感应强度范围为</w:t>
      </w:r>
      <w:r>
        <w:rPr>
          <w:rFonts w:hint="eastAsia" w:eastAsia="宋体"/>
          <w:color w:val="000000" w:themeColor="text1"/>
          <w:spacing w:val="-2"/>
          <w:kern w:val="16"/>
          <w:sz w:val="24"/>
        </w:rPr>
        <w:t>0.0046</w:t>
      </w:r>
      <w:r>
        <w:rPr>
          <w:rFonts w:eastAsia="宋体"/>
          <w:color w:val="000000" w:themeColor="text1"/>
          <w:spacing w:val="-2"/>
          <w:kern w:val="16"/>
          <w:sz w:val="24"/>
        </w:rPr>
        <w:t>～</w:t>
      </w:r>
      <w:r>
        <w:rPr>
          <w:rFonts w:hint="eastAsia" w:eastAsia="宋体"/>
          <w:color w:val="000000" w:themeColor="text1"/>
          <w:spacing w:val="-2"/>
          <w:kern w:val="16"/>
          <w:sz w:val="24"/>
        </w:rPr>
        <w:t>0.0064</w:t>
      </w:r>
      <w:r>
        <w:rPr>
          <w:rFonts w:eastAsia="宋体"/>
          <w:color w:val="000000" w:themeColor="text1"/>
          <w:spacing w:val="-2"/>
          <w:kern w:val="16"/>
          <w:sz w:val="24"/>
        </w:rPr>
        <w:t>μT。最大值0.</w:t>
      </w:r>
      <w:r>
        <w:rPr>
          <w:rFonts w:hint="eastAsia" w:eastAsia="宋体"/>
          <w:color w:val="000000" w:themeColor="text1"/>
          <w:spacing w:val="-2"/>
          <w:kern w:val="16"/>
          <w:sz w:val="24"/>
        </w:rPr>
        <w:t>0064</w:t>
      </w:r>
      <w:r>
        <w:rPr>
          <w:rFonts w:eastAsia="宋体"/>
          <w:color w:val="000000" w:themeColor="text1"/>
          <w:spacing w:val="-2"/>
          <w:kern w:val="16"/>
          <w:sz w:val="24"/>
        </w:rPr>
        <w:t>μT出现在升压站</w:t>
      </w:r>
      <w:r>
        <w:rPr>
          <w:rFonts w:hint="eastAsia" w:eastAsia="宋体"/>
          <w:color w:val="000000" w:themeColor="text1"/>
          <w:spacing w:val="-2"/>
          <w:kern w:val="16"/>
          <w:sz w:val="24"/>
        </w:rPr>
        <w:t>西</w:t>
      </w:r>
      <w:r>
        <w:rPr>
          <w:rFonts w:eastAsia="宋体"/>
          <w:color w:val="000000" w:themeColor="text1"/>
          <w:spacing w:val="-2"/>
          <w:kern w:val="16"/>
          <w:sz w:val="24"/>
        </w:rPr>
        <w:t>侧，站址四周工频磁感应强度现状值满足0.1mT的标准限值要求。</w:t>
      </w:r>
    </w:p>
    <w:p>
      <w:pPr>
        <w:autoSpaceDE w:val="0"/>
        <w:autoSpaceDN w:val="0"/>
        <w:adjustRightInd w:val="0"/>
        <w:spacing w:line="520" w:lineRule="exact"/>
        <w:ind w:firstLine="590" w:firstLineChars="250"/>
        <w:rPr>
          <w:rFonts w:eastAsia="宋体"/>
          <w:color w:val="000000" w:themeColor="text1"/>
          <w:spacing w:val="-2"/>
          <w:kern w:val="16"/>
          <w:sz w:val="24"/>
        </w:rPr>
      </w:pPr>
      <w:r>
        <w:rPr>
          <w:rFonts w:eastAsia="宋体"/>
          <w:color w:val="000000" w:themeColor="text1"/>
          <w:spacing w:val="-2"/>
          <w:kern w:val="16"/>
          <w:sz w:val="24"/>
        </w:rPr>
        <w:fldChar w:fldCharType="begin"/>
      </w:r>
      <w:r>
        <w:rPr>
          <w:rFonts w:eastAsia="宋体"/>
          <w:color w:val="000000" w:themeColor="text1"/>
          <w:spacing w:val="-2"/>
          <w:kern w:val="16"/>
          <w:sz w:val="24"/>
        </w:rPr>
        <w:instrText xml:space="preserve"> = 2 \* GB3 </w:instrText>
      </w:r>
      <w:r>
        <w:rPr>
          <w:rFonts w:eastAsia="宋体"/>
          <w:color w:val="000000" w:themeColor="text1"/>
          <w:spacing w:val="-2"/>
          <w:kern w:val="16"/>
          <w:sz w:val="24"/>
        </w:rPr>
        <w:fldChar w:fldCharType="separate"/>
      </w:r>
      <w:r>
        <w:rPr>
          <w:rFonts w:hAnsi="宋体" w:eastAsia="宋体"/>
          <w:color w:val="000000" w:themeColor="text1"/>
          <w:spacing w:val="-2"/>
          <w:kern w:val="16"/>
          <w:sz w:val="24"/>
        </w:rPr>
        <w:t>②</w:t>
      </w:r>
      <w:r>
        <w:rPr>
          <w:rFonts w:eastAsia="宋体"/>
          <w:color w:val="000000" w:themeColor="text1"/>
          <w:spacing w:val="-2"/>
          <w:kern w:val="16"/>
          <w:sz w:val="24"/>
        </w:rPr>
        <w:fldChar w:fldCharType="end"/>
      </w:r>
      <w:r>
        <w:rPr>
          <w:rFonts w:hAnsi="宋体" w:eastAsia="宋体"/>
          <w:color w:val="000000" w:themeColor="text1"/>
          <w:spacing w:val="-2"/>
          <w:kern w:val="16"/>
          <w:sz w:val="24"/>
        </w:rPr>
        <w:t>敏感点：表</w:t>
      </w:r>
      <w:r>
        <w:rPr>
          <w:rFonts w:hint="eastAsia" w:eastAsia="宋体"/>
          <w:color w:val="000000" w:themeColor="text1"/>
          <w:spacing w:val="-2"/>
          <w:kern w:val="16"/>
          <w:sz w:val="24"/>
        </w:rPr>
        <w:t>5</w:t>
      </w:r>
      <w:r>
        <w:rPr>
          <w:rFonts w:hAnsi="宋体" w:eastAsia="宋体"/>
          <w:color w:val="000000" w:themeColor="text1"/>
          <w:spacing w:val="-2"/>
          <w:kern w:val="16"/>
          <w:sz w:val="24"/>
        </w:rPr>
        <w:t>可知，本工程敏感点处工频磁感应强度范围为</w:t>
      </w:r>
      <w:r>
        <w:rPr>
          <w:rFonts w:eastAsia="宋体"/>
          <w:color w:val="000000" w:themeColor="text1"/>
          <w:spacing w:val="-2"/>
          <w:kern w:val="16"/>
          <w:sz w:val="24"/>
        </w:rPr>
        <w:t>0.0238</w:t>
      </w:r>
      <w:r>
        <w:rPr>
          <w:rFonts w:hAnsi="宋体" w:eastAsia="宋体"/>
          <w:color w:val="000000" w:themeColor="text1"/>
          <w:spacing w:val="-2"/>
          <w:kern w:val="16"/>
          <w:sz w:val="24"/>
        </w:rPr>
        <w:t>～</w:t>
      </w:r>
      <w:r>
        <w:rPr>
          <w:rFonts w:eastAsia="宋体"/>
          <w:color w:val="000000" w:themeColor="text1"/>
          <w:spacing w:val="-2"/>
          <w:kern w:val="16"/>
          <w:sz w:val="24"/>
        </w:rPr>
        <w:t>0.1873μT</w:t>
      </w:r>
      <w:r>
        <w:rPr>
          <w:rFonts w:hAnsi="宋体" w:eastAsia="宋体"/>
          <w:color w:val="000000" w:themeColor="text1"/>
          <w:spacing w:val="-2"/>
          <w:kern w:val="16"/>
          <w:sz w:val="24"/>
        </w:rPr>
        <w:t>。最大值</w:t>
      </w:r>
      <w:r>
        <w:rPr>
          <w:rFonts w:eastAsia="宋体"/>
          <w:color w:val="000000" w:themeColor="text1"/>
          <w:spacing w:val="-2"/>
          <w:kern w:val="16"/>
          <w:sz w:val="24"/>
        </w:rPr>
        <w:t>0.1873μT</w:t>
      </w:r>
      <w:r>
        <w:rPr>
          <w:rFonts w:hAnsi="宋体" w:eastAsia="宋体"/>
          <w:color w:val="000000" w:themeColor="text1"/>
          <w:spacing w:val="-2"/>
          <w:kern w:val="16"/>
          <w:sz w:val="24"/>
        </w:rPr>
        <w:t>出现在</w:t>
      </w:r>
      <w:r>
        <w:rPr>
          <w:rFonts w:hAnsi="宋体" w:eastAsia="宋体"/>
          <w:color w:val="000000" w:themeColor="text1"/>
          <w:sz w:val="24"/>
        </w:rPr>
        <w:t>张垌村王娟家</w:t>
      </w:r>
      <w:r>
        <w:rPr>
          <w:rFonts w:hAnsi="宋体" w:eastAsia="宋体"/>
          <w:color w:val="000000" w:themeColor="text1"/>
          <w:spacing w:val="-2"/>
          <w:kern w:val="16"/>
          <w:sz w:val="24"/>
        </w:rPr>
        <w:t>。敏感点处的工频磁感应强度现</w:t>
      </w:r>
      <w:r>
        <w:rPr>
          <w:rFonts w:eastAsia="宋体"/>
          <w:color w:val="000000" w:themeColor="text1"/>
          <w:spacing w:val="-2"/>
          <w:kern w:val="16"/>
          <w:sz w:val="24"/>
        </w:rPr>
        <w:t>状值满足0.1mT的标准限值要求。</w:t>
      </w:r>
    </w:p>
    <w:p>
      <w:pPr>
        <w:widowControl/>
        <w:adjustRightInd w:val="0"/>
        <w:snapToGrid w:val="0"/>
        <w:spacing w:line="520" w:lineRule="exact"/>
        <w:jc w:val="left"/>
        <w:rPr>
          <w:rFonts w:eastAsia="宋体"/>
          <w:b/>
          <w:kern w:val="0"/>
          <w:sz w:val="24"/>
          <w:szCs w:val="22"/>
        </w:rPr>
      </w:pPr>
      <w:r>
        <w:rPr>
          <w:rFonts w:eastAsia="宋体"/>
          <w:b/>
          <w:kern w:val="0"/>
          <w:sz w:val="24"/>
          <w:szCs w:val="22"/>
        </w:rPr>
        <w:t>4电磁环境预测与评价</w:t>
      </w:r>
    </w:p>
    <w:p>
      <w:pPr>
        <w:spacing w:line="520" w:lineRule="exact"/>
        <w:ind w:firstLine="472" w:firstLineChars="200"/>
        <w:rPr>
          <w:rFonts w:eastAsia="宋体"/>
          <w:spacing w:val="-2"/>
          <w:kern w:val="16"/>
          <w:sz w:val="24"/>
        </w:rPr>
      </w:pPr>
      <w:r>
        <w:rPr>
          <w:rFonts w:hAnsi="宋体" w:eastAsia="宋体"/>
          <w:spacing w:val="-2"/>
          <w:kern w:val="16"/>
          <w:sz w:val="24"/>
        </w:rPr>
        <w:t>中广核禹州市苌庄</w:t>
      </w:r>
      <w:r>
        <w:rPr>
          <w:rFonts w:eastAsia="宋体"/>
          <w:spacing w:val="-2"/>
          <w:kern w:val="16"/>
          <w:sz w:val="24"/>
        </w:rPr>
        <w:t>80MW</w:t>
      </w:r>
      <w:r>
        <w:rPr>
          <w:rFonts w:hAnsi="宋体" w:eastAsia="宋体"/>
          <w:spacing w:val="-2"/>
          <w:kern w:val="16"/>
          <w:sz w:val="24"/>
        </w:rPr>
        <w:t>风电场</w:t>
      </w:r>
      <w:r>
        <w:rPr>
          <w:rFonts w:eastAsia="宋体"/>
          <w:spacing w:val="-2"/>
          <w:kern w:val="16"/>
          <w:sz w:val="24"/>
        </w:rPr>
        <w:t>110kV</w:t>
      </w:r>
      <w:r>
        <w:rPr>
          <w:rFonts w:hAnsi="宋体" w:eastAsia="宋体"/>
          <w:spacing w:val="-2"/>
          <w:kern w:val="16"/>
          <w:sz w:val="24"/>
        </w:rPr>
        <w:t>升压站及送出线路工程磁环境分析采用类比监测来进行分析、预测和评</w:t>
      </w:r>
      <w:r>
        <w:rPr>
          <w:rFonts w:eastAsia="宋体"/>
          <w:spacing w:val="-2"/>
          <w:kern w:val="16"/>
          <w:sz w:val="24"/>
        </w:rPr>
        <w:t>价，输电线路电磁环境分析、预测和评价采用类比监测分析法及模式预测法。</w:t>
      </w:r>
    </w:p>
    <w:p>
      <w:pPr>
        <w:widowControl/>
        <w:adjustRightInd w:val="0"/>
        <w:snapToGrid w:val="0"/>
        <w:spacing w:line="520" w:lineRule="exact"/>
        <w:jc w:val="left"/>
        <w:rPr>
          <w:rFonts w:eastAsia="宋体"/>
          <w:b/>
          <w:kern w:val="0"/>
          <w:sz w:val="24"/>
          <w:szCs w:val="22"/>
        </w:rPr>
      </w:pPr>
      <w:r>
        <w:rPr>
          <w:rFonts w:hint="eastAsia" w:eastAsia="宋体"/>
          <w:b/>
          <w:kern w:val="0"/>
          <w:sz w:val="24"/>
          <w:szCs w:val="22"/>
        </w:rPr>
        <w:t>5</w:t>
      </w:r>
      <w:r>
        <w:rPr>
          <w:rFonts w:eastAsia="宋体"/>
          <w:b/>
          <w:kern w:val="0"/>
          <w:sz w:val="24"/>
          <w:szCs w:val="22"/>
        </w:rPr>
        <w:t>电磁环境影响分析</w:t>
      </w:r>
    </w:p>
    <w:p>
      <w:pPr>
        <w:adjustRightInd w:val="0"/>
        <w:spacing w:line="520" w:lineRule="exact"/>
        <w:rPr>
          <w:rFonts w:eastAsia="宋体"/>
          <w:b/>
          <w:sz w:val="24"/>
        </w:rPr>
      </w:pPr>
      <w:r>
        <w:rPr>
          <w:rFonts w:hint="eastAsia" w:eastAsia="宋体"/>
          <w:b/>
          <w:sz w:val="24"/>
        </w:rPr>
        <w:t>5.1</w:t>
      </w:r>
      <w:r>
        <w:rPr>
          <w:rFonts w:eastAsia="宋体"/>
          <w:b/>
          <w:sz w:val="24"/>
        </w:rPr>
        <w:t>升压站电磁环境影响类比监测及分析</w:t>
      </w:r>
    </w:p>
    <w:p>
      <w:pPr>
        <w:spacing w:line="520" w:lineRule="exact"/>
        <w:ind w:firstLine="480" w:firstLineChars="200"/>
        <w:rPr>
          <w:rFonts w:eastAsia="宋体"/>
          <w:sz w:val="24"/>
        </w:rPr>
      </w:pPr>
      <w:r>
        <w:rPr>
          <w:rFonts w:eastAsia="宋体"/>
          <w:sz w:val="24"/>
        </w:rPr>
        <w:t>本次评价采取对同类型升压站进行类比监测的方法来预测、分析和评价本工程投运后的电磁环境影响。</w:t>
      </w:r>
    </w:p>
    <w:p>
      <w:pPr>
        <w:spacing w:line="520" w:lineRule="exact"/>
        <w:ind w:firstLine="480" w:firstLineChars="200"/>
        <w:rPr>
          <w:rFonts w:eastAsia="宋体"/>
          <w:sz w:val="24"/>
        </w:rPr>
      </w:pPr>
      <w:r>
        <w:rPr>
          <w:rFonts w:eastAsia="宋体"/>
          <w:sz w:val="24"/>
        </w:rPr>
        <w:t>（1）选择类比对象原则</w:t>
      </w:r>
    </w:p>
    <w:p>
      <w:pPr>
        <w:widowControl/>
        <w:adjustRightInd w:val="0"/>
        <w:snapToGrid w:val="0"/>
        <w:spacing w:line="520" w:lineRule="exact"/>
        <w:ind w:firstLine="480" w:firstLineChars="200"/>
        <w:rPr>
          <w:rFonts w:eastAsia="宋体"/>
          <w:kern w:val="0"/>
          <w:sz w:val="24"/>
          <w:szCs w:val="22"/>
        </w:rPr>
      </w:pPr>
      <w:r>
        <w:rPr>
          <w:rFonts w:eastAsia="宋体"/>
          <w:kern w:val="0"/>
          <w:sz w:val="24"/>
          <w:szCs w:val="22"/>
        </w:rPr>
        <w:t>工频电场强度主要取决于电压等级及敏感点与源的距离，并与环境湿度、植被及地理地形因子等屏蔽条件相关；工频磁感应强度主要取决于电流及敏感点与源的距离。</w:t>
      </w:r>
    </w:p>
    <w:p>
      <w:pPr>
        <w:widowControl/>
        <w:adjustRightInd w:val="0"/>
        <w:snapToGrid w:val="0"/>
        <w:spacing w:line="520" w:lineRule="exact"/>
        <w:ind w:firstLine="480" w:firstLineChars="200"/>
        <w:rPr>
          <w:rFonts w:eastAsia="宋体"/>
          <w:kern w:val="0"/>
          <w:sz w:val="24"/>
          <w:szCs w:val="22"/>
        </w:rPr>
      </w:pPr>
      <w:r>
        <w:rPr>
          <w:rFonts w:eastAsia="宋体"/>
          <w:kern w:val="0"/>
          <w:sz w:val="24"/>
          <w:szCs w:val="22"/>
        </w:rPr>
        <w:t>变电站电磁环境类比测量，从严格意义讲，具有相同的变电站型式、完全相同的设备型号（决定了电压等级及额定功率、额定电流等）、布置情况（决定了距离因子）和环境条件是最理想的，即：不仅有相同变电站型式、主变压器数量和容量，而且一次主接线也相同，布置情况及环境条件也相同。但是要满足这样的条件是很困难的，要解决这一实际困难，可以在关键部分相同，而达到进行类比的条件。所谓关键部分，就是主要的工频电场、工频磁感应强度产生源。</w:t>
      </w:r>
    </w:p>
    <w:p>
      <w:pPr>
        <w:widowControl/>
        <w:adjustRightInd w:val="0"/>
        <w:snapToGrid w:val="0"/>
        <w:spacing w:line="520" w:lineRule="exact"/>
        <w:ind w:firstLine="480" w:firstLineChars="200"/>
        <w:rPr>
          <w:rFonts w:eastAsia="宋体"/>
          <w:kern w:val="0"/>
          <w:sz w:val="24"/>
          <w:szCs w:val="22"/>
        </w:rPr>
      </w:pPr>
      <w:r>
        <w:rPr>
          <w:rFonts w:eastAsia="宋体"/>
          <w:kern w:val="0"/>
          <w:sz w:val="24"/>
          <w:szCs w:val="22"/>
        </w:rPr>
        <w:t>对于变电站围墙外的工频电场，要求最近的高压带电构架布置一致、电压相同，此时就可以认为具有可比性；同样对于变电站围墙外的工频磁感应强度，也要求最近的通流导体的布置和电流相同才具有可比性。实际情况是，工频电场的类比条件相对容易实现，因为变电站主设备和母线电压是基本稳定的，不会随时间和负荷的变化而产生大的变化。但是产生工频磁感应强度的电流却是随负荷变化而有较大的变化。</w:t>
      </w:r>
    </w:p>
    <w:p>
      <w:pPr>
        <w:widowControl/>
        <w:adjustRightInd w:val="0"/>
        <w:snapToGrid w:val="0"/>
        <w:spacing w:line="520" w:lineRule="exact"/>
        <w:ind w:firstLine="480" w:firstLineChars="200"/>
        <w:rPr>
          <w:rFonts w:eastAsia="宋体"/>
          <w:kern w:val="0"/>
          <w:sz w:val="24"/>
          <w:szCs w:val="22"/>
        </w:rPr>
      </w:pPr>
      <w:r>
        <w:rPr>
          <w:rFonts w:eastAsia="宋体"/>
          <w:kern w:val="0"/>
          <w:sz w:val="24"/>
          <w:szCs w:val="22"/>
        </w:rPr>
        <w:t>根据以往对诸多变电站的电磁环境的类比监测结果，变电站周围的工频磁感应强度场强远小于100μT的限值标准，因此本工程主要针对工频电场选取类比对象。</w:t>
      </w:r>
    </w:p>
    <w:p>
      <w:pPr>
        <w:widowControl/>
        <w:adjustRightInd w:val="0"/>
        <w:snapToGrid w:val="0"/>
        <w:spacing w:line="520" w:lineRule="exact"/>
        <w:ind w:firstLine="480" w:firstLineChars="200"/>
        <w:rPr>
          <w:rFonts w:eastAsia="宋体"/>
          <w:kern w:val="0"/>
          <w:sz w:val="24"/>
          <w:szCs w:val="22"/>
        </w:rPr>
      </w:pPr>
      <w:r>
        <w:rPr>
          <w:rFonts w:eastAsia="宋体"/>
          <w:kern w:val="0"/>
          <w:sz w:val="24"/>
          <w:szCs w:val="22"/>
        </w:rPr>
        <w:t>（2）类比对象</w:t>
      </w:r>
    </w:p>
    <w:p>
      <w:pPr>
        <w:spacing w:line="520" w:lineRule="exact"/>
        <w:ind w:firstLine="480" w:firstLineChars="200"/>
        <w:rPr>
          <w:rFonts w:eastAsia="宋体"/>
          <w:sz w:val="24"/>
        </w:rPr>
      </w:pPr>
      <w:r>
        <w:rPr>
          <w:rFonts w:eastAsia="宋体"/>
          <w:kern w:val="0"/>
          <w:sz w:val="24"/>
          <w:szCs w:val="22"/>
        </w:rPr>
        <w:t>根据上述类比对象选择的原则，由于河南省省内电压等级110kV主变容量80MVA的升压站现行较，所以类比对象选择了濮阳润丰新能源有限公司润清风电场新建 110 千伏升压站</w:t>
      </w:r>
      <w:r>
        <w:rPr>
          <w:rFonts w:eastAsia="宋体"/>
          <w:sz w:val="24"/>
        </w:rPr>
        <w:t>作为类比监测对象，类比升压站有关情况如表1-6所示。</w:t>
      </w:r>
    </w:p>
    <w:p>
      <w:pPr>
        <w:pStyle w:val="4"/>
        <w:adjustRightInd w:val="0"/>
        <w:snapToGrid w:val="0"/>
        <w:spacing w:line="520" w:lineRule="exact"/>
        <w:ind w:firstLine="480" w:firstLineChars="200"/>
        <w:rPr>
          <w:rFonts w:ascii="Times New Roman" w:hAnsi="黑体"/>
          <w:sz w:val="24"/>
          <w:szCs w:val="24"/>
        </w:rPr>
      </w:pPr>
    </w:p>
    <w:p>
      <w:pPr>
        <w:pStyle w:val="4"/>
        <w:adjustRightInd w:val="0"/>
        <w:snapToGrid w:val="0"/>
        <w:spacing w:line="520" w:lineRule="exact"/>
        <w:ind w:firstLine="480" w:firstLineChars="200"/>
        <w:rPr>
          <w:rFonts w:ascii="Times New Roman" w:hAnsi="黑体"/>
          <w:sz w:val="24"/>
          <w:szCs w:val="24"/>
        </w:rPr>
      </w:pPr>
    </w:p>
    <w:p>
      <w:pPr>
        <w:pStyle w:val="4"/>
        <w:adjustRightInd w:val="0"/>
        <w:snapToGrid w:val="0"/>
        <w:spacing w:line="520" w:lineRule="exact"/>
        <w:ind w:firstLine="480" w:firstLineChars="200"/>
        <w:rPr>
          <w:rFonts w:ascii="Times New Roman" w:hAnsi="黑体"/>
          <w:sz w:val="24"/>
          <w:szCs w:val="24"/>
        </w:rPr>
      </w:pPr>
    </w:p>
    <w:p>
      <w:pPr>
        <w:pStyle w:val="4"/>
        <w:adjustRightInd w:val="0"/>
        <w:snapToGrid w:val="0"/>
        <w:spacing w:line="520" w:lineRule="exact"/>
        <w:ind w:firstLine="480" w:firstLineChars="200"/>
        <w:rPr>
          <w:rFonts w:ascii="Times New Roman" w:hAnsi="Times New Roman"/>
          <w:sz w:val="24"/>
          <w:szCs w:val="24"/>
        </w:rPr>
      </w:pPr>
      <w:r>
        <w:rPr>
          <w:rFonts w:ascii="Times New Roman" w:hAnsi="黑体"/>
          <w:sz w:val="24"/>
          <w:szCs w:val="24"/>
        </w:rPr>
        <w:t>表</w:t>
      </w:r>
      <w:r>
        <w:rPr>
          <w:rFonts w:ascii="Times New Roman" w:hAnsi="Times New Roman"/>
          <w:sz w:val="24"/>
          <w:szCs w:val="24"/>
        </w:rPr>
        <w:t xml:space="preserve"> 6               </w:t>
      </w:r>
      <w:r>
        <w:rPr>
          <w:rFonts w:ascii="Times New Roman" w:hAnsi="黑体"/>
          <w:sz w:val="24"/>
          <w:szCs w:val="24"/>
        </w:rPr>
        <w:t>本工程升压站与类比对象情况对比</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339"/>
        <w:gridCol w:w="3261"/>
        <w:gridCol w:w="11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38" w:type="dxa"/>
            <w:vAlign w:val="center"/>
          </w:tcPr>
          <w:p>
            <w:pPr>
              <w:spacing w:line="360" w:lineRule="exact"/>
              <w:jc w:val="center"/>
              <w:rPr>
                <w:rFonts w:eastAsia="宋体"/>
                <w:sz w:val="21"/>
                <w:szCs w:val="21"/>
              </w:rPr>
            </w:pPr>
            <w:r>
              <w:rPr>
                <w:rFonts w:eastAsia="宋体"/>
                <w:sz w:val="21"/>
                <w:szCs w:val="21"/>
              </w:rPr>
              <w:t>设施</w:t>
            </w:r>
          </w:p>
        </w:tc>
        <w:tc>
          <w:tcPr>
            <w:tcW w:w="2339" w:type="dxa"/>
            <w:vAlign w:val="center"/>
          </w:tcPr>
          <w:p>
            <w:pPr>
              <w:spacing w:line="360" w:lineRule="exact"/>
              <w:jc w:val="center"/>
              <w:rPr>
                <w:rFonts w:eastAsia="宋体"/>
                <w:sz w:val="21"/>
                <w:szCs w:val="21"/>
              </w:rPr>
            </w:pPr>
            <w:r>
              <w:rPr>
                <w:rFonts w:hint="eastAsia" w:eastAsia="宋体"/>
                <w:sz w:val="21"/>
                <w:szCs w:val="21"/>
              </w:rPr>
              <w:t>110</w:t>
            </w:r>
            <w:r>
              <w:rPr>
                <w:rFonts w:eastAsia="宋体"/>
                <w:sz w:val="21"/>
                <w:szCs w:val="21"/>
              </w:rPr>
              <w:t>kV</w:t>
            </w:r>
            <w:r>
              <w:rPr>
                <w:rFonts w:hint="eastAsia" w:eastAsia="宋体"/>
                <w:sz w:val="21"/>
                <w:szCs w:val="21"/>
              </w:rPr>
              <w:t>升压站</w:t>
            </w:r>
            <w:r>
              <w:rPr>
                <w:rFonts w:eastAsia="宋体"/>
                <w:sz w:val="21"/>
                <w:szCs w:val="21"/>
              </w:rPr>
              <w:t>终期规模</w:t>
            </w:r>
          </w:p>
        </w:tc>
        <w:tc>
          <w:tcPr>
            <w:tcW w:w="3261" w:type="dxa"/>
            <w:vAlign w:val="center"/>
          </w:tcPr>
          <w:p>
            <w:pPr>
              <w:spacing w:line="360" w:lineRule="exact"/>
              <w:jc w:val="center"/>
              <w:rPr>
                <w:rFonts w:eastAsia="宋体"/>
                <w:sz w:val="21"/>
                <w:szCs w:val="21"/>
              </w:rPr>
            </w:pPr>
            <w:r>
              <w:rPr>
                <w:rFonts w:hint="eastAsia" w:hAnsi="宋体" w:eastAsia="宋体"/>
                <w:kern w:val="0"/>
                <w:sz w:val="21"/>
                <w:szCs w:val="21"/>
              </w:rPr>
              <w:t>润清风电场新建 110 千伏升压</w:t>
            </w:r>
          </w:p>
        </w:tc>
        <w:tc>
          <w:tcPr>
            <w:tcW w:w="1184" w:type="dxa"/>
            <w:vAlign w:val="center"/>
          </w:tcPr>
          <w:p>
            <w:pPr>
              <w:spacing w:line="360" w:lineRule="exact"/>
              <w:jc w:val="center"/>
              <w:rPr>
                <w:rFonts w:eastAsia="宋体"/>
                <w:sz w:val="21"/>
                <w:szCs w:val="21"/>
              </w:rPr>
            </w:pPr>
            <w:r>
              <w:rPr>
                <w:rFonts w:hint="eastAsia" w:eastAsia="宋体"/>
                <w:sz w:val="21"/>
                <w:szCs w:val="21"/>
              </w:rPr>
              <w:t>差异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8" w:type="dxa"/>
            <w:vAlign w:val="center"/>
          </w:tcPr>
          <w:p>
            <w:pPr>
              <w:spacing w:line="360" w:lineRule="exact"/>
              <w:jc w:val="center"/>
              <w:rPr>
                <w:rFonts w:eastAsia="宋体"/>
                <w:sz w:val="21"/>
                <w:szCs w:val="21"/>
              </w:rPr>
            </w:pPr>
            <w:r>
              <w:rPr>
                <w:rFonts w:eastAsia="宋体"/>
                <w:sz w:val="21"/>
                <w:szCs w:val="21"/>
              </w:rPr>
              <w:t>电压等级（kV）</w:t>
            </w:r>
          </w:p>
        </w:tc>
        <w:tc>
          <w:tcPr>
            <w:tcW w:w="2339" w:type="dxa"/>
            <w:vAlign w:val="center"/>
          </w:tcPr>
          <w:p>
            <w:pPr>
              <w:spacing w:line="360" w:lineRule="exact"/>
              <w:jc w:val="center"/>
              <w:rPr>
                <w:rFonts w:eastAsia="宋体"/>
                <w:sz w:val="21"/>
                <w:szCs w:val="21"/>
              </w:rPr>
            </w:pPr>
            <w:r>
              <w:rPr>
                <w:rFonts w:eastAsia="宋体"/>
                <w:sz w:val="21"/>
                <w:szCs w:val="21"/>
              </w:rPr>
              <w:t>110</w:t>
            </w:r>
          </w:p>
        </w:tc>
        <w:tc>
          <w:tcPr>
            <w:tcW w:w="3261" w:type="dxa"/>
            <w:vAlign w:val="center"/>
          </w:tcPr>
          <w:p>
            <w:pPr>
              <w:spacing w:line="360" w:lineRule="exact"/>
              <w:jc w:val="center"/>
              <w:rPr>
                <w:rFonts w:eastAsia="宋体"/>
                <w:sz w:val="21"/>
                <w:szCs w:val="21"/>
              </w:rPr>
            </w:pPr>
            <w:r>
              <w:rPr>
                <w:rFonts w:eastAsia="宋体"/>
                <w:sz w:val="21"/>
                <w:szCs w:val="21"/>
              </w:rPr>
              <w:t>110</w:t>
            </w:r>
          </w:p>
        </w:tc>
        <w:tc>
          <w:tcPr>
            <w:tcW w:w="1184" w:type="dxa"/>
            <w:vAlign w:val="center"/>
          </w:tcPr>
          <w:p>
            <w:pPr>
              <w:spacing w:line="360" w:lineRule="exact"/>
              <w:jc w:val="center"/>
              <w:rPr>
                <w:rFonts w:eastAsia="宋体"/>
                <w:sz w:val="21"/>
                <w:szCs w:val="21"/>
              </w:rPr>
            </w:pPr>
            <w:r>
              <w:rPr>
                <w:rFonts w:hint="eastAsia" w:eastAsia="宋体"/>
                <w:sz w:val="21"/>
                <w:szCs w:val="21"/>
              </w:rPr>
              <w:t>相同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8" w:type="dxa"/>
            <w:vAlign w:val="center"/>
          </w:tcPr>
          <w:p>
            <w:pPr>
              <w:spacing w:line="360" w:lineRule="exact"/>
              <w:jc w:val="center"/>
              <w:rPr>
                <w:rFonts w:eastAsia="宋体"/>
                <w:sz w:val="21"/>
                <w:szCs w:val="21"/>
              </w:rPr>
            </w:pPr>
            <w:r>
              <w:rPr>
                <w:rFonts w:eastAsia="宋体"/>
                <w:sz w:val="21"/>
                <w:szCs w:val="21"/>
              </w:rPr>
              <w:t>主变容量（MVA）</w:t>
            </w:r>
          </w:p>
        </w:tc>
        <w:tc>
          <w:tcPr>
            <w:tcW w:w="2339" w:type="dxa"/>
            <w:vAlign w:val="center"/>
          </w:tcPr>
          <w:p>
            <w:pPr>
              <w:spacing w:line="360" w:lineRule="exact"/>
              <w:jc w:val="center"/>
              <w:rPr>
                <w:rFonts w:eastAsia="宋体"/>
                <w:sz w:val="21"/>
                <w:szCs w:val="21"/>
              </w:rPr>
            </w:pPr>
            <w:r>
              <w:rPr>
                <w:rFonts w:hint="eastAsia" w:eastAsia="宋体"/>
                <w:sz w:val="21"/>
                <w:szCs w:val="21"/>
              </w:rPr>
              <w:t>80</w:t>
            </w:r>
          </w:p>
        </w:tc>
        <w:tc>
          <w:tcPr>
            <w:tcW w:w="3261" w:type="dxa"/>
            <w:vAlign w:val="center"/>
          </w:tcPr>
          <w:p>
            <w:pPr>
              <w:spacing w:line="360" w:lineRule="exact"/>
              <w:jc w:val="center"/>
              <w:rPr>
                <w:rFonts w:eastAsia="宋体"/>
                <w:sz w:val="21"/>
                <w:szCs w:val="21"/>
              </w:rPr>
            </w:pPr>
            <w:r>
              <w:rPr>
                <w:rFonts w:hint="eastAsia" w:eastAsia="宋体"/>
                <w:sz w:val="21"/>
                <w:szCs w:val="21"/>
              </w:rPr>
              <w:t>100</w:t>
            </w:r>
          </w:p>
        </w:tc>
        <w:tc>
          <w:tcPr>
            <w:tcW w:w="1184" w:type="dxa"/>
            <w:vAlign w:val="center"/>
          </w:tcPr>
          <w:p>
            <w:pPr>
              <w:spacing w:line="360" w:lineRule="exact"/>
              <w:jc w:val="center"/>
              <w:rPr>
                <w:rFonts w:eastAsia="宋体"/>
                <w:sz w:val="21"/>
                <w:szCs w:val="21"/>
              </w:rPr>
            </w:pPr>
            <w:r>
              <w:rPr>
                <w:rFonts w:hint="eastAsia" w:eastAsia="宋体"/>
                <w:sz w:val="21"/>
                <w:szCs w:val="21"/>
              </w:rPr>
              <w:t>不同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8" w:type="dxa"/>
            <w:vAlign w:val="center"/>
          </w:tcPr>
          <w:p>
            <w:pPr>
              <w:spacing w:line="360" w:lineRule="exact"/>
              <w:jc w:val="center"/>
              <w:rPr>
                <w:rFonts w:eastAsia="宋体"/>
                <w:sz w:val="21"/>
                <w:szCs w:val="21"/>
              </w:rPr>
            </w:pPr>
            <w:r>
              <w:rPr>
                <w:rFonts w:eastAsia="宋体"/>
                <w:sz w:val="21"/>
                <w:szCs w:val="21"/>
              </w:rPr>
              <w:t>主变台数（台）</w:t>
            </w:r>
          </w:p>
        </w:tc>
        <w:tc>
          <w:tcPr>
            <w:tcW w:w="2339" w:type="dxa"/>
            <w:vAlign w:val="center"/>
          </w:tcPr>
          <w:p>
            <w:pPr>
              <w:spacing w:line="360" w:lineRule="exact"/>
              <w:jc w:val="center"/>
              <w:rPr>
                <w:rFonts w:eastAsia="宋体"/>
                <w:sz w:val="21"/>
                <w:szCs w:val="21"/>
              </w:rPr>
            </w:pPr>
            <w:r>
              <w:rPr>
                <w:rFonts w:eastAsia="宋体"/>
                <w:sz w:val="21"/>
                <w:szCs w:val="21"/>
              </w:rPr>
              <w:t>1</w:t>
            </w:r>
          </w:p>
        </w:tc>
        <w:tc>
          <w:tcPr>
            <w:tcW w:w="3261" w:type="dxa"/>
            <w:vAlign w:val="center"/>
          </w:tcPr>
          <w:p>
            <w:pPr>
              <w:spacing w:line="360" w:lineRule="exact"/>
              <w:jc w:val="center"/>
              <w:rPr>
                <w:rFonts w:eastAsia="宋体"/>
                <w:sz w:val="21"/>
                <w:szCs w:val="21"/>
              </w:rPr>
            </w:pPr>
            <w:r>
              <w:rPr>
                <w:rFonts w:hint="eastAsia" w:eastAsia="宋体"/>
                <w:sz w:val="21"/>
                <w:szCs w:val="21"/>
              </w:rPr>
              <w:t>1</w:t>
            </w:r>
          </w:p>
        </w:tc>
        <w:tc>
          <w:tcPr>
            <w:tcW w:w="1184" w:type="dxa"/>
            <w:vAlign w:val="center"/>
          </w:tcPr>
          <w:p>
            <w:pPr>
              <w:spacing w:line="360" w:lineRule="exact"/>
              <w:jc w:val="center"/>
              <w:rPr>
                <w:rFonts w:eastAsia="宋体"/>
                <w:sz w:val="21"/>
                <w:szCs w:val="21"/>
              </w:rPr>
            </w:pPr>
            <w:r>
              <w:rPr>
                <w:rFonts w:hint="eastAsia" w:eastAsia="宋体"/>
                <w:sz w:val="21"/>
                <w:szCs w:val="21"/>
              </w:rPr>
              <w:t>相同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8" w:type="dxa"/>
            <w:vAlign w:val="center"/>
          </w:tcPr>
          <w:p>
            <w:pPr>
              <w:spacing w:line="360" w:lineRule="exact"/>
              <w:jc w:val="center"/>
              <w:rPr>
                <w:rFonts w:eastAsia="宋体"/>
                <w:sz w:val="21"/>
                <w:szCs w:val="21"/>
              </w:rPr>
            </w:pPr>
            <w:r>
              <w:rPr>
                <w:rFonts w:hint="eastAsia" w:eastAsia="宋体"/>
                <w:sz w:val="21"/>
                <w:szCs w:val="21"/>
              </w:rPr>
              <w:t>面积</w:t>
            </w:r>
          </w:p>
        </w:tc>
        <w:tc>
          <w:tcPr>
            <w:tcW w:w="2339" w:type="dxa"/>
            <w:vAlign w:val="center"/>
          </w:tcPr>
          <w:p>
            <w:pPr>
              <w:spacing w:line="360" w:lineRule="exact"/>
              <w:jc w:val="center"/>
              <w:rPr>
                <w:rFonts w:eastAsia="宋体"/>
                <w:sz w:val="21"/>
                <w:szCs w:val="21"/>
              </w:rPr>
            </w:pPr>
            <w:r>
              <w:rPr>
                <w:rFonts w:hint="eastAsia" w:eastAsia="宋体"/>
                <w:sz w:val="21"/>
                <w:szCs w:val="21"/>
              </w:rPr>
              <w:t>4030 m</w:t>
            </w:r>
            <w:r>
              <w:rPr>
                <w:rFonts w:hint="eastAsia" w:eastAsia="宋体"/>
                <w:sz w:val="21"/>
                <w:szCs w:val="21"/>
                <w:vertAlign w:val="superscript"/>
              </w:rPr>
              <w:t>2</w:t>
            </w:r>
          </w:p>
        </w:tc>
        <w:tc>
          <w:tcPr>
            <w:tcW w:w="3261" w:type="dxa"/>
            <w:vAlign w:val="center"/>
          </w:tcPr>
          <w:p>
            <w:pPr>
              <w:spacing w:line="360" w:lineRule="exact"/>
              <w:jc w:val="center"/>
              <w:rPr>
                <w:rFonts w:eastAsia="宋体"/>
                <w:sz w:val="21"/>
                <w:szCs w:val="21"/>
                <w:vertAlign w:val="superscript"/>
              </w:rPr>
            </w:pPr>
            <w:r>
              <w:rPr>
                <w:rFonts w:hint="eastAsia" w:eastAsia="宋体"/>
                <w:sz w:val="21"/>
                <w:szCs w:val="21"/>
              </w:rPr>
              <w:t>4489m</w:t>
            </w:r>
            <w:r>
              <w:rPr>
                <w:rFonts w:hint="eastAsia" w:eastAsia="宋体"/>
                <w:sz w:val="21"/>
                <w:szCs w:val="21"/>
                <w:vertAlign w:val="superscript"/>
              </w:rPr>
              <w:t>2</w:t>
            </w:r>
          </w:p>
        </w:tc>
        <w:tc>
          <w:tcPr>
            <w:tcW w:w="1184" w:type="dxa"/>
            <w:vAlign w:val="center"/>
          </w:tcPr>
          <w:p>
            <w:pPr>
              <w:spacing w:line="360" w:lineRule="exact"/>
              <w:jc w:val="center"/>
              <w:rPr>
                <w:rFonts w:eastAsia="宋体"/>
                <w:sz w:val="21"/>
                <w:szCs w:val="21"/>
              </w:rPr>
            </w:pPr>
            <w:r>
              <w:rPr>
                <w:rFonts w:hint="eastAsia" w:eastAsia="宋体"/>
                <w:sz w:val="21"/>
                <w:szCs w:val="21"/>
              </w:rPr>
              <w:t>不同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8" w:type="dxa"/>
            <w:vAlign w:val="center"/>
          </w:tcPr>
          <w:p>
            <w:pPr>
              <w:spacing w:line="360" w:lineRule="exact"/>
              <w:jc w:val="center"/>
              <w:rPr>
                <w:rFonts w:eastAsia="宋体"/>
                <w:sz w:val="21"/>
                <w:szCs w:val="21"/>
              </w:rPr>
            </w:pPr>
            <w:r>
              <w:rPr>
                <w:rFonts w:eastAsia="宋体"/>
                <w:sz w:val="21"/>
                <w:szCs w:val="21"/>
              </w:rPr>
              <w:t>主变布置</w:t>
            </w:r>
          </w:p>
        </w:tc>
        <w:tc>
          <w:tcPr>
            <w:tcW w:w="2339" w:type="dxa"/>
            <w:vAlign w:val="center"/>
          </w:tcPr>
          <w:p>
            <w:pPr>
              <w:spacing w:line="360" w:lineRule="exact"/>
              <w:jc w:val="center"/>
              <w:rPr>
                <w:rFonts w:eastAsia="宋体"/>
                <w:sz w:val="21"/>
                <w:szCs w:val="21"/>
              </w:rPr>
            </w:pPr>
            <w:r>
              <w:rPr>
                <w:rFonts w:eastAsia="宋体"/>
                <w:sz w:val="21"/>
                <w:szCs w:val="21"/>
              </w:rPr>
              <w:t>室外布置</w:t>
            </w:r>
          </w:p>
        </w:tc>
        <w:tc>
          <w:tcPr>
            <w:tcW w:w="3261" w:type="dxa"/>
            <w:vAlign w:val="center"/>
          </w:tcPr>
          <w:p>
            <w:pPr>
              <w:spacing w:line="360" w:lineRule="exact"/>
              <w:jc w:val="center"/>
              <w:rPr>
                <w:rFonts w:eastAsia="宋体"/>
                <w:sz w:val="21"/>
                <w:szCs w:val="21"/>
              </w:rPr>
            </w:pPr>
            <w:r>
              <w:rPr>
                <w:rFonts w:eastAsia="宋体"/>
                <w:sz w:val="21"/>
                <w:szCs w:val="21"/>
              </w:rPr>
              <w:t>室外布置</w:t>
            </w:r>
          </w:p>
        </w:tc>
        <w:tc>
          <w:tcPr>
            <w:tcW w:w="1184" w:type="dxa"/>
            <w:vAlign w:val="center"/>
          </w:tcPr>
          <w:p>
            <w:pPr>
              <w:spacing w:line="360" w:lineRule="exact"/>
              <w:jc w:val="center"/>
              <w:rPr>
                <w:rFonts w:eastAsia="宋体"/>
                <w:sz w:val="21"/>
                <w:szCs w:val="21"/>
              </w:rPr>
            </w:pPr>
            <w:r>
              <w:rPr>
                <w:rFonts w:hint="eastAsia" w:eastAsia="宋体"/>
                <w:sz w:val="21"/>
                <w:szCs w:val="21"/>
              </w:rPr>
              <w:t>相同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8" w:type="dxa"/>
            <w:vAlign w:val="center"/>
          </w:tcPr>
          <w:p>
            <w:pPr>
              <w:spacing w:line="360" w:lineRule="exact"/>
              <w:jc w:val="center"/>
              <w:rPr>
                <w:rFonts w:eastAsia="宋体"/>
                <w:sz w:val="21"/>
                <w:szCs w:val="21"/>
              </w:rPr>
            </w:pPr>
            <w:r>
              <w:rPr>
                <w:rFonts w:hint="eastAsia" w:eastAsia="宋体"/>
                <w:sz w:val="21"/>
                <w:szCs w:val="21"/>
              </w:rPr>
              <w:t>总平面布置</w:t>
            </w:r>
          </w:p>
        </w:tc>
        <w:tc>
          <w:tcPr>
            <w:tcW w:w="2339" w:type="dxa"/>
            <w:vAlign w:val="center"/>
          </w:tcPr>
          <w:p>
            <w:pPr>
              <w:spacing w:line="360" w:lineRule="exact"/>
              <w:jc w:val="center"/>
              <w:rPr>
                <w:rFonts w:eastAsia="宋体"/>
                <w:sz w:val="21"/>
                <w:szCs w:val="21"/>
              </w:rPr>
            </w:pPr>
            <w:r>
              <w:rPr>
                <w:rFonts w:hint="eastAsia" w:eastAsia="宋体"/>
                <w:sz w:val="21"/>
                <w:szCs w:val="21"/>
              </w:rPr>
              <w:t>主变布置站区中央</w:t>
            </w:r>
          </w:p>
        </w:tc>
        <w:tc>
          <w:tcPr>
            <w:tcW w:w="3261" w:type="dxa"/>
            <w:vAlign w:val="center"/>
          </w:tcPr>
          <w:p>
            <w:pPr>
              <w:spacing w:line="360" w:lineRule="exact"/>
              <w:jc w:val="center"/>
              <w:rPr>
                <w:rFonts w:eastAsia="宋体"/>
                <w:sz w:val="21"/>
                <w:szCs w:val="21"/>
              </w:rPr>
            </w:pPr>
            <w:r>
              <w:rPr>
                <w:rFonts w:hint="eastAsia" w:eastAsia="宋体"/>
                <w:sz w:val="21"/>
                <w:szCs w:val="21"/>
              </w:rPr>
              <w:t>主变布置站区中央</w:t>
            </w:r>
          </w:p>
        </w:tc>
        <w:tc>
          <w:tcPr>
            <w:tcW w:w="1184" w:type="dxa"/>
            <w:vAlign w:val="center"/>
          </w:tcPr>
          <w:p>
            <w:pPr>
              <w:spacing w:line="360" w:lineRule="exact"/>
              <w:jc w:val="center"/>
              <w:rPr>
                <w:rFonts w:eastAsia="宋体"/>
                <w:sz w:val="21"/>
                <w:szCs w:val="21"/>
              </w:rPr>
            </w:pPr>
            <w:r>
              <w:rPr>
                <w:rFonts w:hint="eastAsia" w:eastAsia="宋体"/>
                <w:sz w:val="21"/>
                <w:szCs w:val="21"/>
              </w:rPr>
              <w:t>相同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8" w:type="dxa"/>
            <w:vAlign w:val="center"/>
          </w:tcPr>
          <w:p>
            <w:pPr>
              <w:spacing w:line="360" w:lineRule="exact"/>
              <w:jc w:val="center"/>
              <w:rPr>
                <w:rFonts w:eastAsia="宋体"/>
                <w:sz w:val="21"/>
                <w:szCs w:val="21"/>
              </w:rPr>
            </w:pPr>
            <w:r>
              <w:rPr>
                <w:rFonts w:eastAsia="宋体"/>
                <w:sz w:val="21"/>
                <w:szCs w:val="21"/>
              </w:rPr>
              <w:t>所在区域</w:t>
            </w:r>
          </w:p>
        </w:tc>
        <w:tc>
          <w:tcPr>
            <w:tcW w:w="2339" w:type="dxa"/>
            <w:vAlign w:val="center"/>
          </w:tcPr>
          <w:p>
            <w:pPr>
              <w:spacing w:line="360" w:lineRule="exact"/>
              <w:jc w:val="center"/>
              <w:rPr>
                <w:rFonts w:eastAsia="宋体"/>
                <w:sz w:val="21"/>
                <w:szCs w:val="21"/>
              </w:rPr>
            </w:pPr>
            <w:r>
              <w:rPr>
                <w:rFonts w:eastAsia="宋体"/>
                <w:sz w:val="21"/>
                <w:szCs w:val="21"/>
              </w:rPr>
              <w:t>河南省</w:t>
            </w:r>
            <w:r>
              <w:rPr>
                <w:rFonts w:hint="eastAsia" w:eastAsia="宋体"/>
                <w:sz w:val="21"/>
                <w:szCs w:val="21"/>
              </w:rPr>
              <w:t>许昌市禹州市</w:t>
            </w:r>
          </w:p>
        </w:tc>
        <w:tc>
          <w:tcPr>
            <w:tcW w:w="3261"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河南省</w:t>
            </w:r>
            <w:r>
              <w:rPr>
                <w:rFonts w:hint="eastAsia" w:eastAsia="宋体"/>
                <w:color w:val="000000" w:themeColor="text1"/>
                <w:sz w:val="21"/>
                <w:szCs w:val="21"/>
              </w:rPr>
              <w:t>濮阳市</w:t>
            </w:r>
          </w:p>
        </w:tc>
        <w:tc>
          <w:tcPr>
            <w:tcW w:w="1184" w:type="dxa"/>
            <w:vAlign w:val="center"/>
          </w:tcPr>
          <w:p>
            <w:pPr>
              <w:spacing w:line="360" w:lineRule="exact"/>
              <w:jc w:val="center"/>
              <w:rPr>
                <w:rFonts w:eastAsia="宋体"/>
                <w:sz w:val="21"/>
                <w:szCs w:val="21"/>
              </w:rPr>
            </w:pPr>
            <w:r>
              <w:rPr>
                <w:rFonts w:hint="eastAsia" w:eastAsia="宋体"/>
                <w:sz w:val="21"/>
                <w:szCs w:val="21"/>
              </w:rPr>
              <w:t>不同</w:t>
            </w:r>
          </w:p>
        </w:tc>
      </w:tr>
    </w:tbl>
    <w:p>
      <w:pPr>
        <w:rPr>
          <w:rFonts w:eastAsia="宋体"/>
          <w:sz w:val="24"/>
        </w:rPr>
      </w:pPr>
      <w:r>
        <w:rPr>
          <w:rFonts w:eastAsia="宋体"/>
          <w:sz w:val="24"/>
        </w:rPr>
        <w:drawing>
          <wp:anchor distT="0" distB="0" distL="114300" distR="114300" simplePos="0" relativeHeight="251688960" behindDoc="0" locked="0" layoutInCell="1" allowOverlap="1">
            <wp:simplePos x="0" y="0"/>
            <wp:positionH relativeFrom="column">
              <wp:posOffset>-47625</wp:posOffset>
            </wp:positionH>
            <wp:positionV relativeFrom="paragraph">
              <wp:posOffset>135890</wp:posOffset>
            </wp:positionV>
            <wp:extent cx="5274310" cy="4333875"/>
            <wp:effectExtent l="19050" t="0" r="2540" b="0"/>
            <wp:wrapNone/>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9" cstate="print"/>
                    <a:srcRect/>
                    <a:stretch>
                      <a:fillRect/>
                    </a:stretch>
                  </pic:blipFill>
                  <pic:spPr>
                    <a:xfrm>
                      <a:off x="0" y="0"/>
                      <a:ext cx="5274310" cy="4333875"/>
                    </a:xfrm>
                    <a:prstGeom prst="rect">
                      <a:avLst/>
                    </a:prstGeom>
                    <a:noFill/>
                    <a:ln w="9525">
                      <a:noFill/>
                      <a:miter lim="800000"/>
                      <a:headEnd/>
                      <a:tailEnd/>
                    </a:ln>
                  </pic:spPr>
                </pic:pic>
              </a:graphicData>
            </a:graphic>
          </wp:anchor>
        </w:drawing>
      </w: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r>
        <w:rPr>
          <w:rFonts w:eastAsia="宋体"/>
          <w:sz w:val="24"/>
        </w:rPr>
        <w:pict>
          <v:shape id="_x0000_s2299" o:spid="_x0000_s2299" o:spt="202" type="#_x0000_t202" style="position:absolute;left:0pt;margin-left:205.5pt;margin-top:12.35pt;height:38.25pt;width:63.75pt;z-index:251689984;mso-width-relative:page;mso-height-relative:page;" filled="f" stroked="f" coordsize="21600,21600">
            <v:path/>
            <v:fill on="f" focussize="0,0"/>
            <v:stroke on="f" joinstyle="miter"/>
            <v:imagedata o:title=""/>
            <o:lock v:ext="edit"/>
            <v:textbox>
              <w:txbxContent>
                <w:p>
                  <w:pPr>
                    <w:rPr>
                      <w:b/>
                      <w:color w:val="FF0000"/>
                    </w:rPr>
                  </w:pPr>
                  <w:r>
                    <w:rPr>
                      <w:rFonts w:hint="eastAsia"/>
                      <w:b/>
                      <w:color w:val="FF0000"/>
                    </w:rPr>
                    <w:t>主变</w:t>
                  </w:r>
                </w:p>
              </w:txbxContent>
            </v:textbox>
          </v:shape>
        </w:pict>
      </w: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p>
    <w:p>
      <w:pPr>
        <w:rPr>
          <w:rFonts w:hAnsi="宋体" w:eastAsia="宋体"/>
          <w:kern w:val="0"/>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eastAsia="黑体"/>
          <w:kern w:val="0"/>
          <w:sz w:val="24"/>
        </w:rPr>
      </w:pPr>
      <w:r>
        <w:rPr>
          <w:rFonts w:hAnsi="黑体" w:eastAsia="黑体"/>
          <w:sz w:val="24"/>
        </w:rPr>
        <w:t>图</w:t>
      </w:r>
      <w:r>
        <w:rPr>
          <w:rFonts w:eastAsia="黑体"/>
          <w:sz w:val="24"/>
        </w:rPr>
        <w:t xml:space="preserve">1   </w:t>
      </w:r>
      <w:r>
        <w:rPr>
          <w:rFonts w:hAnsi="黑体" w:eastAsia="黑体"/>
          <w:kern w:val="0"/>
          <w:sz w:val="24"/>
        </w:rPr>
        <w:t>润清风电场新建 110 千伏升压站</w:t>
      </w:r>
    </w:p>
    <w:p>
      <w:pPr>
        <w:rPr>
          <w:rFonts w:hAnsi="宋体" w:eastAsia="宋体"/>
          <w:kern w:val="0"/>
          <w:sz w:val="24"/>
        </w:rPr>
      </w:pPr>
    </w:p>
    <w:p>
      <w:pPr>
        <w:ind w:firstLine="480" w:firstLineChars="200"/>
        <w:rPr>
          <w:rFonts w:eastAsia="宋体"/>
          <w:sz w:val="24"/>
        </w:rPr>
      </w:pPr>
      <w:r>
        <w:rPr>
          <w:rFonts w:hAnsi="宋体" w:eastAsia="宋体"/>
          <w:kern w:val="0"/>
          <w:sz w:val="24"/>
        </w:rPr>
        <w:t>（</w:t>
      </w:r>
      <w:r>
        <w:rPr>
          <w:rFonts w:eastAsia="宋体"/>
          <w:kern w:val="0"/>
          <w:sz w:val="24"/>
        </w:rPr>
        <w:t>3</w:t>
      </w:r>
      <w:r>
        <w:rPr>
          <w:rFonts w:hAnsi="宋体" w:eastAsia="宋体"/>
          <w:kern w:val="0"/>
          <w:sz w:val="24"/>
        </w:rPr>
        <w:t>）类比</w:t>
      </w:r>
      <w:r>
        <w:rPr>
          <w:rFonts w:hAnsi="宋体" w:eastAsia="宋体"/>
          <w:sz w:val="24"/>
        </w:rPr>
        <w:t>对象的可比性分析</w:t>
      </w:r>
    </w:p>
    <w:p>
      <w:pPr>
        <w:spacing w:line="520" w:lineRule="exact"/>
        <w:ind w:firstLine="480" w:firstLineChars="200"/>
        <w:rPr>
          <w:rFonts w:eastAsia="宋体"/>
          <w:sz w:val="24"/>
        </w:rPr>
      </w:pPr>
      <w:r>
        <w:rPr>
          <w:rFonts w:ascii="宋体" w:hAnsi="宋体" w:eastAsia="宋体"/>
          <w:sz w:val="24"/>
        </w:rPr>
        <w:t>①</w:t>
      </w:r>
      <w:r>
        <w:rPr>
          <w:rFonts w:hAnsi="宋体" w:eastAsia="宋体"/>
          <w:sz w:val="24"/>
        </w:rPr>
        <w:t>电压等级可比性</w:t>
      </w:r>
    </w:p>
    <w:p>
      <w:pPr>
        <w:spacing w:line="520" w:lineRule="exact"/>
        <w:ind w:firstLine="480" w:firstLineChars="200"/>
        <w:rPr>
          <w:rFonts w:eastAsia="宋体"/>
          <w:sz w:val="24"/>
        </w:rPr>
      </w:pPr>
      <w:r>
        <w:rPr>
          <w:rFonts w:hAnsi="宋体" w:eastAsia="宋体"/>
          <w:sz w:val="24"/>
        </w:rPr>
        <w:t>由上表可知，本次新建升压站的电压等级为</w:t>
      </w:r>
      <w:r>
        <w:rPr>
          <w:rFonts w:eastAsia="宋体"/>
          <w:sz w:val="24"/>
        </w:rPr>
        <w:t>110kV</w:t>
      </w:r>
      <w:r>
        <w:rPr>
          <w:rFonts w:hAnsi="宋体" w:eastAsia="宋体"/>
          <w:sz w:val="24"/>
        </w:rPr>
        <w:t>，与</w:t>
      </w:r>
      <w:r>
        <w:rPr>
          <w:rFonts w:hAnsi="宋体" w:eastAsia="宋体"/>
          <w:kern w:val="0"/>
          <w:sz w:val="24"/>
        </w:rPr>
        <w:t>润清风电场新建 110 千伏升压站</w:t>
      </w:r>
      <w:r>
        <w:rPr>
          <w:rFonts w:hAnsi="宋体" w:eastAsia="宋体"/>
          <w:sz w:val="24"/>
        </w:rPr>
        <w:t>的电压等级一致，具有较好的可比性。</w:t>
      </w:r>
    </w:p>
    <w:p>
      <w:pPr>
        <w:spacing w:line="520" w:lineRule="exact"/>
        <w:ind w:firstLine="480" w:firstLineChars="200"/>
        <w:rPr>
          <w:rFonts w:eastAsia="宋体"/>
          <w:sz w:val="24"/>
        </w:rPr>
      </w:pPr>
      <w:r>
        <w:rPr>
          <w:rFonts w:ascii="宋体" w:hAnsi="宋体" w:eastAsia="宋体"/>
          <w:sz w:val="24"/>
        </w:rPr>
        <w:t>②</w:t>
      </w:r>
      <w:r>
        <w:rPr>
          <w:rFonts w:hAnsi="宋体" w:eastAsia="宋体"/>
          <w:sz w:val="24"/>
        </w:rPr>
        <w:t>主变容量可比性</w:t>
      </w:r>
    </w:p>
    <w:p>
      <w:pPr>
        <w:spacing w:line="520" w:lineRule="exact"/>
        <w:ind w:firstLine="480" w:firstLineChars="200"/>
        <w:rPr>
          <w:rFonts w:eastAsia="宋体"/>
          <w:sz w:val="24"/>
        </w:rPr>
      </w:pPr>
      <w:r>
        <w:rPr>
          <w:rFonts w:hAnsi="宋体" w:eastAsia="宋体"/>
          <w:kern w:val="0"/>
          <w:sz w:val="24"/>
        </w:rPr>
        <w:t>润清风电场新建 110 千伏升压站</w:t>
      </w:r>
      <w:r>
        <w:rPr>
          <w:rFonts w:hAnsi="宋体" w:eastAsia="宋体"/>
          <w:sz w:val="24"/>
        </w:rPr>
        <w:t>为</w:t>
      </w:r>
      <w:r>
        <w:rPr>
          <w:rFonts w:eastAsia="宋体"/>
          <w:sz w:val="24"/>
        </w:rPr>
        <w:t>1×100MVA</w:t>
      </w:r>
      <w:r>
        <w:rPr>
          <w:rFonts w:hAnsi="宋体" w:eastAsia="宋体"/>
          <w:sz w:val="24"/>
        </w:rPr>
        <w:t>，本次新建升压站的主变容量</w:t>
      </w:r>
      <w:r>
        <w:rPr>
          <w:rFonts w:eastAsia="宋体"/>
          <w:sz w:val="24"/>
        </w:rPr>
        <w:t>1×80MVA</w:t>
      </w:r>
      <w:r>
        <w:rPr>
          <w:rFonts w:hAnsi="宋体" w:eastAsia="宋体"/>
          <w:sz w:val="24"/>
        </w:rPr>
        <w:t>，其建设规模小于</w:t>
      </w:r>
      <w:r>
        <w:rPr>
          <w:rFonts w:hAnsi="宋体" w:eastAsia="宋体"/>
          <w:kern w:val="0"/>
          <w:sz w:val="24"/>
        </w:rPr>
        <w:t>润清风电场新建 110 千伏升压站</w:t>
      </w:r>
      <w:r>
        <w:rPr>
          <w:rFonts w:hAnsi="宋体" w:eastAsia="宋体"/>
          <w:sz w:val="24"/>
        </w:rPr>
        <w:t>工程。</w:t>
      </w:r>
    </w:p>
    <w:p>
      <w:pPr>
        <w:spacing w:line="520" w:lineRule="exact"/>
        <w:ind w:firstLine="480" w:firstLineChars="200"/>
        <w:rPr>
          <w:rFonts w:eastAsia="宋体"/>
          <w:color w:val="000000" w:themeColor="text1"/>
          <w:sz w:val="24"/>
        </w:rPr>
      </w:pPr>
      <w:r>
        <w:rPr>
          <w:rFonts w:hAnsi="宋体" w:eastAsia="宋体"/>
          <w:color w:val="000000" w:themeColor="text1"/>
          <w:sz w:val="24"/>
        </w:rPr>
        <w:t>③布局方式可比性</w:t>
      </w:r>
    </w:p>
    <w:p>
      <w:pPr>
        <w:spacing w:line="520" w:lineRule="exact"/>
        <w:ind w:firstLine="480" w:firstLineChars="200"/>
        <w:rPr>
          <w:rFonts w:eastAsia="宋体"/>
          <w:color w:val="000000" w:themeColor="text1"/>
          <w:sz w:val="24"/>
        </w:rPr>
      </w:pPr>
      <w:r>
        <w:rPr>
          <w:rFonts w:hAnsi="宋体" w:eastAsia="宋体"/>
          <w:color w:val="000000" w:themeColor="text1"/>
          <w:sz w:val="24"/>
        </w:rPr>
        <w:t>本次新建升压站工程和润清风电场新建 110 千伏升压站工程的主变布置均为户外式、出线方式均为架空出线，且同处于</w:t>
      </w:r>
      <w:r>
        <w:rPr>
          <w:rFonts w:hint="eastAsia" w:hAnsi="宋体" w:eastAsia="宋体"/>
          <w:color w:val="000000" w:themeColor="text1"/>
          <w:sz w:val="24"/>
        </w:rPr>
        <w:t>河南省</w:t>
      </w:r>
      <w:r>
        <w:rPr>
          <w:rFonts w:hAnsi="宋体" w:eastAsia="宋体"/>
          <w:color w:val="000000" w:themeColor="text1"/>
          <w:sz w:val="24"/>
        </w:rPr>
        <w:t>，因此从布局方式角度，选择润清风电场新建 110 千伏升压站工程作为本项目完成投入运行后的电磁环境影预测和评价是合理可行的，并且结果是比较保守的。</w:t>
      </w:r>
    </w:p>
    <w:p>
      <w:pPr>
        <w:spacing w:line="520" w:lineRule="exact"/>
        <w:ind w:firstLine="480" w:firstLineChars="200"/>
        <w:rPr>
          <w:rFonts w:hAnsi="宋体" w:eastAsia="宋体"/>
          <w:kern w:val="0"/>
          <w:sz w:val="24"/>
        </w:rPr>
      </w:pPr>
      <w:r>
        <w:rPr>
          <w:rFonts w:hAnsi="宋体" w:eastAsia="宋体"/>
          <w:kern w:val="0"/>
          <w:sz w:val="24"/>
        </w:rPr>
        <w:t>（4）类比监测</w:t>
      </w:r>
    </w:p>
    <w:p>
      <w:pPr>
        <w:spacing w:line="520" w:lineRule="exact"/>
        <w:ind w:firstLine="480" w:firstLineChars="200"/>
        <w:rPr>
          <w:rFonts w:ascii="宋体" w:hAnsi="宋体" w:eastAsia="宋体"/>
          <w:sz w:val="24"/>
        </w:rPr>
      </w:pPr>
      <w:r>
        <w:rPr>
          <w:rFonts w:hint="eastAsia" w:ascii="宋体" w:hAnsi="宋体" w:eastAsia="宋体"/>
          <w:sz w:val="24"/>
        </w:rPr>
        <w:t>①</w:t>
      </w:r>
      <w:r>
        <w:rPr>
          <w:rFonts w:ascii="宋体" w:hAnsi="宋体" w:eastAsia="宋体"/>
          <w:sz w:val="24"/>
        </w:rPr>
        <w:t>类比监测因子</w:t>
      </w:r>
    </w:p>
    <w:p>
      <w:pPr>
        <w:spacing w:line="520" w:lineRule="exact"/>
        <w:ind w:firstLine="482"/>
        <w:rPr>
          <w:rFonts w:eastAsia="宋体"/>
          <w:sz w:val="24"/>
        </w:rPr>
      </w:pPr>
      <w:r>
        <w:rPr>
          <w:rFonts w:hAnsi="宋体" w:eastAsia="宋体"/>
          <w:sz w:val="24"/>
        </w:rPr>
        <w:t>工频电场、工频磁场</w:t>
      </w:r>
    </w:p>
    <w:p>
      <w:pPr>
        <w:spacing w:line="520" w:lineRule="exact"/>
        <w:ind w:firstLine="480"/>
        <w:rPr>
          <w:rFonts w:hAnsi="宋体" w:eastAsia="宋体"/>
          <w:sz w:val="24"/>
        </w:rPr>
      </w:pPr>
      <w:r>
        <w:rPr>
          <w:rFonts w:hint="eastAsia" w:ascii="宋体" w:hAnsi="宋体" w:eastAsia="宋体"/>
          <w:sz w:val="24"/>
        </w:rPr>
        <w:t>②</w:t>
      </w:r>
      <w:r>
        <w:rPr>
          <w:rFonts w:hAnsi="宋体" w:eastAsia="宋体"/>
          <w:sz w:val="24"/>
        </w:rPr>
        <w:t>监测方法</w:t>
      </w:r>
    </w:p>
    <w:p>
      <w:pPr>
        <w:spacing w:line="520" w:lineRule="exact"/>
        <w:ind w:firstLine="480"/>
        <w:rPr>
          <w:rFonts w:eastAsia="宋体"/>
          <w:sz w:val="24"/>
        </w:rPr>
      </w:pPr>
      <w:r>
        <w:rPr>
          <w:rFonts w:hAnsi="宋体" w:eastAsia="宋体"/>
          <w:sz w:val="24"/>
        </w:rPr>
        <w:t>《交流输变电工程电磁环境监测方法（试行）》（</w:t>
      </w:r>
      <w:r>
        <w:rPr>
          <w:rFonts w:eastAsia="宋体"/>
          <w:sz w:val="24"/>
        </w:rPr>
        <w:t>HJ681-2013</w:t>
      </w:r>
      <w:r>
        <w:rPr>
          <w:rFonts w:hAnsi="宋体" w:eastAsia="宋体"/>
          <w:sz w:val="24"/>
        </w:rPr>
        <w:t>），《环境影响评价技术导则输变电工程》（</w:t>
      </w:r>
      <w:r>
        <w:rPr>
          <w:rFonts w:eastAsia="宋体"/>
          <w:sz w:val="24"/>
        </w:rPr>
        <w:t>HJ24-2014</w:t>
      </w:r>
      <w:r>
        <w:rPr>
          <w:rFonts w:hAnsi="宋体" w:eastAsia="宋体"/>
          <w:sz w:val="24"/>
        </w:rPr>
        <w:t>）。</w:t>
      </w:r>
    </w:p>
    <w:p>
      <w:pPr>
        <w:spacing w:line="520" w:lineRule="exact"/>
        <w:ind w:firstLine="480" w:firstLineChars="200"/>
        <w:rPr>
          <w:rFonts w:ascii="宋体" w:hAnsi="宋体" w:eastAsia="宋体"/>
          <w:sz w:val="24"/>
        </w:rPr>
      </w:pPr>
      <w:r>
        <w:rPr>
          <w:rFonts w:hint="eastAsia" w:ascii="宋体" w:hAnsi="宋体" w:eastAsia="宋体"/>
          <w:sz w:val="24"/>
        </w:rPr>
        <w:t>③</w:t>
      </w:r>
      <w:r>
        <w:rPr>
          <w:rFonts w:ascii="宋体" w:hAnsi="宋体" w:eastAsia="宋体"/>
          <w:sz w:val="24"/>
        </w:rPr>
        <w:t>监测布点</w:t>
      </w:r>
    </w:p>
    <w:p>
      <w:pPr>
        <w:spacing w:line="520" w:lineRule="exact"/>
        <w:ind w:firstLine="480"/>
        <w:rPr>
          <w:rFonts w:eastAsia="宋体"/>
          <w:sz w:val="24"/>
        </w:rPr>
      </w:pPr>
      <w:r>
        <w:rPr>
          <w:rFonts w:hAnsi="宋体" w:eastAsia="宋体"/>
          <w:sz w:val="24"/>
        </w:rPr>
        <w:t>监测路径的选取原则：根据《高压交流架空送电线路、变电站工频电场和磁场测量方法》（</w:t>
      </w:r>
      <w:r>
        <w:rPr>
          <w:rFonts w:eastAsia="宋体"/>
          <w:sz w:val="24"/>
        </w:rPr>
        <w:t>DL/T988-2005</w:t>
      </w:r>
      <w:r>
        <w:rPr>
          <w:rFonts w:hAnsi="宋体" w:eastAsia="宋体"/>
          <w:sz w:val="24"/>
        </w:rPr>
        <w:t>）。</w:t>
      </w:r>
    </w:p>
    <w:p>
      <w:pPr>
        <w:spacing w:line="520" w:lineRule="exact"/>
        <w:ind w:firstLine="480"/>
        <w:rPr>
          <w:rFonts w:eastAsia="宋体"/>
          <w:sz w:val="24"/>
        </w:rPr>
      </w:pPr>
      <w:r>
        <w:rPr>
          <w:rFonts w:hAnsi="宋体" w:eastAsia="宋体"/>
          <w:sz w:val="24"/>
        </w:rPr>
        <w:t>类比监测路径选择在</w:t>
      </w:r>
      <w:r>
        <w:rPr>
          <w:rFonts w:hAnsi="宋体" w:eastAsia="宋体"/>
          <w:color w:val="000000" w:themeColor="text1"/>
          <w:sz w:val="24"/>
        </w:rPr>
        <w:t>润清风电场新建 110 千伏升压站</w:t>
      </w:r>
      <w:r>
        <w:rPr>
          <w:rFonts w:hAnsi="Tahoma" w:eastAsia="宋体"/>
          <w:kern w:val="0"/>
          <w:sz w:val="24"/>
          <w:szCs w:val="22"/>
        </w:rPr>
        <w:t>各边界5m处和以出线方向（避开进出线）升压站围墙边界为监测原点，沿垂直于围墙边界方向进行，测点间距5m，测至围墙外50m处止。</w:t>
      </w:r>
    </w:p>
    <w:p>
      <w:pPr>
        <w:widowControl/>
        <w:adjustRightInd w:val="0"/>
        <w:snapToGrid w:val="0"/>
        <w:spacing w:line="520" w:lineRule="exact"/>
        <w:ind w:firstLine="482"/>
        <w:rPr>
          <w:rFonts w:hAnsi="Tahoma" w:eastAsia="宋体"/>
          <w:kern w:val="0"/>
          <w:sz w:val="24"/>
        </w:rPr>
      </w:pPr>
      <w:r>
        <w:rPr>
          <w:rFonts w:hAnsi="Tahoma" w:eastAsia="宋体"/>
          <w:kern w:val="0"/>
          <w:sz w:val="24"/>
        </w:rPr>
        <w:t>类比站厂界及衰减断面监测布点图见图。</w:t>
      </w:r>
    </w:p>
    <w:p>
      <w:pPr>
        <w:widowControl/>
        <w:adjustRightInd w:val="0"/>
        <w:snapToGrid w:val="0"/>
        <w:spacing w:line="520" w:lineRule="exact"/>
        <w:ind w:firstLine="482"/>
        <w:rPr>
          <w:rFonts w:hAnsi="Tahoma" w:eastAsia="宋体"/>
          <w:kern w:val="0"/>
          <w:sz w:val="24"/>
        </w:rPr>
      </w:pPr>
    </w:p>
    <w:p>
      <w:pPr>
        <w:widowControl/>
        <w:adjustRightInd w:val="0"/>
        <w:snapToGrid w:val="0"/>
        <w:spacing w:line="520" w:lineRule="exact"/>
        <w:ind w:firstLine="482"/>
        <w:rPr>
          <w:rFonts w:hAnsi="Tahoma" w:eastAsia="宋体"/>
          <w:kern w:val="0"/>
          <w:sz w:val="24"/>
        </w:rPr>
      </w:pPr>
    </w:p>
    <w:p>
      <w:pPr>
        <w:widowControl/>
        <w:adjustRightInd w:val="0"/>
        <w:snapToGrid w:val="0"/>
        <w:spacing w:line="520" w:lineRule="exact"/>
        <w:ind w:firstLine="482"/>
        <w:rPr>
          <w:rFonts w:hAnsi="Tahoma" w:eastAsia="宋体"/>
          <w:kern w:val="0"/>
          <w:sz w:val="24"/>
        </w:rPr>
      </w:pPr>
    </w:p>
    <w:p>
      <w:pPr>
        <w:widowControl/>
        <w:adjustRightInd w:val="0"/>
        <w:snapToGrid w:val="0"/>
        <w:spacing w:line="520" w:lineRule="exact"/>
        <w:ind w:firstLine="482"/>
        <w:rPr>
          <w:rFonts w:hAnsi="Tahoma" w:eastAsia="宋体"/>
          <w:kern w:val="0"/>
          <w:sz w:val="24"/>
        </w:rPr>
      </w:pPr>
    </w:p>
    <w:p>
      <w:pPr>
        <w:widowControl/>
        <w:adjustRightInd w:val="0"/>
        <w:snapToGrid w:val="0"/>
        <w:spacing w:line="520" w:lineRule="exact"/>
        <w:ind w:firstLine="482"/>
        <w:rPr>
          <w:rFonts w:hAnsi="Tahoma" w:eastAsia="宋体"/>
          <w:kern w:val="0"/>
          <w:sz w:val="24"/>
        </w:rPr>
      </w:pPr>
      <w:r>
        <w:rPr>
          <w:rFonts w:hAnsi="Tahoma" w:eastAsia="宋体"/>
          <w:kern w:val="0"/>
          <w:sz w:val="24"/>
        </w:rPr>
        <w:drawing>
          <wp:anchor distT="0" distB="0" distL="114300" distR="114300" simplePos="0" relativeHeight="251691008" behindDoc="0" locked="0" layoutInCell="1" allowOverlap="1">
            <wp:simplePos x="0" y="0"/>
            <wp:positionH relativeFrom="column">
              <wp:posOffset>-95250</wp:posOffset>
            </wp:positionH>
            <wp:positionV relativeFrom="paragraph">
              <wp:posOffset>104775</wp:posOffset>
            </wp:positionV>
            <wp:extent cx="5274310" cy="3486150"/>
            <wp:effectExtent l="19050" t="19050" r="21590" b="1905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srcRect/>
                    <a:stretch>
                      <a:fillRect/>
                    </a:stretch>
                  </pic:blipFill>
                  <pic:spPr>
                    <a:xfrm>
                      <a:off x="0" y="0"/>
                      <a:ext cx="5274310" cy="3486150"/>
                    </a:xfrm>
                    <a:prstGeom prst="rect">
                      <a:avLst/>
                    </a:prstGeom>
                    <a:noFill/>
                    <a:ln w="9525">
                      <a:solidFill>
                        <a:schemeClr val="tx1"/>
                      </a:solidFill>
                      <a:miter lim="800000"/>
                      <a:headEnd/>
                      <a:tailEnd/>
                    </a:ln>
                  </pic:spPr>
                </pic:pic>
              </a:graphicData>
            </a:graphic>
          </wp:anchor>
        </w:drawing>
      </w:r>
    </w:p>
    <w:p>
      <w:pPr>
        <w:widowControl/>
        <w:adjustRightInd w:val="0"/>
        <w:snapToGrid w:val="0"/>
        <w:spacing w:line="520" w:lineRule="exact"/>
        <w:ind w:firstLine="482"/>
        <w:rPr>
          <w:rFonts w:hAnsi="Tahoma" w:eastAsia="宋体"/>
          <w:kern w:val="0"/>
          <w:sz w:val="24"/>
        </w:rPr>
      </w:pPr>
    </w:p>
    <w:p>
      <w:pPr>
        <w:widowControl/>
        <w:adjustRightInd w:val="0"/>
        <w:snapToGrid w:val="0"/>
        <w:spacing w:line="520" w:lineRule="exact"/>
        <w:ind w:firstLine="482"/>
        <w:rPr>
          <w:rFonts w:hAnsi="Tahoma" w:eastAsia="宋体"/>
          <w:kern w:val="0"/>
          <w:sz w:val="24"/>
        </w:rPr>
      </w:pPr>
    </w:p>
    <w:p>
      <w:pPr>
        <w:widowControl/>
        <w:adjustRightInd w:val="0"/>
        <w:snapToGrid w:val="0"/>
        <w:spacing w:line="520" w:lineRule="exact"/>
        <w:ind w:firstLine="482"/>
        <w:rPr>
          <w:rFonts w:hAnsi="Tahoma" w:eastAsia="宋体"/>
          <w:kern w:val="0"/>
          <w:sz w:val="24"/>
        </w:rPr>
      </w:pPr>
    </w:p>
    <w:p>
      <w:pPr>
        <w:widowControl/>
        <w:adjustRightInd w:val="0"/>
        <w:snapToGrid w:val="0"/>
        <w:spacing w:line="520" w:lineRule="exact"/>
        <w:ind w:firstLine="482"/>
        <w:rPr>
          <w:rFonts w:hAnsi="Tahoma" w:eastAsia="宋体"/>
          <w:kern w:val="0"/>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jc w:val="center"/>
        <w:rPr>
          <w:rFonts w:eastAsia="黑体"/>
          <w:sz w:val="24"/>
        </w:rPr>
      </w:pPr>
      <w:r>
        <w:rPr>
          <w:rFonts w:hAnsi="黑体" w:eastAsia="黑体"/>
          <w:sz w:val="24"/>
        </w:rPr>
        <w:t>图</w:t>
      </w:r>
      <w:r>
        <w:rPr>
          <w:rFonts w:eastAsia="黑体"/>
          <w:sz w:val="24"/>
        </w:rPr>
        <w:t>2</w:t>
      </w:r>
      <w:r>
        <w:rPr>
          <w:rFonts w:hAnsi="黑体" w:eastAsia="黑体"/>
          <w:sz w:val="24"/>
        </w:rPr>
        <w:t>类比站工频电场、工频磁感应强度监测布点示意图</w:t>
      </w:r>
    </w:p>
    <w:p>
      <w:pPr>
        <w:spacing w:line="520" w:lineRule="exact"/>
        <w:ind w:firstLine="480" w:firstLineChars="200"/>
        <w:rPr>
          <w:rFonts w:eastAsia="宋体"/>
          <w:sz w:val="24"/>
        </w:rPr>
      </w:pPr>
      <w:r>
        <w:rPr>
          <w:rFonts w:hAnsi="宋体" w:eastAsia="宋体"/>
          <w:sz w:val="24"/>
        </w:rPr>
        <w:t>（</w:t>
      </w:r>
      <w:r>
        <w:rPr>
          <w:rFonts w:eastAsia="宋体"/>
          <w:sz w:val="24"/>
        </w:rPr>
        <w:t>5</w:t>
      </w:r>
      <w:r>
        <w:rPr>
          <w:rFonts w:hAnsi="宋体" w:eastAsia="宋体"/>
          <w:sz w:val="24"/>
        </w:rPr>
        <w:t>）监测地点、时间及监测环境</w:t>
      </w:r>
    </w:p>
    <w:p>
      <w:pPr>
        <w:spacing w:line="520" w:lineRule="exact"/>
        <w:ind w:firstLine="480" w:firstLineChars="200"/>
        <w:rPr>
          <w:rFonts w:eastAsia="宋体"/>
          <w:sz w:val="24"/>
        </w:rPr>
      </w:pPr>
      <w:r>
        <w:rPr>
          <w:rFonts w:hAnsi="宋体" w:eastAsia="宋体"/>
          <w:sz w:val="24"/>
        </w:rPr>
        <w:t>监测地点：</w:t>
      </w:r>
      <w:r>
        <w:rPr>
          <w:rFonts w:hint="eastAsia" w:hAnsi="宋体" w:eastAsia="宋体"/>
          <w:sz w:val="24"/>
        </w:rPr>
        <w:t>润清风电场新建 110 千伏升压站</w:t>
      </w:r>
    </w:p>
    <w:p>
      <w:pPr>
        <w:spacing w:line="520" w:lineRule="exact"/>
        <w:ind w:firstLine="480" w:firstLineChars="200"/>
        <w:rPr>
          <w:rFonts w:eastAsia="宋体"/>
          <w:sz w:val="24"/>
        </w:rPr>
      </w:pPr>
      <w:r>
        <w:rPr>
          <w:rFonts w:hAnsi="宋体" w:eastAsia="宋体"/>
          <w:sz w:val="24"/>
        </w:rPr>
        <w:t>监测时间：</w:t>
      </w:r>
      <w:r>
        <w:rPr>
          <w:rFonts w:eastAsia="宋体"/>
          <w:sz w:val="24"/>
        </w:rPr>
        <w:t>201</w:t>
      </w:r>
      <w:r>
        <w:rPr>
          <w:rFonts w:hint="eastAsia" w:eastAsia="宋体"/>
          <w:sz w:val="24"/>
        </w:rPr>
        <w:t>9</w:t>
      </w:r>
      <w:r>
        <w:rPr>
          <w:rFonts w:hAnsi="宋体" w:eastAsia="宋体"/>
          <w:sz w:val="24"/>
        </w:rPr>
        <w:t>年</w:t>
      </w:r>
      <w:r>
        <w:rPr>
          <w:rFonts w:hint="eastAsia" w:eastAsia="宋体"/>
          <w:sz w:val="24"/>
        </w:rPr>
        <w:t>8</w:t>
      </w:r>
      <w:r>
        <w:rPr>
          <w:rFonts w:hAnsi="宋体" w:eastAsia="宋体"/>
          <w:sz w:val="24"/>
        </w:rPr>
        <w:t>月</w:t>
      </w:r>
      <w:r>
        <w:rPr>
          <w:rFonts w:hint="eastAsia" w:hAnsi="宋体" w:eastAsia="宋体"/>
          <w:sz w:val="24"/>
        </w:rPr>
        <w:t>8日</w:t>
      </w:r>
    </w:p>
    <w:p>
      <w:pPr>
        <w:spacing w:line="520" w:lineRule="exact"/>
        <w:ind w:firstLine="480" w:firstLineChars="200"/>
        <w:rPr>
          <w:rFonts w:eastAsia="宋体"/>
          <w:sz w:val="24"/>
        </w:rPr>
      </w:pPr>
      <w:r>
        <w:rPr>
          <w:rFonts w:hAnsi="宋体" w:eastAsia="宋体"/>
          <w:sz w:val="24"/>
        </w:rPr>
        <w:t>监测环境：</w:t>
      </w:r>
      <w:r>
        <w:rPr>
          <w:rFonts w:hint="eastAsia" w:hAnsi="宋体" w:eastAsia="宋体"/>
          <w:sz w:val="24"/>
        </w:rPr>
        <w:t>多云</w:t>
      </w:r>
      <w:r>
        <w:rPr>
          <w:rFonts w:hAnsi="宋体" w:eastAsia="宋体"/>
          <w:sz w:val="24"/>
        </w:rPr>
        <w:t>、</w:t>
      </w:r>
      <w:r>
        <w:rPr>
          <w:rFonts w:hint="eastAsia" w:hAnsi="宋体" w:eastAsia="宋体"/>
          <w:sz w:val="24"/>
        </w:rPr>
        <w:t>温度（</w:t>
      </w:r>
      <w:r>
        <w:rPr>
          <w:rFonts w:hint="eastAsia" w:eastAsia="宋体"/>
          <w:sz w:val="24"/>
        </w:rPr>
        <w:t>24</w:t>
      </w:r>
      <w:r>
        <w:rPr>
          <w:rFonts w:eastAsia="宋体"/>
          <w:sz w:val="24"/>
        </w:rPr>
        <w:t>~</w:t>
      </w:r>
      <w:r>
        <w:rPr>
          <w:rFonts w:hint="eastAsia" w:eastAsia="宋体"/>
          <w:sz w:val="24"/>
        </w:rPr>
        <w:t>31℃</w:t>
      </w:r>
      <w:r>
        <w:rPr>
          <w:rFonts w:hint="eastAsia" w:hAnsi="宋体" w:eastAsia="宋体"/>
          <w:sz w:val="24"/>
        </w:rPr>
        <w:t>）</w:t>
      </w:r>
      <w:r>
        <w:rPr>
          <w:rFonts w:hAnsi="宋体" w:eastAsia="宋体"/>
          <w:sz w:val="24"/>
        </w:rPr>
        <w:t>相对湿度（</w:t>
      </w:r>
      <w:r>
        <w:rPr>
          <w:rFonts w:hint="eastAsia" w:eastAsia="宋体"/>
          <w:sz w:val="24"/>
        </w:rPr>
        <w:t>58</w:t>
      </w:r>
      <w:r>
        <w:rPr>
          <w:rFonts w:eastAsia="宋体"/>
          <w:sz w:val="24"/>
        </w:rPr>
        <w:t>%</w:t>
      </w:r>
      <w:r>
        <w:rPr>
          <w:rFonts w:hAnsi="宋体" w:eastAsia="宋体"/>
          <w:sz w:val="24"/>
        </w:rPr>
        <w:t>）。</w:t>
      </w:r>
    </w:p>
    <w:p>
      <w:pPr>
        <w:spacing w:line="520" w:lineRule="exact"/>
        <w:ind w:firstLine="480" w:firstLineChars="200"/>
        <w:rPr>
          <w:rFonts w:eastAsia="宋体"/>
          <w:sz w:val="24"/>
        </w:rPr>
      </w:pPr>
      <w:r>
        <w:rPr>
          <w:rFonts w:hAnsi="宋体" w:eastAsia="宋体"/>
          <w:sz w:val="24"/>
        </w:rPr>
        <w:t>（</w:t>
      </w:r>
      <w:r>
        <w:rPr>
          <w:rFonts w:eastAsia="宋体"/>
          <w:sz w:val="24"/>
        </w:rPr>
        <w:t>6</w:t>
      </w:r>
      <w:r>
        <w:rPr>
          <w:rFonts w:hAnsi="宋体" w:eastAsia="宋体"/>
          <w:sz w:val="24"/>
        </w:rPr>
        <w:t>）监测工况</w:t>
      </w:r>
    </w:p>
    <w:p>
      <w:pPr>
        <w:spacing w:line="520" w:lineRule="exact"/>
        <w:ind w:firstLine="480" w:firstLineChars="200"/>
        <w:rPr>
          <w:rFonts w:eastAsia="宋体"/>
          <w:sz w:val="24"/>
        </w:rPr>
      </w:pPr>
      <w:r>
        <w:rPr>
          <w:rFonts w:hAnsi="宋体" w:eastAsia="宋体"/>
          <w:sz w:val="24"/>
        </w:rPr>
        <w:t>类比升压站监测时的运行工况见表</w:t>
      </w:r>
      <w:r>
        <w:rPr>
          <w:rFonts w:hint="eastAsia" w:eastAsia="宋体"/>
          <w:sz w:val="24"/>
        </w:rPr>
        <w:t>7</w:t>
      </w:r>
      <w:r>
        <w:rPr>
          <w:rFonts w:hAnsi="宋体" w:eastAsia="宋体"/>
          <w:sz w:val="24"/>
        </w:rPr>
        <w:t>。</w:t>
      </w:r>
    </w:p>
    <w:p>
      <w:pPr>
        <w:spacing w:line="520" w:lineRule="exact"/>
        <w:ind w:firstLine="480" w:firstLineChars="200"/>
        <w:rPr>
          <w:rFonts w:eastAsia="黑体"/>
          <w:sz w:val="24"/>
        </w:rPr>
      </w:pPr>
      <w:r>
        <w:rPr>
          <w:rFonts w:hAnsi="黑体" w:eastAsia="黑体"/>
          <w:sz w:val="24"/>
        </w:rPr>
        <w:t>表</w:t>
      </w:r>
      <w:r>
        <w:rPr>
          <w:rFonts w:eastAsia="黑体"/>
          <w:sz w:val="24"/>
        </w:rPr>
        <w:t xml:space="preserve">7              </w:t>
      </w:r>
      <w:r>
        <w:rPr>
          <w:rFonts w:hAnsi="黑体" w:eastAsia="黑体"/>
          <w:sz w:val="24"/>
        </w:rPr>
        <w:t>类比监测时类比站的运行工况</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801"/>
        <w:gridCol w:w="786"/>
        <w:gridCol w:w="1101"/>
        <w:gridCol w:w="1089"/>
        <w:gridCol w:w="1502"/>
        <w:gridCol w:w="12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1644" w:type="pct"/>
            <w:vAlign w:val="center"/>
          </w:tcPr>
          <w:p>
            <w:pPr>
              <w:spacing w:line="360" w:lineRule="exact"/>
              <w:jc w:val="center"/>
              <w:rPr>
                <w:rFonts w:eastAsia="宋体"/>
                <w:sz w:val="21"/>
                <w:szCs w:val="21"/>
              </w:rPr>
            </w:pPr>
            <w:r>
              <w:rPr>
                <w:rFonts w:hAnsi="宋体" w:eastAsia="宋体"/>
                <w:sz w:val="21"/>
                <w:szCs w:val="21"/>
              </w:rPr>
              <w:t>名称</w:t>
            </w:r>
          </w:p>
        </w:tc>
        <w:tc>
          <w:tcPr>
            <w:tcW w:w="461" w:type="pct"/>
            <w:vAlign w:val="center"/>
          </w:tcPr>
          <w:p>
            <w:pPr>
              <w:spacing w:line="360" w:lineRule="exact"/>
              <w:jc w:val="center"/>
              <w:rPr>
                <w:rFonts w:eastAsia="宋体"/>
                <w:sz w:val="21"/>
                <w:szCs w:val="21"/>
              </w:rPr>
            </w:pPr>
            <w:r>
              <w:rPr>
                <w:rFonts w:hAnsi="宋体" w:eastAsia="宋体"/>
                <w:sz w:val="21"/>
                <w:szCs w:val="21"/>
              </w:rPr>
              <w:t>主变</w:t>
            </w:r>
          </w:p>
        </w:tc>
        <w:tc>
          <w:tcPr>
            <w:tcW w:w="646" w:type="pct"/>
            <w:vAlign w:val="center"/>
          </w:tcPr>
          <w:p>
            <w:pPr>
              <w:spacing w:line="360" w:lineRule="exact"/>
              <w:jc w:val="center"/>
              <w:rPr>
                <w:rFonts w:eastAsia="宋体"/>
                <w:sz w:val="21"/>
                <w:szCs w:val="21"/>
              </w:rPr>
            </w:pPr>
            <w:r>
              <w:rPr>
                <w:rFonts w:hAnsi="宋体" w:eastAsia="宋体"/>
                <w:sz w:val="21"/>
                <w:szCs w:val="21"/>
              </w:rPr>
              <w:t>电压</w:t>
            </w:r>
            <w:r>
              <w:rPr>
                <w:rFonts w:eastAsia="宋体"/>
                <w:sz w:val="21"/>
                <w:szCs w:val="21"/>
              </w:rPr>
              <w:t>(kV)</w:t>
            </w:r>
          </w:p>
        </w:tc>
        <w:tc>
          <w:tcPr>
            <w:tcW w:w="639" w:type="pct"/>
            <w:vAlign w:val="center"/>
          </w:tcPr>
          <w:p>
            <w:pPr>
              <w:spacing w:line="360" w:lineRule="exact"/>
              <w:jc w:val="center"/>
              <w:rPr>
                <w:rFonts w:hAnsi="宋体" w:eastAsia="宋体"/>
                <w:sz w:val="21"/>
                <w:szCs w:val="21"/>
              </w:rPr>
            </w:pPr>
            <w:r>
              <w:rPr>
                <w:rFonts w:hint="eastAsia" w:hAnsi="宋体" w:eastAsia="宋体"/>
                <w:sz w:val="21"/>
                <w:szCs w:val="21"/>
              </w:rPr>
              <w:t>电流（A）</w:t>
            </w:r>
          </w:p>
        </w:tc>
        <w:tc>
          <w:tcPr>
            <w:tcW w:w="881" w:type="pct"/>
            <w:vAlign w:val="center"/>
          </w:tcPr>
          <w:p>
            <w:pPr>
              <w:spacing w:line="360" w:lineRule="exact"/>
              <w:jc w:val="center"/>
              <w:rPr>
                <w:rFonts w:eastAsia="宋体"/>
                <w:sz w:val="21"/>
                <w:szCs w:val="21"/>
              </w:rPr>
            </w:pPr>
            <w:r>
              <w:rPr>
                <w:rFonts w:hAnsi="宋体" w:eastAsia="宋体"/>
                <w:sz w:val="21"/>
                <w:szCs w:val="21"/>
              </w:rPr>
              <w:t>有功功率（</w:t>
            </w:r>
            <w:r>
              <w:rPr>
                <w:rFonts w:eastAsia="宋体"/>
                <w:sz w:val="21"/>
                <w:szCs w:val="21"/>
              </w:rPr>
              <w:t>MW</w:t>
            </w:r>
            <w:r>
              <w:rPr>
                <w:rFonts w:hAnsi="宋体" w:eastAsia="宋体"/>
                <w:sz w:val="21"/>
                <w:szCs w:val="21"/>
              </w:rPr>
              <w:t>）</w:t>
            </w:r>
          </w:p>
        </w:tc>
        <w:tc>
          <w:tcPr>
            <w:tcW w:w="729" w:type="pct"/>
            <w:vAlign w:val="center"/>
          </w:tcPr>
          <w:p>
            <w:pPr>
              <w:spacing w:line="360" w:lineRule="exact"/>
              <w:jc w:val="center"/>
              <w:rPr>
                <w:rFonts w:hAnsi="宋体" w:eastAsia="宋体"/>
                <w:sz w:val="21"/>
                <w:szCs w:val="21"/>
              </w:rPr>
            </w:pPr>
            <w:r>
              <w:rPr>
                <w:rFonts w:hint="eastAsia" w:hAnsi="宋体" w:eastAsia="宋体"/>
                <w:sz w:val="21"/>
                <w:szCs w:val="21"/>
              </w:rPr>
              <w:t>无功Q（Mvar）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44" w:type="pct"/>
            <w:vAlign w:val="center"/>
          </w:tcPr>
          <w:p>
            <w:pPr>
              <w:spacing w:line="360" w:lineRule="exact"/>
              <w:jc w:val="center"/>
              <w:rPr>
                <w:rFonts w:eastAsia="宋体"/>
                <w:sz w:val="21"/>
                <w:szCs w:val="21"/>
              </w:rPr>
            </w:pPr>
            <w:r>
              <w:rPr>
                <w:rFonts w:hAnsi="宋体" w:eastAsia="宋体"/>
                <w:sz w:val="21"/>
                <w:szCs w:val="21"/>
              </w:rPr>
              <w:t>润清风电场新建 110 千伏升压站</w:t>
            </w:r>
          </w:p>
        </w:tc>
        <w:tc>
          <w:tcPr>
            <w:tcW w:w="461" w:type="pct"/>
            <w:vAlign w:val="center"/>
          </w:tcPr>
          <w:p>
            <w:pPr>
              <w:spacing w:line="360" w:lineRule="exact"/>
              <w:jc w:val="center"/>
              <w:rPr>
                <w:rFonts w:eastAsia="宋体"/>
                <w:sz w:val="21"/>
                <w:szCs w:val="21"/>
              </w:rPr>
            </w:pPr>
            <w:r>
              <w:rPr>
                <w:rFonts w:eastAsia="宋体"/>
                <w:sz w:val="21"/>
                <w:szCs w:val="21"/>
              </w:rPr>
              <w:t>1#</w:t>
            </w:r>
          </w:p>
        </w:tc>
        <w:tc>
          <w:tcPr>
            <w:tcW w:w="646" w:type="pct"/>
            <w:vAlign w:val="center"/>
          </w:tcPr>
          <w:p>
            <w:pPr>
              <w:spacing w:line="360" w:lineRule="exact"/>
              <w:jc w:val="center"/>
              <w:rPr>
                <w:rFonts w:eastAsia="宋体"/>
                <w:sz w:val="21"/>
                <w:szCs w:val="21"/>
              </w:rPr>
            </w:pPr>
            <w:r>
              <w:rPr>
                <w:rFonts w:hint="eastAsia" w:eastAsia="宋体"/>
                <w:sz w:val="21"/>
                <w:szCs w:val="21"/>
              </w:rPr>
              <w:t>114.3</w:t>
            </w:r>
          </w:p>
        </w:tc>
        <w:tc>
          <w:tcPr>
            <w:tcW w:w="639" w:type="pct"/>
            <w:vAlign w:val="center"/>
          </w:tcPr>
          <w:p>
            <w:pPr>
              <w:spacing w:line="360" w:lineRule="exact"/>
              <w:jc w:val="center"/>
              <w:rPr>
                <w:rFonts w:eastAsia="宋体"/>
                <w:sz w:val="21"/>
                <w:szCs w:val="21"/>
              </w:rPr>
            </w:pPr>
            <w:r>
              <w:rPr>
                <w:rFonts w:hint="eastAsia" w:eastAsia="宋体"/>
                <w:sz w:val="21"/>
                <w:szCs w:val="21"/>
              </w:rPr>
              <w:t>5.63</w:t>
            </w:r>
          </w:p>
        </w:tc>
        <w:tc>
          <w:tcPr>
            <w:tcW w:w="881" w:type="pct"/>
            <w:vAlign w:val="center"/>
          </w:tcPr>
          <w:p>
            <w:pPr>
              <w:spacing w:line="360" w:lineRule="exact"/>
              <w:jc w:val="center"/>
              <w:rPr>
                <w:rFonts w:eastAsia="宋体"/>
                <w:sz w:val="21"/>
                <w:szCs w:val="21"/>
              </w:rPr>
            </w:pPr>
            <w:r>
              <w:rPr>
                <w:rFonts w:hint="eastAsia" w:eastAsia="宋体"/>
                <w:sz w:val="21"/>
                <w:szCs w:val="21"/>
              </w:rPr>
              <w:t>0.18</w:t>
            </w:r>
          </w:p>
        </w:tc>
        <w:tc>
          <w:tcPr>
            <w:tcW w:w="729" w:type="pct"/>
            <w:vAlign w:val="center"/>
          </w:tcPr>
          <w:p>
            <w:pPr>
              <w:spacing w:line="360" w:lineRule="exact"/>
              <w:jc w:val="center"/>
              <w:rPr>
                <w:rFonts w:eastAsia="宋体"/>
                <w:sz w:val="21"/>
                <w:szCs w:val="21"/>
              </w:rPr>
            </w:pPr>
            <w:r>
              <w:rPr>
                <w:rFonts w:hint="eastAsia" w:eastAsia="宋体"/>
                <w:sz w:val="21"/>
                <w:szCs w:val="21"/>
              </w:rPr>
              <w:t>-1.07</w:t>
            </w:r>
          </w:p>
        </w:tc>
      </w:tr>
    </w:tbl>
    <w:p>
      <w:pPr>
        <w:spacing w:line="520" w:lineRule="exact"/>
        <w:ind w:firstLine="480" w:firstLineChars="200"/>
        <w:rPr>
          <w:rFonts w:hAnsi="宋体" w:eastAsia="宋体"/>
          <w:sz w:val="24"/>
        </w:rPr>
      </w:pPr>
      <w:r>
        <w:rPr>
          <w:rFonts w:hAnsi="宋体" w:eastAsia="宋体"/>
          <w:sz w:val="24"/>
        </w:rPr>
        <w:t>（7）类比监测结果</w:t>
      </w:r>
    </w:p>
    <w:p>
      <w:pPr>
        <w:spacing w:line="520" w:lineRule="exact"/>
        <w:ind w:firstLine="480" w:firstLineChars="200"/>
        <w:rPr>
          <w:rFonts w:eastAsia="宋体"/>
          <w:sz w:val="24"/>
        </w:rPr>
      </w:pPr>
      <w:r>
        <w:rPr>
          <w:rFonts w:hAnsi="宋体" w:eastAsia="宋体"/>
          <w:sz w:val="24"/>
        </w:rPr>
        <w:t>类比升压站类比实测结果见表</w:t>
      </w:r>
      <w:r>
        <w:rPr>
          <w:rFonts w:hint="eastAsia" w:eastAsia="宋体"/>
          <w:sz w:val="24"/>
        </w:rPr>
        <w:t>8</w:t>
      </w:r>
      <w:r>
        <w:rPr>
          <w:rFonts w:hAnsi="宋体" w:eastAsia="宋体"/>
          <w:sz w:val="24"/>
        </w:rPr>
        <w:t>，工频电场、工频磁感应强度分布趋势见图</w:t>
      </w:r>
      <w:r>
        <w:rPr>
          <w:rFonts w:eastAsia="宋体"/>
          <w:sz w:val="24"/>
        </w:rPr>
        <w:t>3</w:t>
      </w:r>
      <w:r>
        <w:rPr>
          <w:rFonts w:hAnsi="宋体" w:eastAsia="宋体"/>
          <w:sz w:val="24"/>
        </w:rPr>
        <w:t>、图</w:t>
      </w:r>
      <w:r>
        <w:rPr>
          <w:rFonts w:eastAsia="宋体"/>
          <w:sz w:val="24"/>
        </w:rPr>
        <w:t>4</w:t>
      </w:r>
      <w:r>
        <w:rPr>
          <w:rFonts w:hAnsi="宋体" w:eastAsia="宋体"/>
          <w:sz w:val="24"/>
        </w:rPr>
        <w:t>。</w:t>
      </w:r>
    </w:p>
    <w:p>
      <w:pPr>
        <w:pStyle w:val="4"/>
        <w:adjustRightInd w:val="0"/>
        <w:snapToGrid w:val="0"/>
        <w:spacing w:line="520" w:lineRule="exact"/>
        <w:ind w:firstLine="480" w:firstLineChars="200"/>
        <w:rPr>
          <w:rFonts w:ascii="Times New Roman" w:hAnsi="黑体"/>
          <w:sz w:val="24"/>
          <w:szCs w:val="24"/>
        </w:rPr>
      </w:pPr>
    </w:p>
    <w:p>
      <w:pPr>
        <w:pStyle w:val="4"/>
        <w:adjustRightInd w:val="0"/>
        <w:snapToGrid w:val="0"/>
        <w:spacing w:line="520" w:lineRule="exact"/>
        <w:ind w:firstLine="480" w:firstLineChars="200"/>
        <w:rPr>
          <w:rFonts w:ascii="Times New Roman" w:hAnsi="黑体"/>
          <w:sz w:val="24"/>
          <w:szCs w:val="24"/>
        </w:rPr>
      </w:pPr>
    </w:p>
    <w:p>
      <w:pPr>
        <w:pStyle w:val="4"/>
        <w:adjustRightInd w:val="0"/>
        <w:snapToGrid w:val="0"/>
        <w:spacing w:line="520" w:lineRule="exact"/>
        <w:rPr>
          <w:rFonts w:ascii="Times New Roman" w:hAnsi="Times New Roman"/>
          <w:sz w:val="24"/>
          <w:szCs w:val="24"/>
        </w:rPr>
      </w:pPr>
      <w:r>
        <w:rPr>
          <w:rFonts w:ascii="Times New Roman" w:hAnsi="黑体"/>
          <w:sz w:val="24"/>
          <w:szCs w:val="24"/>
        </w:rPr>
        <w:t>表</w:t>
      </w:r>
      <w:r>
        <w:rPr>
          <w:rFonts w:hint="eastAsia" w:ascii="Times New Roman" w:hAnsi="Times New Roman"/>
          <w:sz w:val="24"/>
          <w:szCs w:val="24"/>
        </w:rPr>
        <w:t>8</w:t>
      </w:r>
      <w:r>
        <w:rPr>
          <w:rFonts w:ascii="Times New Roman" w:hAnsi="黑体"/>
          <w:sz w:val="24"/>
          <w:szCs w:val="24"/>
        </w:rPr>
        <w:t>润清风电场新建 110 千伏升压站工频电场、工频磁感应强度类比监测结果</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849"/>
        <w:gridCol w:w="1921"/>
        <w:gridCol w:w="544"/>
        <w:gridCol w:w="1467"/>
        <w:gridCol w:w="2039"/>
        <w:gridCol w:w="1702"/>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tblHeader/>
          <w:jc w:val="center"/>
        </w:trPr>
        <w:tc>
          <w:tcPr>
            <w:tcW w:w="849" w:type="dxa"/>
            <w:vAlign w:val="center"/>
          </w:tcPr>
          <w:p>
            <w:pPr>
              <w:spacing w:line="360" w:lineRule="exact"/>
              <w:jc w:val="center"/>
              <w:rPr>
                <w:rFonts w:eastAsia="宋体"/>
                <w:sz w:val="21"/>
                <w:szCs w:val="21"/>
              </w:rPr>
            </w:pPr>
            <w:r>
              <w:rPr>
                <w:rFonts w:hAnsi="宋体" w:eastAsia="宋体"/>
                <w:sz w:val="21"/>
                <w:szCs w:val="21"/>
              </w:rPr>
              <w:t>序号</w:t>
            </w:r>
          </w:p>
        </w:tc>
        <w:tc>
          <w:tcPr>
            <w:tcW w:w="2465" w:type="dxa"/>
            <w:gridSpan w:val="2"/>
            <w:vAlign w:val="center"/>
          </w:tcPr>
          <w:p>
            <w:pPr>
              <w:spacing w:line="360" w:lineRule="exact"/>
              <w:jc w:val="center"/>
              <w:rPr>
                <w:rFonts w:eastAsia="宋体"/>
                <w:sz w:val="21"/>
                <w:szCs w:val="21"/>
              </w:rPr>
            </w:pPr>
            <w:r>
              <w:rPr>
                <w:rFonts w:hAnsi="宋体" w:eastAsia="宋体"/>
                <w:sz w:val="21"/>
                <w:szCs w:val="21"/>
              </w:rPr>
              <w:t>监测点位（</w:t>
            </w:r>
            <w:r>
              <w:rPr>
                <w:rFonts w:eastAsia="宋体"/>
                <w:sz w:val="21"/>
                <w:szCs w:val="21"/>
              </w:rPr>
              <w:t>m</w:t>
            </w:r>
            <w:r>
              <w:rPr>
                <w:rFonts w:hAnsi="宋体" w:eastAsia="宋体"/>
                <w:sz w:val="21"/>
                <w:szCs w:val="21"/>
              </w:rPr>
              <w:t>）</w:t>
            </w:r>
          </w:p>
        </w:tc>
        <w:tc>
          <w:tcPr>
            <w:tcW w:w="1467" w:type="dxa"/>
            <w:vAlign w:val="center"/>
          </w:tcPr>
          <w:p>
            <w:pPr>
              <w:spacing w:line="360" w:lineRule="exact"/>
              <w:jc w:val="center"/>
              <w:rPr>
                <w:rFonts w:eastAsia="宋体"/>
                <w:sz w:val="21"/>
                <w:szCs w:val="21"/>
              </w:rPr>
            </w:pPr>
            <w:r>
              <w:rPr>
                <w:rFonts w:hAnsi="宋体" w:eastAsia="宋体"/>
                <w:sz w:val="21"/>
                <w:szCs w:val="21"/>
              </w:rPr>
              <w:t>距地高度（</w:t>
            </w:r>
            <w:r>
              <w:rPr>
                <w:rFonts w:eastAsia="宋体"/>
                <w:sz w:val="21"/>
                <w:szCs w:val="21"/>
              </w:rPr>
              <w:t>m</w:t>
            </w:r>
            <w:r>
              <w:rPr>
                <w:rFonts w:hAnsi="宋体" w:eastAsia="宋体"/>
                <w:sz w:val="21"/>
                <w:szCs w:val="21"/>
              </w:rPr>
              <w:t>）</w:t>
            </w:r>
          </w:p>
        </w:tc>
        <w:tc>
          <w:tcPr>
            <w:tcW w:w="2039" w:type="dxa"/>
            <w:vAlign w:val="center"/>
          </w:tcPr>
          <w:p>
            <w:pPr>
              <w:spacing w:line="360" w:lineRule="exact"/>
              <w:jc w:val="center"/>
              <w:rPr>
                <w:rFonts w:eastAsia="宋体"/>
                <w:sz w:val="21"/>
                <w:szCs w:val="21"/>
              </w:rPr>
            </w:pPr>
            <w:r>
              <w:rPr>
                <w:rFonts w:hAnsi="宋体" w:eastAsia="宋体"/>
                <w:sz w:val="21"/>
                <w:szCs w:val="21"/>
              </w:rPr>
              <w:t>工频电场强度（</w:t>
            </w:r>
            <w:r>
              <w:rPr>
                <w:rFonts w:eastAsia="宋体"/>
                <w:sz w:val="21"/>
                <w:szCs w:val="21"/>
              </w:rPr>
              <w:t>V/m</w:t>
            </w:r>
            <w:r>
              <w:rPr>
                <w:rFonts w:hAnsi="宋体" w:eastAsia="宋体"/>
                <w:sz w:val="21"/>
                <w:szCs w:val="21"/>
              </w:rPr>
              <w:t>）</w:t>
            </w:r>
          </w:p>
        </w:tc>
        <w:tc>
          <w:tcPr>
            <w:tcW w:w="1702" w:type="dxa"/>
            <w:vAlign w:val="center"/>
          </w:tcPr>
          <w:p>
            <w:pPr>
              <w:spacing w:line="360" w:lineRule="exact"/>
              <w:jc w:val="center"/>
              <w:rPr>
                <w:rFonts w:eastAsia="宋体"/>
                <w:sz w:val="21"/>
                <w:szCs w:val="21"/>
              </w:rPr>
            </w:pPr>
            <w:r>
              <w:rPr>
                <w:rFonts w:hAnsi="宋体" w:eastAsia="宋体"/>
                <w:sz w:val="21"/>
                <w:szCs w:val="21"/>
              </w:rPr>
              <w:t>磁感应强度（</w:t>
            </w:r>
            <w:r>
              <w:rPr>
                <w:rFonts w:eastAsia="宋体"/>
                <w:sz w:val="21"/>
                <w:szCs w:val="21"/>
              </w:rPr>
              <w:t>μT</w:t>
            </w:r>
            <w:r>
              <w:rPr>
                <w:rFonts w:hAnsi="宋体"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hAnsi="宋体" w:eastAsia="宋体"/>
                <w:sz w:val="21"/>
                <w:szCs w:val="21"/>
              </w:rPr>
              <w:t>一</w:t>
            </w:r>
          </w:p>
        </w:tc>
        <w:tc>
          <w:tcPr>
            <w:tcW w:w="7673" w:type="dxa"/>
            <w:gridSpan w:val="5"/>
            <w:vAlign w:val="center"/>
          </w:tcPr>
          <w:p>
            <w:pPr>
              <w:spacing w:line="360" w:lineRule="exact"/>
              <w:jc w:val="center"/>
              <w:rPr>
                <w:rFonts w:eastAsia="宋体"/>
                <w:sz w:val="21"/>
                <w:szCs w:val="21"/>
              </w:rPr>
            </w:pPr>
            <w:r>
              <w:rPr>
                <w:rFonts w:hAnsi="宋体" w:eastAsia="宋体"/>
                <w:sz w:val="21"/>
                <w:szCs w:val="21"/>
              </w:rPr>
              <w:t>升压站厂界监测（</w:t>
            </w:r>
            <w:r>
              <w:rPr>
                <w:rFonts w:hint="eastAsia" w:hAnsi="宋体" w:eastAsia="宋体"/>
                <w:sz w:val="21"/>
                <w:szCs w:val="21"/>
              </w:rPr>
              <w:t>升压站北</w:t>
            </w:r>
            <w:r>
              <w:rPr>
                <w:rFonts w:hAnsi="宋体" w:eastAsia="宋体"/>
                <w:sz w:val="21"/>
                <w:szCs w:val="21"/>
              </w:rPr>
              <w:t>侧为</w:t>
            </w:r>
            <w:r>
              <w:rPr>
                <w:rFonts w:eastAsia="宋体"/>
                <w:sz w:val="21"/>
                <w:szCs w:val="21"/>
              </w:rPr>
              <w:t xml:space="preserve">110kV </w:t>
            </w:r>
            <w:r>
              <w:rPr>
                <w:rFonts w:hAnsi="宋体" w:eastAsia="宋体"/>
                <w:sz w:val="21"/>
                <w:szCs w:val="21"/>
              </w:rPr>
              <w:t>线路出线侧）</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1</w:t>
            </w:r>
          </w:p>
        </w:tc>
        <w:tc>
          <w:tcPr>
            <w:tcW w:w="1921" w:type="dxa"/>
            <w:vAlign w:val="center"/>
          </w:tcPr>
          <w:p>
            <w:pPr>
              <w:spacing w:line="360" w:lineRule="exact"/>
              <w:jc w:val="center"/>
              <w:rPr>
                <w:rFonts w:eastAsia="宋体"/>
                <w:sz w:val="21"/>
                <w:szCs w:val="21"/>
              </w:rPr>
            </w:pPr>
            <w:r>
              <w:rPr>
                <w:rFonts w:hAnsi="宋体" w:eastAsia="宋体"/>
                <w:sz w:val="21"/>
                <w:szCs w:val="21"/>
              </w:rPr>
              <w:t>升压站东厂界</w:t>
            </w:r>
          </w:p>
        </w:tc>
        <w:tc>
          <w:tcPr>
            <w:tcW w:w="544" w:type="dxa"/>
            <w:vAlign w:val="center"/>
          </w:tcPr>
          <w:p>
            <w:pPr>
              <w:spacing w:line="360" w:lineRule="exact"/>
              <w:jc w:val="center"/>
              <w:rPr>
                <w:rFonts w:eastAsia="宋体"/>
                <w:sz w:val="21"/>
                <w:szCs w:val="21"/>
              </w:rPr>
            </w:pPr>
            <w:r>
              <w:rPr>
                <w:rFonts w:eastAsia="宋体"/>
                <w:sz w:val="21"/>
                <w:szCs w:val="21"/>
              </w:rPr>
              <w:t>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360.9</w:t>
            </w:r>
          </w:p>
        </w:tc>
        <w:tc>
          <w:tcPr>
            <w:tcW w:w="1702" w:type="dxa"/>
            <w:vAlign w:val="center"/>
          </w:tcPr>
          <w:p>
            <w:pPr>
              <w:spacing w:line="360" w:lineRule="exact"/>
              <w:jc w:val="center"/>
              <w:rPr>
                <w:rFonts w:eastAsia="宋体"/>
                <w:sz w:val="21"/>
                <w:szCs w:val="21"/>
              </w:rPr>
            </w:pPr>
            <w:r>
              <w:rPr>
                <w:rFonts w:hint="eastAsia" w:eastAsia="宋体"/>
                <w:sz w:val="21"/>
                <w:szCs w:val="21"/>
              </w:rPr>
              <w:t>0.046</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p>
        </w:tc>
        <w:tc>
          <w:tcPr>
            <w:tcW w:w="1921" w:type="dxa"/>
            <w:vAlign w:val="center"/>
          </w:tcPr>
          <w:p>
            <w:pPr>
              <w:spacing w:line="360" w:lineRule="exact"/>
              <w:jc w:val="center"/>
              <w:rPr>
                <w:rFonts w:eastAsia="宋体"/>
                <w:sz w:val="21"/>
                <w:szCs w:val="21"/>
              </w:rPr>
            </w:pPr>
            <w:r>
              <w:rPr>
                <w:rFonts w:hAnsi="宋体" w:eastAsia="宋体"/>
                <w:sz w:val="21"/>
                <w:szCs w:val="21"/>
              </w:rPr>
              <w:t>升压站南界</w:t>
            </w:r>
          </w:p>
        </w:tc>
        <w:tc>
          <w:tcPr>
            <w:tcW w:w="544" w:type="dxa"/>
            <w:vAlign w:val="center"/>
          </w:tcPr>
          <w:p>
            <w:pPr>
              <w:spacing w:line="360" w:lineRule="exact"/>
              <w:jc w:val="center"/>
              <w:rPr>
                <w:rFonts w:eastAsia="宋体"/>
                <w:sz w:val="21"/>
                <w:szCs w:val="21"/>
              </w:rPr>
            </w:pPr>
            <w:r>
              <w:rPr>
                <w:rFonts w:eastAsia="宋体"/>
                <w:sz w:val="21"/>
                <w:szCs w:val="21"/>
              </w:rPr>
              <w:t>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4.58</w:t>
            </w:r>
          </w:p>
        </w:tc>
        <w:tc>
          <w:tcPr>
            <w:tcW w:w="1702" w:type="dxa"/>
            <w:vAlign w:val="center"/>
          </w:tcPr>
          <w:p>
            <w:pPr>
              <w:spacing w:line="360" w:lineRule="exact"/>
              <w:jc w:val="center"/>
              <w:rPr>
                <w:rFonts w:eastAsia="宋体"/>
                <w:sz w:val="21"/>
                <w:szCs w:val="21"/>
              </w:rPr>
            </w:pPr>
            <w:r>
              <w:rPr>
                <w:rFonts w:hint="eastAsia" w:eastAsia="宋体"/>
                <w:sz w:val="21"/>
                <w:szCs w:val="21"/>
              </w:rPr>
              <w:t>0.031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p>
        </w:tc>
        <w:tc>
          <w:tcPr>
            <w:tcW w:w="1921" w:type="dxa"/>
            <w:vAlign w:val="center"/>
          </w:tcPr>
          <w:p>
            <w:pPr>
              <w:spacing w:line="360" w:lineRule="exact"/>
              <w:jc w:val="center"/>
              <w:rPr>
                <w:rFonts w:eastAsia="宋体"/>
                <w:sz w:val="21"/>
                <w:szCs w:val="21"/>
              </w:rPr>
            </w:pPr>
            <w:r>
              <w:rPr>
                <w:rFonts w:hAnsi="宋体" w:eastAsia="宋体"/>
                <w:sz w:val="21"/>
                <w:szCs w:val="21"/>
              </w:rPr>
              <w:t>升压站西厂界</w:t>
            </w:r>
          </w:p>
        </w:tc>
        <w:tc>
          <w:tcPr>
            <w:tcW w:w="544" w:type="dxa"/>
            <w:vAlign w:val="center"/>
          </w:tcPr>
          <w:p>
            <w:pPr>
              <w:spacing w:line="360" w:lineRule="exact"/>
              <w:jc w:val="center"/>
              <w:rPr>
                <w:rFonts w:eastAsia="宋体"/>
                <w:sz w:val="21"/>
                <w:szCs w:val="21"/>
              </w:rPr>
            </w:pPr>
            <w:r>
              <w:rPr>
                <w:rFonts w:eastAsia="宋体"/>
                <w:sz w:val="21"/>
                <w:szCs w:val="21"/>
              </w:rPr>
              <w:t>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12.3</w:t>
            </w:r>
          </w:p>
        </w:tc>
        <w:tc>
          <w:tcPr>
            <w:tcW w:w="1702" w:type="dxa"/>
            <w:vAlign w:val="center"/>
          </w:tcPr>
          <w:p>
            <w:pPr>
              <w:spacing w:line="360" w:lineRule="exact"/>
              <w:jc w:val="center"/>
              <w:rPr>
                <w:rFonts w:eastAsia="宋体"/>
                <w:sz w:val="21"/>
                <w:szCs w:val="21"/>
              </w:rPr>
            </w:pPr>
            <w:r>
              <w:rPr>
                <w:rFonts w:hint="eastAsia" w:eastAsia="宋体"/>
                <w:sz w:val="21"/>
                <w:szCs w:val="21"/>
              </w:rPr>
              <w:t>0.032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p>
        </w:tc>
        <w:tc>
          <w:tcPr>
            <w:tcW w:w="1921" w:type="dxa"/>
            <w:vAlign w:val="center"/>
          </w:tcPr>
          <w:p>
            <w:pPr>
              <w:spacing w:line="360" w:lineRule="exact"/>
              <w:jc w:val="center"/>
              <w:rPr>
                <w:rFonts w:eastAsia="宋体"/>
                <w:sz w:val="21"/>
                <w:szCs w:val="21"/>
              </w:rPr>
            </w:pPr>
            <w:r>
              <w:rPr>
                <w:rFonts w:hAnsi="宋体" w:eastAsia="宋体"/>
                <w:sz w:val="21"/>
                <w:szCs w:val="21"/>
              </w:rPr>
              <w:t>升压站北厂界</w:t>
            </w:r>
          </w:p>
        </w:tc>
        <w:tc>
          <w:tcPr>
            <w:tcW w:w="544" w:type="dxa"/>
            <w:vAlign w:val="center"/>
          </w:tcPr>
          <w:p>
            <w:pPr>
              <w:spacing w:line="360" w:lineRule="exact"/>
              <w:jc w:val="center"/>
              <w:rPr>
                <w:rFonts w:eastAsia="宋体"/>
                <w:sz w:val="21"/>
                <w:szCs w:val="21"/>
              </w:rPr>
            </w:pPr>
            <w:r>
              <w:rPr>
                <w:rFonts w:eastAsia="宋体"/>
                <w:sz w:val="21"/>
                <w:szCs w:val="21"/>
              </w:rPr>
              <w:t>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22.5</w:t>
            </w:r>
          </w:p>
        </w:tc>
        <w:tc>
          <w:tcPr>
            <w:tcW w:w="1702" w:type="dxa"/>
            <w:vAlign w:val="center"/>
          </w:tcPr>
          <w:p>
            <w:pPr>
              <w:spacing w:line="360" w:lineRule="exact"/>
              <w:jc w:val="center"/>
              <w:rPr>
                <w:rFonts w:eastAsia="宋体"/>
                <w:sz w:val="21"/>
                <w:szCs w:val="21"/>
              </w:rPr>
            </w:pPr>
            <w:r>
              <w:rPr>
                <w:rFonts w:hint="eastAsia" w:eastAsia="宋体"/>
                <w:sz w:val="21"/>
                <w:szCs w:val="21"/>
              </w:rPr>
              <w:t>0.037</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hAnsi="宋体" w:eastAsia="宋体"/>
                <w:sz w:val="21"/>
                <w:szCs w:val="21"/>
              </w:rPr>
              <w:t>二</w:t>
            </w:r>
          </w:p>
        </w:tc>
        <w:tc>
          <w:tcPr>
            <w:tcW w:w="7673" w:type="dxa"/>
            <w:gridSpan w:val="5"/>
            <w:vAlign w:val="center"/>
          </w:tcPr>
          <w:p>
            <w:pPr>
              <w:spacing w:line="360" w:lineRule="exact"/>
              <w:jc w:val="center"/>
              <w:rPr>
                <w:rFonts w:eastAsia="宋体"/>
                <w:sz w:val="21"/>
                <w:szCs w:val="21"/>
              </w:rPr>
            </w:pPr>
            <w:r>
              <w:rPr>
                <w:rFonts w:hAnsi="宋体" w:eastAsia="宋体"/>
                <w:sz w:val="21"/>
                <w:szCs w:val="21"/>
              </w:rPr>
              <w:t>升压站厂界衰减断面监测</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5</w:t>
            </w:r>
          </w:p>
        </w:tc>
        <w:tc>
          <w:tcPr>
            <w:tcW w:w="1921" w:type="dxa"/>
            <w:vMerge w:val="restart"/>
            <w:vAlign w:val="center"/>
          </w:tcPr>
          <w:p>
            <w:pPr>
              <w:spacing w:line="360" w:lineRule="exact"/>
              <w:jc w:val="center"/>
              <w:rPr>
                <w:rFonts w:eastAsia="宋体"/>
                <w:sz w:val="21"/>
                <w:szCs w:val="21"/>
              </w:rPr>
            </w:pPr>
            <w:r>
              <w:rPr>
                <w:rFonts w:hAnsi="宋体" w:eastAsia="宋体"/>
                <w:sz w:val="21"/>
                <w:szCs w:val="21"/>
              </w:rPr>
              <w:t>监测断面</w:t>
            </w:r>
          </w:p>
        </w:tc>
        <w:tc>
          <w:tcPr>
            <w:tcW w:w="544" w:type="dxa"/>
            <w:vAlign w:val="center"/>
          </w:tcPr>
          <w:p>
            <w:pPr>
              <w:spacing w:line="360" w:lineRule="exact"/>
              <w:jc w:val="center"/>
              <w:rPr>
                <w:rFonts w:eastAsia="宋体"/>
                <w:sz w:val="21"/>
                <w:szCs w:val="21"/>
              </w:rPr>
            </w:pPr>
            <w:r>
              <w:rPr>
                <w:rFonts w:eastAsia="宋体"/>
                <w:sz w:val="21"/>
                <w:szCs w:val="21"/>
              </w:rPr>
              <w:t>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22.5</w:t>
            </w:r>
          </w:p>
        </w:tc>
        <w:tc>
          <w:tcPr>
            <w:tcW w:w="1702" w:type="dxa"/>
            <w:vAlign w:val="center"/>
          </w:tcPr>
          <w:p>
            <w:pPr>
              <w:spacing w:line="360" w:lineRule="exact"/>
              <w:jc w:val="center"/>
              <w:rPr>
                <w:rFonts w:eastAsia="宋体"/>
                <w:sz w:val="21"/>
                <w:szCs w:val="21"/>
              </w:rPr>
            </w:pPr>
            <w:r>
              <w:rPr>
                <w:rFonts w:hint="eastAsia" w:eastAsia="宋体"/>
                <w:sz w:val="21"/>
                <w:szCs w:val="21"/>
              </w:rPr>
              <w:t>0.0037</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6</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10</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20.6</w:t>
            </w:r>
          </w:p>
        </w:tc>
        <w:tc>
          <w:tcPr>
            <w:tcW w:w="1702" w:type="dxa"/>
            <w:vAlign w:val="center"/>
          </w:tcPr>
          <w:p>
            <w:pPr>
              <w:spacing w:line="360" w:lineRule="exact"/>
              <w:jc w:val="center"/>
              <w:rPr>
                <w:rFonts w:eastAsia="宋体"/>
                <w:sz w:val="21"/>
                <w:szCs w:val="21"/>
              </w:rPr>
            </w:pPr>
            <w:r>
              <w:rPr>
                <w:rFonts w:hint="eastAsia" w:eastAsia="宋体"/>
                <w:sz w:val="21"/>
                <w:szCs w:val="21"/>
              </w:rPr>
              <w:t>0.030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7</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15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20.5</w:t>
            </w:r>
          </w:p>
        </w:tc>
        <w:tc>
          <w:tcPr>
            <w:tcW w:w="1702" w:type="dxa"/>
            <w:vAlign w:val="center"/>
          </w:tcPr>
          <w:p>
            <w:pPr>
              <w:spacing w:line="360" w:lineRule="exact"/>
              <w:jc w:val="center"/>
              <w:rPr>
                <w:rFonts w:eastAsia="宋体"/>
                <w:sz w:val="21"/>
                <w:szCs w:val="21"/>
              </w:rPr>
            </w:pPr>
            <w:r>
              <w:rPr>
                <w:rFonts w:hint="eastAsia" w:eastAsia="宋体"/>
                <w:sz w:val="21"/>
                <w:szCs w:val="21"/>
              </w:rPr>
              <w:t>0.024</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8</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20</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19.9</w:t>
            </w:r>
          </w:p>
        </w:tc>
        <w:tc>
          <w:tcPr>
            <w:tcW w:w="1702" w:type="dxa"/>
            <w:vAlign w:val="center"/>
          </w:tcPr>
          <w:p>
            <w:pPr>
              <w:spacing w:line="360" w:lineRule="exact"/>
              <w:jc w:val="center"/>
              <w:rPr>
                <w:rFonts w:eastAsia="宋体"/>
                <w:sz w:val="21"/>
                <w:szCs w:val="21"/>
              </w:rPr>
            </w:pPr>
            <w:r>
              <w:rPr>
                <w:rFonts w:hint="eastAsia" w:eastAsia="宋体"/>
                <w:sz w:val="21"/>
                <w:szCs w:val="21"/>
              </w:rPr>
              <w:t>0.014</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9</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25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18.9</w:t>
            </w:r>
          </w:p>
        </w:tc>
        <w:tc>
          <w:tcPr>
            <w:tcW w:w="1702" w:type="dxa"/>
            <w:vAlign w:val="center"/>
          </w:tcPr>
          <w:p>
            <w:pPr>
              <w:spacing w:line="360" w:lineRule="exact"/>
              <w:jc w:val="center"/>
              <w:rPr>
                <w:rFonts w:eastAsia="宋体"/>
                <w:sz w:val="21"/>
                <w:szCs w:val="21"/>
              </w:rPr>
            </w:pPr>
            <w:r>
              <w:rPr>
                <w:rFonts w:hint="eastAsia" w:eastAsia="宋体"/>
                <w:sz w:val="21"/>
                <w:szCs w:val="21"/>
              </w:rPr>
              <w:t>0.018</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10</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30</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14.04</w:t>
            </w:r>
          </w:p>
        </w:tc>
        <w:tc>
          <w:tcPr>
            <w:tcW w:w="1702" w:type="dxa"/>
            <w:vAlign w:val="center"/>
          </w:tcPr>
          <w:p>
            <w:pPr>
              <w:spacing w:line="360" w:lineRule="exact"/>
              <w:jc w:val="center"/>
              <w:rPr>
                <w:rFonts w:eastAsia="宋体"/>
                <w:sz w:val="21"/>
                <w:szCs w:val="21"/>
              </w:rPr>
            </w:pPr>
            <w:r>
              <w:rPr>
                <w:rFonts w:hint="eastAsia" w:eastAsia="宋体"/>
                <w:sz w:val="21"/>
                <w:szCs w:val="21"/>
              </w:rPr>
              <w:t>0.017</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11</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35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12.66</w:t>
            </w:r>
          </w:p>
        </w:tc>
        <w:tc>
          <w:tcPr>
            <w:tcW w:w="1702" w:type="dxa"/>
            <w:vAlign w:val="center"/>
          </w:tcPr>
          <w:p>
            <w:pPr>
              <w:spacing w:line="360" w:lineRule="exact"/>
              <w:jc w:val="center"/>
              <w:rPr>
                <w:rFonts w:eastAsia="宋体"/>
                <w:sz w:val="21"/>
                <w:szCs w:val="21"/>
              </w:rPr>
            </w:pPr>
            <w:r>
              <w:rPr>
                <w:rFonts w:hint="eastAsia" w:eastAsia="宋体"/>
                <w:sz w:val="21"/>
                <w:szCs w:val="21"/>
              </w:rPr>
              <w:t>0.016</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12</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40</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10.57</w:t>
            </w:r>
          </w:p>
        </w:tc>
        <w:tc>
          <w:tcPr>
            <w:tcW w:w="1702" w:type="dxa"/>
            <w:vAlign w:val="center"/>
          </w:tcPr>
          <w:p>
            <w:pPr>
              <w:spacing w:line="360" w:lineRule="exact"/>
              <w:jc w:val="center"/>
              <w:rPr>
                <w:rFonts w:eastAsia="宋体"/>
                <w:sz w:val="21"/>
                <w:szCs w:val="21"/>
              </w:rPr>
            </w:pPr>
            <w:r>
              <w:rPr>
                <w:rFonts w:hint="eastAsia" w:eastAsia="宋体"/>
                <w:sz w:val="21"/>
                <w:szCs w:val="21"/>
              </w:rPr>
              <w:t>0.016</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13</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45</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10.37</w:t>
            </w:r>
          </w:p>
        </w:tc>
        <w:tc>
          <w:tcPr>
            <w:tcW w:w="1702" w:type="dxa"/>
            <w:vAlign w:val="center"/>
          </w:tcPr>
          <w:p>
            <w:pPr>
              <w:spacing w:line="360" w:lineRule="exact"/>
              <w:jc w:val="center"/>
              <w:rPr>
                <w:rFonts w:eastAsia="宋体"/>
                <w:sz w:val="21"/>
                <w:szCs w:val="21"/>
              </w:rPr>
            </w:pPr>
            <w:r>
              <w:rPr>
                <w:rFonts w:hint="eastAsia" w:eastAsia="宋体"/>
                <w:sz w:val="21"/>
                <w:szCs w:val="21"/>
              </w:rPr>
              <w:t>0.014</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57" w:hRule="atLeast"/>
          <w:jc w:val="center"/>
        </w:trPr>
        <w:tc>
          <w:tcPr>
            <w:tcW w:w="849" w:type="dxa"/>
            <w:vAlign w:val="center"/>
          </w:tcPr>
          <w:p>
            <w:pPr>
              <w:spacing w:line="360" w:lineRule="exact"/>
              <w:jc w:val="center"/>
              <w:rPr>
                <w:rFonts w:eastAsia="宋体"/>
                <w:sz w:val="21"/>
                <w:szCs w:val="21"/>
              </w:rPr>
            </w:pPr>
            <w:r>
              <w:rPr>
                <w:rFonts w:eastAsia="宋体"/>
                <w:sz w:val="21"/>
                <w:szCs w:val="21"/>
              </w:rPr>
              <w:t>14</w:t>
            </w:r>
          </w:p>
        </w:tc>
        <w:tc>
          <w:tcPr>
            <w:tcW w:w="1921" w:type="dxa"/>
            <w:vMerge w:val="continue"/>
            <w:vAlign w:val="center"/>
          </w:tcPr>
          <w:p>
            <w:pPr>
              <w:spacing w:line="360" w:lineRule="exact"/>
              <w:jc w:val="center"/>
              <w:rPr>
                <w:rFonts w:eastAsia="宋体"/>
                <w:sz w:val="21"/>
                <w:szCs w:val="21"/>
              </w:rPr>
            </w:pPr>
          </w:p>
        </w:tc>
        <w:tc>
          <w:tcPr>
            <w:tcW w:w="544" w:type="dxa"/>
            <w:vAlign w:val="center"/>
          </w:tcPr>
          <w:p>
            <w:pPr>
              <w:spacing w:line="360" w:lineRule="exact"/>
              <w:jc w:val="center"/>
              <w:rPr>
                <w:rFonts w:eastAsia="宋体"/>
                <w:sz w:val="21"/>
                <w:szCs w:val="21"/>
              </w:rPr>
            </w:pPr>
            <w:r>
              <w:rPr>
                <w:rFonts w:eastAsia="宋体"/>
                <w:sz w:val="21"/>
                <w:szCs w:val="21"/>
              </w:rPr>
              <w:t>50</w:t>
            </w:r>
          </w:p>
        </w:tc>
        <w:tc>
          <w:tcPr>
            <w:tcW w:w="1467" w:type="dxa"/>
            <w:vAlign w:val="center"/>
          </w:tcPr>
          <w:p>
            <w:pPr>
              <w:spacing w:line="360" w:lineRule="exact"/>
              <w:jc w:val="center"/>
              <w:rPr>
                <w:rFonts w:eastAsia="宋体"/>
                <w:sz w:val="21"/>
                <w:szCs w:val="21"/>
              </w:rPr>
            </w:pPr>
            <w:r>
              <w:rPr>
                <w:rFonts w:eastAsia="宋体"/>
                <w:sz w:val="21"/>
                <w:szCs w:val="21"/>
              </w:rPr>
              <w:t>1.5</w:t>
            </w:r>
          </w:p>
        </w:tc>
        <w:tc>
          <w:tcPr>
            <w:tcW w:w="2039" w:type="dxa"/>
            <w:vAlign w:val="center"/>
          </w:tcPr>
          <w:p>
            <w:pPr>
              <w:spacing w:line="360" w:lineRule="exact"/>
              <w:jc w:val="center"/>
              <w:rPr>
                <w:rFonts w:eastAsia="宋体"/>
                <w:sz w:val="21"/>
                <w:szCs w:val="21"/>
              </w:rPr>
            </w:pPr>
            <w:r>
              <w:rPr>
                <w:rFonts w:hint="eastAsia" w:eastAsia="宋体"/>
                <w:sz w:val="21"/>
                <w:szCs w:val="21"/>
              </w:rPr>
              <w:t>6.5</w:t>
            </w:r>
          </w:p>
        </w:tc>
        <w:tc>
          <w:tcPr>
            <w:tcW w:w="1702" w:type="dxa"/>
            <w:vAlign w:val="center"/>
          </w:tcPr>
          <w:p>
            <w:pPr>
              <w:spacing w:line="360" w:lineRule="exact"/>
              <w:jc w:val="center"/>
              <w:rPr>
                <w:rFonts w:eastAsia="宋体"/>
                <w:sz w:val="21"/>
                <w:szCs w:val="21"/>
              </w:rPr>
            </w:pPr>
            <w:r>
              <w:rPr>
                <w:rFonts w:hint="eastAsia" w:eastAsia="宋体"/>
                <w:sz w:val="21"/>
                <w:szCs w:val="21"/>
              </w:rPr>
              <w:t>0.013</w:t>
            </w:r>
          </w:p>
        </w:tc>
      </w:tr>
    </w:tbl>
    <w:p>
      <w:pPr>
        <w:adjustRightInd w:val="0"/>
        <w:snapToGrid w:val="0"/>
        <w:spacing w:line="520" w:lineRule="exact"/>
        <w:rPr>
          <w:rFonts w:eastAsia="宋体"/>
          <w:b/>
          <w:sz w:val="24"/>
        </w:rPr>
      </w:pPr>
      <w:r>
        <w:rPr>
          <w:rFonts w:eastAsia="宋体"/>
          <w:b/>
          <w:sz w:val="24"/>
        </w:rPr>
        <w:drawing>
          <wp:anchor distT="0" distB="0" distL="114300" distR="114300" simplePos="0" relativeHeight="251641856" behindDoc="0" locked="0" layoutInCell="1" allowOverlap="1">
            <wp:simplePos x="0" y="0"/>
            <wp:positionH relativeFrom="column">
              <wp:posOffset>19050</wp:posOffset>
            </wp:positionH>
            <wp:positionV relativeFrom="paragraph">
              <wp:posOffset>203200</wp:posOffset>
            </wp:positionV>
            <wp:extent cx="5305425" cy="3305175"/>
            <wp:effectExtent l="19050" t="0" r="9525" b="0"/>
            <wp:wrapNone/>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line="520" w:lineRule="exact"/>
        <w:rPr>
          <w:rFonts w:eastAsia="宋体"/>
          <w:b/>
          <w:sz w:val="24"/>
        </w:rPr>
      </w:pPr>
    </w:p>
    <w:p>
      <w:pPr>
        <w:adjustRightInd w:val="0"/>
        <w:snapToGrid w:val="0"/>
        <w:spacing w:line="520" w:lineRule="exact"/>
        <w:rPr>
          <w:rFonts w:eastAsia="宋体"/>
          <w:b/>
          <w:sz w:val="24"/>
        </w:rPr>
      </w:pPr>
      <w:r>
        <w:rPr>
          <w:rFonts w:eastAsia="宋体"/>
          <w:b/>
          <w:sz w:val="24"/>
        </w:rPr>
        <w:drawing>
          <wp:anchor distT="0" distB="0" distL="114300" distR="114300" simplePos="0" relativeHeight="251695104" behindDoc="0" locked="0" layoutInCell="1" allowOverlap="1">
            <wp:simplePos x="0" y="0"/>
            <wp:positionH relativeFrom="column">
              <wp:posOffset>24130</wp:posOffset>
            </wp:positionH>
            <wp:positionV relativeFrom="paragraph">
              <wp:posOffset>144780</wp:posOffset>
            </wp:positionV>
            <wp:extent cx="393700" cy="1871345"/>
            <wp:effectExtent l="0" t="0" r="0" b="0"/>
            <wp:wrapNone/>
            <wp:docPr id="10" name="对象 5"/>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299865" cy="1664903"/>
                      <a:chOff x="0" y="465823"/>
                      <a:chExt cx="299865" cy="1664903"/>
                    </a:xfrm>
                  </a:grpSpPr>
                  <a:sp>
                    <a:nvSpPr>
                      <a:cNvPr id="2" name="TextBox 1"/>
                      <a:cNvSpPr txBox="1"/>
                    </a:nvSpPr>
                    <a:spPr>
                      <a:xfrm>
                        <a:off x="0" y="465823"/>
                        <a:ext cx="299865" cy="1664903"/>
                      </a:xfrm>
                      <a:prstGeom prst="rect">
                        <a:avLst/>
                      </a:prstGeom>
                    </a:spPr>
                    <a:txSp>
                      <a:txBody>
                        <a:bodyPr vertOverflow="clip" vert="eaVert" wrap="square" rtlCol="0"/>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zh-CN" altLang="zh-CN" sz="1200" b="0">
                              <a:latin typeface="+mn-lt"/>
                              <a:ea typeface="+mn-ea"/>
                              <a:cs typeface="+mn-cs"/>
                            </a:rPr>
                            <a:t>工频电场强度</a:t>
                          </a:r>
                          <a:r>
                            <a:rPr lang="zh-CN" altLang="en-US" sz="1200" b="0">
                              <a:latin typeface="+mn-lt"/>
                              <a:ea typeface="+mn-ea"/>
                              <a:cs typeface="+mn-cs"/>
                            </a:rPr>
                            <a:t>（</a:t>
                          </a:r>
                          <a:r>
                            <a:rPr lang="en-US" altLang="zh-CN" sz="1200" b="0">
                              <a:latin typeface="+mn-lt"/>
                              <a:ea typeface="+mn-ea"/>
                              <a:cs typeface="+mn-cs"/>
                            </a:rPr>
                            <a:t>V/m</a:t>
                          </a:r>
                          <a:r>
                            <a:rPr lang="zh-CN" altLang="en-US" sz="1100" b="0">
                              <a:latin typeface="+mn-lt"/>
                              <a:ea typeface="+mn-ea"/>
                              <a:cs typeface="+mn-cs"/>
                            </a:rPr>
                            <a:t>）</a:t>
                          </a:r>
                          <a:endParaRPr lang="zh-CN" altLang="en-US" sz="1100" b="0"/>
                        </a:p>
                      </a:txBody>
                      <a:useSpRect/>
                    </a:txSp>
                  </a:sp>
                </lc:lockedCanvas>
              </a:graphicData>
            </a:graphic>
          </wp:anchor>
        </w:drawing>
      </w:r>
    </w:p>
    <w:p>
      <w:pPr>
        <w:adjustRightInd w:val="0"/>
        <w:snapToGrid w:val="0"/>
        <w:spacing w:line="520" w:lineRule="exact"/>
        <w:rPr>
          <w:rFonts w:eastAsia="宋体"/>
          <w:b/>
          <w:sz w:val="24"/>
        </w:rPr>
      </w:pPr>
      <w:bookmarkStart w:id="68" w:name="_MON_1649057557"/>
      <w:bookmarkEnd w:id="68"/>
      <w:r>
        <w:rPr>
          <w:rFonts w:eastAsia="宋体"/>
          <w:b/>
          <w:sz w:val="24"/>
        </w:rPr>
        <w:object>
          <v:shape id="_x0000_i1025" o:spt="75" type="#_x0000_t75" style="height:138pt;width:348.75pt;" o:ole="t" filled="f" o:preferrelative="t" stroked="f" coordsize="21600,21600">
            <v:path/>
            <v:fill on="f" focussize="0,0"/>
            <v:stroke on="f" joinstyle="miter"/>
            <v:imagedata r:id="rId13" o:title=""/>
            <o:lock v:ext="edit" aspectratio="t"/>
            <w10:wrap type="none"/>
            <w10:anchorlock/>
          </v:shape>
          <o:OLEObject Type="Embed" ProgID="Office12.Excel.Template" ShapeID="_x0000_i1025" DrawAspect="Content" ObjectID="_1468075725" r:id="rId12">
            <o:LockedField>false</o:LockedField>
          </o:OLEObject>
        </w:object>
      </w: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adjustRightInd w:val="0"/>
        <w:snapToGrid w:val="0"/>
        <w:spacing w:line="520" w:lineRule="exact"/>
        <w:rPr>
          <w:rFonts w:eastAsia="宋体"/>
          <w:b/>
          <w:sz w:val="24"/>
        </w:rPr>
      </w:pPr>
    </w:p>
    <w:p>
      <w:pPr>
        <w:spacing w:beforeLines="50" w:line="320" w:lineRule="exact"/>
        <w:ind w:firstLine="480"/>
        <w:jc w:val="center"/>
        <w:rPr>
          <w:rFonts w:hAnsi="黑体" w:eastAsia="黑体"/>
          <w:sz w:val="24"/>
        </w:rPr>
      </w:pPr>
      <w:r>
        <w:rPr>
          <w:rFonts w:hAnsi="黑体" w:eastAsia="黑体"/>
          <w:sz w:val="24"/>
        </w:rPr>
        <w:t>图</w:t>
      </w:r>
      <w:r>
        <w:rPr>
          <w:rFonts w:hint="eastAsia" w:eastAsia="黑体"/>
          <w:sz w:val="24"/>
        </w:rPr>
        <w:t>3</w:t>
      </w:r>
      <w:r>
        <w:rPr>
          <w:rFonts w:hAnsi="黑体" w:eastAsia="黑体"/>
          <w:sz w:val="24"/>
        </w:rPr>
        <w:t>润清风电场新建 110 千伏升压站工频电场强度分布图</w:t>
      </w:r>
    </w:p>
    <w:p>
      <w:pPr>
        <w:spacing w:beforeLines="50" w:line="320" w:lineRule="exact"/>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r>
        <w:rPr>
          <w:rFonts w:hAnsi="黑体" w:eastAsia="黑体"/>
          <w:sz w:val="24"/>
        </w:rPr>
        <w:drawing>
          <wp:anchor distT="0" distB="0" distL="114300" distR="114300" simplePos="0" relativeHeight="251692032" behindDoc="0" locked="0" layoutInCell="1" allowOverlap="1">
            <wp:simplePos x="0" y="0"/>
            <wp:positionH relativeFrom="column">
              <wp:posOffset>104140</wp:posOffset>
            </wp:positionH>
            <wp:positionV relativeFrom="paragraph">
              <wp:posOffset>-152400</wp:posOffset>
            </wp:positionV>
            <wp:extent cx="5074285" cy="3486150"/>
            <wp:effectExtent l="19050" t="0" r="12065" b="0"/>
            <wp:wrapNone/>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ind w:firstLine="480"/>
        <w:jc w:val="center"/>
        <w:rPr>
          <w:rFonts w:hAnsi="黑体" w:eastAsia="黑体"/>
          <w:sz w:val="24"/>
        </w:rPr>
      </w:pPr>
    </w:p>
    <w:p>
      <w:pPr>
        <w:spacing w:beforeLines="50" w:line="320" w:lineRule="exact"/>
        <w:rPr>
          <w:rFonts w:hAnsi="黑体" w:eastAsia="黑体"/>
          <w:sz w:val="24"/>
        </w:rPr>
      </w:pPr>
    </w:p>
    <w:p>
      <w:pPr>
        <w:spacing w:beforeLines="50" w:line="320" w:lineRule="exact"/>
        <w:ind w:firstLine="480"/>
        <w:jc w:val="center"/>
        <w:rPr>
          <w:rFonts w:hAnsi="黑体" w:eastAsia="黑体"/>
          <w:sz w:val="24"/>
        </w:rPr>
      </w:pPr>
      <w:r>
        <w:rPr>
          <w:rFonts w:hAnsi="黑体" w:eastAsia="黑体"/>
          <w:sz w:val="24"/>
        </w:rPr>
        <w:t>图</w:t>
      </w:r>
      <w:r>
        <w:rPr>
          <w:rFonts w:hint="eastAsia" w:eastAsia="黑体"/>
          <w:sz w:val="24"/>
        </w:rPr>
        <w:t>4</w:t>
      </w:r>
      <w:r>
        <w:rPr>
          <w:rFonts w:hAnsi="黑体" w:eastAsia="黑体"/>
          <w:sz w:val="24"/>
        </w:rPr>
        <w:t>润清风电场新建 110 千伏升压站磁感应强度分布图</w:t>
      </w:r>
    </w:p>
    <w:p>
      <w:pPr>
        <w:spacing w:line="520" w:lineRule="exact"/>
        <w:ind w:firstLine="480" w:firstLineChars="200"/>
        <w:rPr>
          <w:rFonts w:hAnsi="宋体" w:eastAsia="宋体"/>
          <w:sz w:val="24"/>
        </w:rPr>
      </w:pPr>
      <w:r>
        <w:rPr>
          <w:rFonts w:hint="eastAsia" w:hAnsi="宋体" w:eastAsia="宋体"/>
          <w:sz w:val="24"/>
        </w:rPr>
        <w:t>（8）</w:t>
      </w:r>
      <w:r>
        <w:rPr>
          <w:rFonts w:hAnsi="宋体" w:eastAsia="宋体"/>
          <w:sz w:val="24"/>
        </w:rPr>
        <w:t>类比监测结果分析</w:t>
      </w:r>
    </w:p>
    <w:p>
      <w:pPr>
        <w:spacing w:line="520" w:lineRule="exact"/>
        <w:ind w:firstLine="480" w:firstLineChars="200"/>
        <w:rPr>
          <w:rFonts w:eastAsia="宋体"/>
          <w:sz w:val="24"/>
        </w:rPr>
      </w:pPr>
      <w:r>
        <w:rPr>
          <w:rFonts w:hAnsi="宋体" w:eastAsia="宋体"/>
          <w:sz w:val="24"/>
        </w:rPr>
        <w:t>由以上监测结果可以看出，润清风电场新建 110 千伏升压站四周工频电场强度在</w:t>
      </w:r>
      <w:r>
        <w:rPr>
          <w:rFonts w:hint="eastAsia" w:eastAsia="宋体"/>
          <w:sz w:val="24"/>
        </w:rPr>
        <w:t>4.58</w:t>
      </w:r>
      <w:r>
        <w:rPr>
          <w:rFonts w:eastAsia="宋体"/>
          <w:sz w:val="24"/>
        </w:rPr>
        <w:t>V/m</w:t>
      </w:r>
      <w:r>
        <w:rPr>
          <w:rFonts w:hAnsi="宋体" w:eastAsia="宋体"/>
          <w:sz w:val="24"/>
        </w:rPr>
        <w:t>～</w:t>
      </w:r>
      <w:r>
        <w:rPr>
          <w:rFonts w:hint="eastAsia" w:eastAsia="宋体"/>
          <w:sz w:val="24"/>
        </w:rPr>
        <w:t>360.9</w:t>
      </w:r>
      <w:r>
        <w:rPr>
          <w:rFonts w:eastAsia="宋体"/>
          <w:sz w:val="24"/>
        </w:rPr>
        <w:t>V/m</w:t>
      </w:r>
      <w:r>
        <w:rPr>
          <w:rFonts w:hAnsi="宋体" w:eastAsia="宋体"/>
          <w:sz w:val="24"/>
        </w:rPr>
        <w:t>范围内，最大值出现在升压站</w:t>
      </w:r>
      <w:r>
        <w:rPr>
          <w:rFonts w:hint="eastAsia" w:hAnsi="宋体" w:eastAsia="宋体"/>
          <w:sz w:val="24"/>
        </w:rPr>
        <w:t>东</w:t>
      </w:r>
      <w:r>
        <w:rPr>
          <w:rFonts w:hAnsi="宋体" w:eastAsia="宋体"/>
          <w:sz w:val="24"/>
        </w:rPr>
        <w:t>侧外</w:t>
      </w:r>
      <w:r>
        <w:rPr>
          <w:rFonts w:eastAsia="宋体"/>
          <w:sz w:val="24"/>
        </w:rPr>
        <w:t>5m</w:t>
      </w:r>
      <w:r>
        <w:rPr>
          <w:rFonts w:hAnsi="宋体" w:eastAsia="宋体"/>
          <w:sz w:val="24"/>
        </w:rPr>
        <w:t>处，由于</w:t>
      </w:r>
      <w:r>
        <w:rPr>
          <w:rFonts w:hint="eastAsia" w:hAnsi="宋体" w:eastAsia="宋体"/>
          <w:sz w:val="24"/>
        </w:rPr>
        <w:t>东</w:t>
      </w:r>
      <w:r>
        <w:rPr>
          <w:rFonts w:hAnsi="宋体" w:eastAsia="宋体"/>
          <w:sz w:val="24"/>
        </w:rPr>
        <w:t>侧有架空输电线路，不满足衰减断面监测条件，因此在</w:t>
      </w:r>
      <w:r>
        <w:rPr>
          <w:rFonts w:eastAsia="宋体"/>
          <w:sz w:val="24"/>
        </w:rPr>
        <w:t>110kV</w:t>
      </w:r>
      <w:r>
        <w:rPr>
          <w:rFonts w:hAnsi="宋体" w:eastAsia="宋体"/>
          <w:sz w:val="24"/>
        </w:rPr>
        <w:t>出线侧距离边导线投影距离</w:t>
      </w:r>
      <w:r>
        <w:rPr>
          <w:rFonts w:eastAsia="宋体"/>
          <w:sz w:val="24"/>
        </w:rPr>
        <w:t>20m</w:t>
      </w:r>
      <w:r>
        <w:rPr>
          <w:rFonts w:hAnsi="宋体" w:eastAsia="宋体"/>
          <w:sz w:val="24"/>
        </w:rPr>
        <w:t>以外的地方布设电磁环境衰减断面。变电站工频电场强度衰减断面监测的范围为</w:t>
      </w:r>
      <w:r>
        <w:rPr>
          <w:rFonts w:hint="eastAsia" w:eastAsia="宋体"/>
          <w:sz w:val="24"/>
        </w:rPr>
        <w:t>6.58</w:t>
      </w:r>
      <w:r>
        <w:rPr>
          <w:rFonts w:hAnsi="宋体" w:eastAsia="宋体"/>
          <w:sz w:val="24"/>
        </w:rPr>
        <w:t>～</w:t>
      </w:r>
      <w:r>
        <w:rPr>
          <w:rFonts w:hint="eastAsia" w:eastAsia="宋体"/>
          <w:sz w:val="24"/>
        </w:rPr>
        <w:t>22.35</w:t>
      </w:r>
      <w:r>
        <w:rPr>
          <w:rFonts w:eastAsia="宋体"/>
          <w:sz w:val="24"/>
        </w:rPr>
        <w:t>V/m</w:t>
      </w:r>
      <w:r>
        <w:rPr>
          <w:rFonts w:hAnsi="宋体" w:eastAsia="宋体"/>
          <w:sz w:val="24"/>
        </w:rPr>
        <w:t>，工频电场强度随距离的增加而降低的变化趋势明显，对照《电磁环境控制限值》（</w:t>
      </w:r>
      <w:r>
        <w:rPr>
          <w:rFonts w:eastAsia="宋体"/>
          <w:sz w:val="24"/>
        </w:rPr>
        <w:t>GB8702-2014</w:t>
      </w:r>
      <w:r>
        <w:rPr>
          <w:rFonts w:hAnsi="宋体" w:eastAsia="宋体"/>
          <w:sz w:val="24"/>
        </w:rPr>
        <w:t>）中公众曝露工频电场强度</w:t>
      </w:r>
      <w:r>
        <w:rPr>
          <w:rFonts w:eastAsia="宋体"/>
          <w:sz w:val="24"/>
        </w:rPr>
        <w:t xml:space="preserve">4kV/m </w:t>
      </w:r>
      <w:r>
        <w:rPr>
          <w:rFonts w:hAnsi="宋体" w:eastAsia="宋体"/>
          <w:sz w:val="24"/>
        </w:rPr>
        <w:t>限值要求，该升压站站址四周及各测点的工频电场均在标准限值内。</w:t>
      </w:r>
    </w:p>
    <w:p>
      <w:pPr>
        <w:spacing w:line="520" w:lineRule="exact"/>
        <w:ind w:firstLine="480" w:firstLineChars="200"/>
        <w:rPr>
          <w:rFonts w:eastAsia="宋体"/>
          <w:sz w:val="24"/>
        </w:rPr>
      </w:pPr>
      <w:r>
        <w:rPr>
          <w:rFonts w:hAnsi="宋体" w:eastAsia="宋体"/>
          <w:sz w:val="24"/>
        </w:rPr>
        <w:t>润清风电场新建 110 千伏升压站</w:t>
      </w:r>
      <w:r>
        <w:rPr>
          <w:rFonts w:hint="eastAsia" w:hAnsi="宋体" w:eastAsia="宋体"/>
          <w:sz w:val="24"/>
        </w:rPr>
        <w:t>四周工频磁感应强度为</w:t>
      </w:r>
      <w:r>
        <w:rPr>
          <w:rFonts w:eastAsia="宋体"/>
          <w:sz w:val="24"/>
        </w:rPr>
        <w:t>0.</w:t>
      </w:r>
      <w:r>
        <w:rPr>
          <w:rFonts w:hint="eastAsia" w:eastAsia="宋体"/>
          <w:sz w:val="24"/>
        </w:rPr>
        <w:t>031</w:t>
      </w:r>
      <w:r>
        <w:rPr>
          <w:rFonts w:hAnsi="宋体" w:eastAsia="宋体"/>
          <w:sz w:val="24"/>
        </w:rPr>
        <w:t>～</w:t>
      </w:r>
      <w:r>
        <w:rPr>
          <w:rFonts w:hint="eastAsia" w:eastAsia="宋体"/>
          <w:sz w:val="24"/>
        </w:rPr>
        <w:t>0.046</w:t>
      </w:r>
      <w:r>
        <w:rPr>
          <w:rFonts w:hint="eastAsia" w:hAnsi="宋体" w:eastAsia="宋体"/>
          <w:sz w:val="24"/>
        </w:rPr>
        <w:t>μ/T，最大值仍然出现在升压站南偏东厂界外5m 处，工频磁感应强度衰减断面监测的范围为0.013～0.037μ/T，工频磁感应强度随距离的增加而降低的变化趋势明显，对照《电磁环境控制限值》（GB8702-2014）中公众曝露工频电场强度0.1m/T（100μ/T）限值要求，该升压站站址四周及各测点的工频磁感应强度均在标准限值内。</w:t>
      </w:r>
    </w:p>
    <w:p>
      <w:pPr>
        <w:spacing w:line="520" w:lineRule="exact"/>
        <w:ind w:firstLine="480" w:firstLineChars="200"/>
        <w:rPr>
          <w:rFonts w:eastAsia="宋体"/>
          <w:sz w:val="24"/>
        </w:rPr>
      </w:pPr>
      <w:r>
        <w:rPr>
          <w:rFonts w:hAnsi="宋体" w:eastAsia="宋体"/>
          <w:sz w:val="24"/>
        </w:rPr>
        <w:t>综上，润清风电场新建 110 千伏升压站厂界及监测断面的工频电场、工频磁场分别满足</w:t>
      </w:r>
      <w:r>
        <w:rPr>
          <w:rFonts w:eastAsia="宋体"/>
          <w:sz w:val="24"/>
        </w:rPr>
        <w:t>4kV/m</w:t>
      </w:r>
      <w:r>
        <w:rPr>
          <w:rFonts w:hAnsi="宋体" w:eastAsia="宋体"/>
          <w:sz w:val="24"/>
        </w:rPr>
        <w:t>、</w:t>
      </w:r>
      <w:r>
        <w:rPr>
          <w:rFonts w:eastAsia="宋体"/>
          <w:sz w:val="24"/>
        </w:rPr>
        <w:t>0.1mT</w:t>
      </w:r>
      <w:r>
        <w:rPr>
          <w:rFonts w:hAnsi="宋体" w:eastAsia="宋体"/>
          <w:sz w:val="24"/>
        </w:rPr>
        <w:t>的评价标准限值。</w:t>
      </w:r>
    </w:p>
    <w:p>
      <w:pPr>
        <w:adjustRightInd w:val="0"/>
        <w:snapToGrid w:val="0"/>
        <w:spacing w:line="500" w:lineRule="exact"/>
        <w:rPr>
          <w:rFonts w:eastAsia="宋体"/>
          <w:b/>
          <w:sz w:val="24"/>
        </w:rPr>
      </w:pPr>
      <w:r>
        <w:rPr>
          <w:rFonts w:hint="eastAsia" w:eastAsia="宋体"/>
          <w:b/>
          <w:sz w:val="24"/>
        </w:rPr>
        <w:t>5.</w:t>
      </w:r>
      <w:r>
        <w:rPr>
          <w:rFonts w:eastAsia="宋体"/>
          <w:b/>
          <w:sz w:val="24"/>
        </w:rPr>
        <w:t>2输电线路电磁环境影响分析</w:t>
      </w:r>
    </w:p>
    <w:p>
      <w:pPr>
        <w:pStyle w:val="35"/>
        <w:spacing w:line="500" w:lineRule="exact"/>
        <w:ind w:firstLine="480"/>
        <w:rPr>
          <w:rFonts w:ascii="Times New Roman" w:cs="Times New Roman"/>
        </w:rPr>
      </w:pPr>
      <w:r>
        <w:rPr>
          <w:rFonts w:ascii="Times New Roman" w:cs="Times New Roman"/>
        </w:rPr>
        <w:t>本工程输电线路电磁环境影响以类比分析及理论计算结果为依据来分析、预测和评价工程投运后产生的电磁环境影响。</w:t>
      </w:r>
    </w:p>
    <w:p>
      <w:pPr>
        <w:spacing w:line="500" w:lineRule="exact"/>
        <w:ind w:firstLine="480" w:firstLineChars="200"/>
        <w:rPr>
          <w:rFonts w:eastAsia="宋体"/>
          <w:sz w:val="24"/>
        </w:rPr>
      </w:pPr>
      <w:r>
        <w:rPr>
          <w:rFonts w:eastAsia="宋体"/>
          <w:sz w:val="24"/>
        </w:rPr>
        <w:t>（1）选择类比对象原则</w:t>
      </w:r>
    </w:p>
    <w:p>
      <w:pPr>
        <w:spacing w:line="500" w:lineRule="exact"/>
        <w:ind w:firstLine="480" w:firstLineChars="200"/>
        <w:rPr>
          <w:rFonts w:eastAsia="宋体"/>
          <w:sz w:val="24"/>
        </w:rPr>
      </w:pPr>
      <w:r>
        <w:rPr>
          <w:rFonts w:eastAsia="宋体"/>
          <w:sz w:val="24"/>
        </w:rPr>
        <w:t>本次环评从电压等级、杆塔型式、导线排列方式及所在区域等方面，尽量选择与本工程新建架空输电线路相似的已投运输电线路进行类比监测。</w:t>
      </w:r>
    </w:p>
    <w:p>
      <w:pPr>
        <w:widowControl/>
        <w:adjustRightInd w:val="0"/>
        <w:snapToGrid w:val="0"/>
        <w:spacing w:line="500" w:lineRule="exact"/>
        <w:ind w:firstLine="480" w:firstLineChars="200"/>
        <w:rPr>
          <w:rFonts w:eastAsia="宋体"/>
          <w:kern w:val="0"/>
          <w:sz w:val="24"/>
          <w:szCs w:val="22"/>
        </w:rPr>
      </w:pPr>
      <w:r>
        <w:rPr>
          <w:rFonts w:eastAsia="宋体"/>
          <w:kern w:val="0"/>
          <w:sz w:val="24"/>
          <w:szCs w:val="22"/>
        </w:rPr>
        <w:t>（2）类比对象</w:t>
      </w:r>
    </w:p>
    <w:p>
      <w:pPr>
        <w:widowControl/>
        <w:adjustRightInd w:val="0"/>
        <w:snapToGrid w:val="0"/>
        <w:spacing w:line="500" w:lineRule="exact"/>
        <w:ind w:firstLine="480" w:firstLineChars="200"/>
        <w:rPr>
          <w:rFonts w:eastAsia="宋体"/>
          <w:kern w:val="0"/>
          <w:sz w:val="24"/>
          <w:szCs w:val="22"/>
        </w:rPr>
      </w:pPr>
      <w:r>
        <w:rPr>
          <w:rFonts w:eastAsia="宋体"/>
          <w:kern w:val="0"/>
          <w:sz w:val="24"/>
          <w:szCs w:val="22"/>
        </w:rPr>
        <w:t>根据上述类比对象选择的原则，</w:t>
      </w:r>
      <w:r>
        <w:rPr>
          <w:rFonts w:eastAsia="宋体"/>
          <w:sz w:val="24"/>
        </w:rPr>
        <w:t>本工程选择位于安阳境内2014年通过竣工环境保护验收的110kV蓝万线Ⅱ回线路</w:t>
      </w:r>
      <w:r>
        <w:rPr>
          <w:rFonts w:hint="eastAsia" w:eastAsia="宋体"/>
          <w:sz w:val="24"/>
        </w:rPr>
        <w:t>作为</w:t>
      </w:r>
      <w:r>
        <w:rPr>
          <w:rFonts w:eastAsia="宋体"/>
          <w:sz w:val="24"/>
        </w:rPr>
        <w:t>类比对象。详细参数对比见表</w:t>
      </w:r>
      <w:r>
        <w:rPr>
          <w:rFonts w:hint="eastAsia" w:eastAsia="宋体"/>
          <w:sz w:val="24"/>
        </w:rPr>
        <w:t>9。</w:t>
      </w:r>
    </w:p>
    <w:p>
      <w:pPr>
        <w:pStyle w:val="4"/>
        <w:adjustRightInd w:val="0"/>
        <w:snapToGrid w:val="0"/>
        <w:spacing w:line="520" w:lineRule="exact"/>
        <w:ind w:firstLine="480" w:firstLineChars="200"/>
        <w:rPr>
          <w:rFonts w:ascii="Times New Roman" w:hAnsi="黑体"/>
          <w:sz w:val="24"/>
          <w:szCs w:val="24"/>
        </w:rPr>
      </w:pPr>
      <w:r>
        <w:rPr>
          <w:rFonts w:ascii="Times New Roman" w:hAnsi="黑体"/>
          <w:sz w:val="24"/>
          <w:szCs w:val="24"/>
        </w:rPr>
        <w:t>表</w:t>
      </w:r>
      <w:r>
        <w:rPr>
          <w:rFonts w:hint="eastAsia" w:ascii="Times New Roman" w:hAnsi="Times New Roman"/>
          <w:sz w:val="24"/>
          <w:szCs w:val="24"/>
        </w:rPr>
        <w:t>9</w:t>
      </w:r>
      <w:r>
        <w:rPr>
          <w:rFonts w:ascii="Times New Roman" w:hAnsi="Times New Roman"/>
          <w:sz w:val="24"/>
          <w:szCs w:val="24"/>
        </w:rPr>
        <w:t xml:space="preserve">        </w:t>
      </w:r>
      <w:r>
        <w:rPr>
          <w:rFonts w:ascii="Times New Roman" w:hAnsi="黑体"/>
          <w:sz w:val="24"/>
          <w:szCs w:val="24"/>
        </w:rPr>
        <w:t>类比输电线路与本项目输电线路的具体参数对比表</w:t>
      </w:r>
    </w:p>
    <w:tbl>
      <w:tblPr>
        <w:tblStyle w:val="15"/>
        <w:tblW w:w="500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2676"/>
        <w:gridCol w:w="34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2380" w:type="dxa"/>
            <w:vAlign w:val="center"/>
          </w:tcPr>
          <w:p>
            <w:pPr>
              <w:spacing w:line="360" w:lineRule="exact"/>
              <w:jc w:val="center"/>
              <w:rPr>
                <w:rFonts w:eastAsia="宋体"/>
                <w:sz w:val="21"/>
                <w:szCs w:val="21"/>
              </w:rPr>
            </w:pPr>
            <w:r>
              <w:rPr>
                <w:rFonts w:hAnsi="宋体" w:eastAsia="宋体"/>
                <w:sz w:val="21"/>
                <w:szCs w:val="21"/>
              </w:rPr>
              <w:t>名称</w:t>
            </w:r>
          </w:p>
        </w:tc>
        <w:tc>
          <w:tcPr>
            <w:tcW w:w="2676" w:type="dxa"/>
            <w:vAlign w:val="center"/>
          </w:tcPr>
          <w:p>
            <w:pPr>
              <w:spacing w:line="360" w:lineRule="exact"/>
              <w:jc w:val="center"/>
              <w:rPr>
                <w:rFonts w:eastAsia="宋体"/>
                <w:sz w:val="21"/>
                <w:szCs w:val="21"/>
              </w:rPr>
            </w:pPr>
            <w:r>
              <w:rPr>
                <w:rFonts w:hAnsi="宋体" w:eastAsia="宋体"/>
                <w:sz w:val="21"/>
                <w:szCs w:val="21"/>
              </w:rPr>
              <w:t>本项目线路</w:t>
            </w:r>
          </w:p>
        </w:tc>
        <w:tc>
          <w:tcPr>
            <w:tcW w:w="3481" w:type="dxa"/>
            <w:vAlign w:val="center"/>
          </w:tcPr>
          <w:p>
            <w:pPr>
              <w:spacing w:line="360" w:lineRule="exact"/>
              <w:jc w:val="center"/>
              <w:rPr>
                <w:rFonts w:eastAsia="宋体"/>
                <w:sz w:val="21"/>
                <w:szCs w:val="21"/>
              </w:rPr>
            </w:pPr>
            <w:r>
              <w:rPr>
                <w:rFonts w:hAnsi="宋体" w:eastAsia="宋体"/>
                <w:sz w:val="21"/>
                <w:szCs w:val="21"/>
              </w:rPr>
              <w:t>类比线路</w:t>
            </w:r>
            <w:r>
              <w:rPr>
                <w:rFonts w:eastAsia="宋体"/>
                <w:sz w:val="21"/>
                <w:szCs w:val="21"/>
              </w:rPr>
              <w:t>110kV</w:t>
            </w:r>
            <w:r>
              <w:rPr>
                <w:rFonts w:hAnsi="宋体" w:eastAsia="宋体"/>
                <w:sz w:val="21"/>
                <w:szCs w:val="21"/>
              </w:rPr>
              <w:t>蓝万线</w:t>
            </w:r>
            <w:r>
              <w:rPr>
                <w:rFonts w:ascii="宋体" w:hAnsi="宋体" w:eastAsia="宋体"/>
                <w:sz w:val="21"/>
                <w:szCs w:val="21"/>
              </w:rPr>
              <w:t>Ⅱ</w:t>
            </w:r>
            <w:r>
              <w:rPr>
                <w:rFonts w:hAnsi="宋体" w:eastAsia="宋体"/>
                <w:sz w:val="21"/>
                <w:szCs w:val="21"/>
              </w:rPr>
              <w:t>回线路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eastAsia="宋体"/>
                <w:sz w:val="21"/>
                <w:szCs w:val="21"/>
              </w:rPr>
            </w:pPr>
            <w:r>
              <w:rPr>
                <w:rFonts w:hAnsi="宋体" w:eastAsia="宋体"/>
                <w:sz w:val="21"/>
                <w:szCs w:val="21"/>
              </w:rPr>
              <w:t>电压等级（</w:t>
            </w:r>
            <w:r>
              <w:rPr>
                <w:rFonts w:eastAsia="宋体"/>
                <w:sz w:val="21"/>
                <w:szCs w:val="21"/>
              </w:rPr>
              <w:t>kV</w:t>
            </w:r>
            <w:r>
              <w:rPr>
                <w:rFonts w:hAnsi="宋体" w:eastAsia="宋体"/>
                <w:sz w:val="21"/>
                <w:szCs w:val="21"/>
              </w:rPr>
              <w:t>）</w:t>
            </w:r>
          </w:p>
        </w:tc>
        <w:tc>
          <w:tcPr>
            <w:tcW w:w="2676" w:type="dxa"/>
            <w:vAlign w:val="center"/>
          </w:tcPr>
          <w:p>
            <w:pPr>
              <w:spacing w:line="360" w:lineRule="exact"/>
              <w:jc w:val="center"/>
              <w:rPr>
                <w:rFonts w:eastAsia="宋体"/>
                <w:sz w:val="21"/>
                <w:szCs w:val="21"/>
              </w:rPr>
            </w:pPr>
            <w:r>
              <w:rPr>
                <w:rFonts w:eastAsia="宋体"/>
                <w:sz w:val="21"/>
                <w:szCs w:val="21"/>
              </w:rPr>
              <w:t>110</w:t>
            </w:r>
          </w:p>
        </w:tc>
        <w:tc>
          <w:tcPr>
            <w:tcW w:w="3481" w:type="dxa"/>
            <w:vAlign w:val="center"/>
          </w:tcPr>
          <w:p>
            <w:pPr>
              <w:spacing w:line="360" w:lineRule="exact"/>
              <w:jc w:val="center"/>
              <w:rPr>
                <w:rFonts w:eastAsia="宋体"/>
                <w:sz w:val="21"/>
                <w:szCs w:val="21"/>
              </w:rPr>
            </w:pPr>
            <w:r>
              <w:rPr>
                <w:rFonts w:eastAsia="宋体"/>
                <w:sz w:val="21"/>
                <w:szCs w:val="21"/>
              </w:rPr>
              <w:t>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eastAsia="宋体"/>
                <w:sz w:val="21"/>
                <w:szCs w:val="21"/>
              </w:rPr>
            </w:pPr>
            <w:r>
              <w:rPr>
                <w:rFonts w:hAnsi="宋体" w:eastAsia="宋体"/>
                <w:sz w:val="21"/>
                <w:szCs w:val="21"/>
              </w:rPr>
              <w:t>线路回数</w:t>
            </w:r>
          </w:p>
        </w:tc>
        <w:tc>
          <w:tcPr>
            <w:tcW w:w="2676" w:type="dxa"/>
            <w:vAlign w:val="center"/>
          </w:tcPr>
          <w:p>
            <w:pPr>
              <w:spacing w:line="360" w:lineRule="exact"/>
              <w:jc w:val="center"/>
              <w:rPr>
                <w:rFonts w:eastAsia="宋体"/>
                <w:sz w:val="21"/>
                <w:szCs w:val="21"/>
              </w:rPr>
            </w:pPr>
            <w:r>
              <w:rPr>
                <w:rFonts w:hAnsi="宋体" w:eastAsia="宋体"/>
                <w:sz w:val="21"/>
                <w:szCs w:val="21"/>
              </w:rPr>
              <w:t>单回路</w:t>
            </w:r>
          </w:p>
        </w:tc>
        <w:tc>
          <w:tcPr>
            <w:tcW w:w="3481" w:type="dxa"/>
            <w:vAlign w:val="center"/>
          </w:tcPr>
          <w:p>
            <w:pPr>
              <w:spacing w:line="360" w:lineRule="exact"/>
              <w:jc w:val="center"/>
              <w:rPr>
                <w:rFonts w:eastAsia="宋体"/>
                <w:sz w:val="21"/>
                <w:szCs w:val="21"/>
              </w:rPr>
            </w:pPr>
            <w:r>
              <w:rPr>
                <w:rFonts w:hAnsi="宋体" w:eastAsia="宋体"/>
                <w:sz w:val="21"/>
                <w:szCs w:val="21"/>
              </w:rPr>
              <w:t>单回路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hAnsi="宋体" w:eastAsia="宋体"/>
                <w:sz w:val="21"/>
                <w:szCs w:val="21"/>
              </w:rPr>
            </w:pPr>
            <w:r>
              <w:rPr>
                <w:rFonts w:hint="eastAsia" w:hAnsi="宋体" w:eastAsia="宋体"/>
                <w:sz w:val="21"/>
                <w:szCs w:val="21"/>
              </w:rPr>
              <w:t>架设形式</w:t>
            </w:r>
          </w:p>
        </w:tc>
        <w:tc>
          <w:tcPr>
            <w:tcW w:w="2676" w:type="dxa"/>
            <w:vAlign w:val="center"/>
          </w:tcPr>
          <w:p>
            <w:pPr>
              <w:spacing w:line="360" w:lineRule="exact"/>
              <w:jc w:val="center"/>
              <w:rPr>
                <w:rFonts w:hAnsi="宋体" w:eastAsia="宋体"/>
                <w:sz w:val="21"/>
                <w:szCs w:val="21"/>
              </w:rPr>
            </w:pPr>
            <w:r>
              <w:rPr>
                <w:rFonts w:hint="eastAsia" w:hAnsi="宋体" w:eastAsia="宋体"/>
                <w:sz w:val="21"/>
                <w:szCs w:val="21"/>
              </w:rPr>
              <w:t>架空</w:t>
            </w:r>
          </w:p>
        </w:tc>
        <w:tc>
          <w:tcPr>
            <w:tcW w:w="3481" w:type="dxa"/>
            <w:vAlign w:val="center"/>
          </w:tcPr>
          <w:p>
            <w:pPr>
              <w:spacing w:line="360" w:lineRule="exact"/>
              <w:jc w:val="center"/>
              <w:rPr>
                <w:rFonts w:hAnsi="宋体" w:eastAsia="宋体"/>
                <w:sz w:val="21"/>
                <w:szCs w:val="21"/>
              </w:rPr>
            </w:pPr>
            <w:r>
              <w:rPr>
                <w:rFonts w:hint="eastAsia" w:hAnsi="宋体" w:eastAsia="宋体"/>
                <w:sz w:val="21"/>
                <w:szCs w:val="21"/>
              </w:rPr>
              <w:t>架空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eastAsia="宋体"/>
                <w:sz w:val="21"/>
                <w:szCs w:val="21"/>
              </w:rPr>
            </w:pPr>
            <w:r>
              <w:rPr>
                <w:rFonts w:hAnsi="宋体" w:eastAsia="宋体"/>
                <w:sz w:val="21"/>
                <w:szCs w:val="21"/>
              </w:rPr>
              <w:t>导线型号</w:t>
            </w:r>
          </w:p>
        </w:tc>
        <w:tc>
          <w:tcPr>
            <w:tcW w:w="2676" w:type="dxa"/>
            <w:vAlign w:val="center"/>
          </w:tcPr>
          <w:p>
            <w:pPr>
              <w:spacing w:line="360" w:lineRule="exact"/>
              <w:jc w:val="center"/>
              <w:rPr>
                <w:rFonts w:eastAsia="宋体"/>
                <w:spacing w:val="-2"/>
                <w:kern w:val="16"/>
                <w:sz w:val="21"/>
                <w:szCs w:val="21"/>
              </w:rPr>
            </w:pPr>
            <w:r>
              <w:rPr>
                <w:rFonts w:eastAsia="宋体"/>
                <w:spacing w:val="-2"/>
                <w:kern w:val="16"/>
                <w:sz w:val="21"/>
                <w:szCs w:val="21"/>
              </w:rPr>
              <w:t>2×JL/G1A-240/30</w:t>
            </w:r>
          </w:p>
        </w:tc>
        <w:tc>
          <w:tcPr>
            <w:tcW w:w="3481" w:type="dxa"/>
            <w:vAlign w:val="center"/>
          </w:tcPr>
          <w:p>
            <w:pPr>
              <w:spacing w:line="360" w:lineRule="exact"/>
              <w:jc w:val="center"/>
              <w:rPr>
                <w:rFonts w:eastAsia="宋体"/>
                <w:sz w:val="21"/>
                <w:szCs w:val="21"/>
              </w:rPr>
            </w:pPr>
            <w:r>
              <w:rPr>
                <w:rFonts w:eastAsia="宋体"/>
                <w:sz w:val="21"/>
                <w:szCs w:val="21"/>
              </w:rPr>
              <w:t>LGJ-400/35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eastAsia="宋体"/>
                <w:sz w:val="21"/>
                <w:szCs w:val="21"/>
              </w:rPr>
            </w:pPr>
            <w:r>
              <w:rPr>
                <w:rFonts w:hAnsi="宋体" w:eastAsia="宋体"/>
                <w:sz w:val="21"/>
                <w:szCs w:val="21"/>
              </w:rPr>
              <w:t>杆塔型式</w:t>
            </w:r>
          </w:p>
        </w:tc>
        <w:tc>
          <w:tcPr>
            <w:tcW w:w="2676" w:type="dxa"/>
            <w:vAlign w:val="center"/>
          </w:tcPr>
          <w:p>
            <w:pPr>
              <w:spacing w:line="360" w:lineRule="exact"/>
              <w:jc w:val="center"/>
              <w:rPr>
                <w:rFonts w:eastAsia="宋体"/>
                <w:sz w:val="21"/>
                <w:szCs w:val="21"/>
              </w:rPr>
            </w:pPr>
            <w:r>
              <w:rPr>
                <w:rFonts w:hAnsi="宋体" w:eastAsia="宋体"/>
                <w:sz w:val="21"/>
                <w:szCs w:val="21"/>
              </w:rPr>
              <w:t>单回路直线塔</w:t>
            </w:r>
          </w:p>
        </w:tc>
        <w:tc>
          <w:tcPr>
            <w:tcW w:w="3481" w:type="dxa"/>
            <w:vAlign w:val="center"/>
          </w:tcPr>
          <w:p>
            <w:pPr>
              <w:spacing w:line="360" w:lineRule="exact"/>
              <w:jc w:val="center"/>
              <w:rPr>
                <w:rFonts w:eastAsia="宋体"/>
                <w:sz w:val="21"/>
                <w:szCs w:val="21"/>
              </w:rPr>
            </w:pPr>
            <w:r>
              <w:rPr>
                <w:rFonts w:hAnsi="宋体" w:eastAsia="宋体"/>
                <w:sz w:val="21"/>
                <w:szCs w:val="21"/>
              </w:rPr>
              <w:t>单回路直线塔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eastAsia="宋体"/>
                <w:sz w:val="21"/>
                <w:szCs w:val="21"/>
              </w:rPr>
            </w:pPr>
            <w:r>
              <w:rPr>
                <w:rFonts w:hAnsi="宋体" w:eastAsia="宋体"/>
                <w:sz w:val="21"/>
                <w:szCs w:val="21"/>
              </w:rPr>
              <w:t>导线布置形式</w:t>
            </w:r>
          </w:p>
        </w:tc>
        <w:tc>
          <w:tcPr>
            <w:tcW w:w="2676" w:type="dxa"/>
            <w:vAlign w:val="center"/>
          </w:tcPr>
          <w:p>
            <w:pPr>
              <w:spacing w:line="360" w:lineRule="exact"/>
              <w:jc w:val="center"/>
              <w:rPr>
                <w:rFonts w:eastAsia="宋体"/>
                <w:sz w:val="21"/>
                <w:szCs w:val="21"/>
              </w:rPr>
            </w:pPr>
            <w:r>
              <w:rPr>
                <w:rFonts w:hAnsi="宋体" w:eastAsia="宋体"/>
                <w:sz w:val="21"/>
                <w:szCs w:val="21"/>
              </w:rPr>
              <w:t>单分裂导线</w:t>
            </w:r>
          </w:p>
        </w:tc>
        <w:tc>
          <w:tcPr>
            <w:tcW w:w="3481" w:type="dxa"/>
            <w:vAlign w:val="center"/>
          </w:tcPr>
          <w:p>
            <w:pPr>
              <w:spacing w:line="360" w:lineRule="exact"/>
              <w:jc w:val="center"/>
              <w:rPr>
                <w:rFonts w:eastAsia="宋体"/>
                <w:sz w:val="21"/>
                <w:szCs w:val="21"/>
              </w:rPr>
            </w:pPr>
            <w:r>
              <w:rPr>
                <w:rFonts w:hAnsi="宋体" w:eastAsia="宋体"/>
                <w:sz w:val="21"/>
                <w:szCs w:val="21"/>
              </w:rPr>
              <w:t>单分裂导线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hAnsi="宋体" w:eastAsia="宋体"/>
                <w:sz w:val="21"/>
                <w:szCs w:val="21"/>
              </w:rPr>
            </w:pPr>
            <w:r>
              <w:rPr>
                <w:rFonts w:hint="eastAsia" w:hAnsi="宋体" w:eastAsia="宋体"/>
                <w:sz w:val="21"/>
                <w:szCs w:val="21"/>
              </w:rPr>
              <w:t>地向地貌</w:t>
            </w:r>
          </w:p>
        </w:tc>
        <w:tc>
          <w:tcPr>
            <w:tcW w:w="2676" w:type="dxa"/>
            <w:vAlign w:val="center"/>
          </w:tcPr>
          <w:p>
            <w:pPr>
              <w:spacing w:line="360" w:lineRule="exact"/>
              <w:jc w:val="center"/>
              <w:rPr>
                <w:rFonts w:hAnsi="宋体" w:eastAsia="宋体"/>
                <w:sz w:val="21"/>
                <w:szCs w:val="21"/>
              </w:rPr>
            </w:pPr>
            <w:r>
              <w:rPr>
                <w:rFonts w:hint="eastAsia" w:hAnsi="宋体" w:eastAsia="宋体"/>
                <w:sz w:val="21"/>
                <w:szCs w:val="21"/>
              </w:rPr>
              <w:t>乡村 、平原</w:t>
            </w:r>
          </w:p>
        </w:tc>
        <w:tc>
          <w:tcPr>
            <w:tcW w:w="3481" w:type="dxa"/>
            <w:vAlign w:val="center"/>
          </w:tcPr>
          <w:p>
            <w:pPr>
              <w:spacing w:line="360" w:lineRule="exact"/>
              <w:jc w:val="center"/>
              <w:rPr>
                <w:rFonts w:hAnsi="宋体" w:eastAsia="宋体"/>
                <w:sz w:val="21"/>
                <w:szCs w:val="21"/>
              </w:rPr>
            </w:pPr>
            <w:r>
              <w:rPr>
                <w:rFonts w:hint="eastAsia" w:hAnsi="宋体" w:eastAsia="宋体"/>
                <w:sz w:val="21"/>
                <w:szCs w:val="21"/>
              </w:rPr>
              <w:t>乡村 、平原、丘陵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0" w:type="dxa"/>
            <w:vAlign w:val="center"/>
          </w:tcPr>
          <w:p>
            <w:pPr>
              <w:spacing w:line="360" w:lineRule="exact"/>
              <w:jc w:val="center"/>
              <w:rPr>
                <w:rFonts w:eastAsia="宋体"/>
                <w:sz w:val="21"/>
                <w:szCs w:val="21"/>
              </w:rPr>
            </w:pPr>
            <w:r>
              <w:rPr>
                <w:rFonts w:hAnsi="宋体" w:eastAsia="宋体"/>
                <w:sz w:val="21"/>
                <w:szCs w:val="21"/>
              </w:rPr>
              <w:t>所在区域</w:t>
            </w:r>
          </w:p>
        </w:tc>
        <w:tc>
          <w:tcPr>
            <w:tcW w:w="2676" w:type="dxa"/>
            <w:vAlign w:val="center"/>
          </w:tcPr>
          <w:p>
            <w:pPr>
              <w:spacing w:line="360" w:lineRule="exact"/>
              <w:jc w:val="center"/>
              <w:rPr>
                <w:rFonts w:eastAsia="宋体"/>
                <w:sz w:val="21"/>
                <w:szCs w:val="21"/>
              </w:rPr>
            </w:pPr>
            <w:r>
              <w:rPr>
                <w:rFonts w:hAnsi="宋体" w:eastAsia="宋体"/>
                <w:sz w:val="21"/>
                <w:szCs w:val="21"/>
              </w:rPr>
              <w:t>河南省许昌市</w:t>
            </w:r>
          </w:p>
        </w:tc>
        <w:tc>
          <w:tcPr>
            <w:tcW w:w="3481" w:type="dxa"/>
            <w:vAlign w:val="center"/>
          </w:tcPr>
          <w:p>
            <w:pPr>
              <w:spacing w:line="360" w:lineRule="exact"/>
              <w:jc w:val="center"/>
              <w:rPr>
                <w:rFonts w:eastAsia="宋体"/>
                <w:sz w:val="21"/>
                <w:szCs w:val="21"/>
              </w:rPr>
            </w:pPr>
            <w:r>
              <w:rPr>
                <w:rFonts w:hAnsi="宋体" w:eastAsia="宋体"/>
                <w:sz w:val="21"/>
                <w:szCs w:val="21"/>
              </w:rPr>
              <w:t>河南省安阳市</w:t>
            </w:r>
          </w:p>
        </w:tc>
      </w:tr>
    </w:tbl>
    <w:p>
      <w:pPr>
        <w:ind w:firstLine="480" w:firstLineChars="200"/>
        <w:rPr>
          <w:rFonts w:eastAsia="宋体"/>
          <w:sz w:val="24"/>
        </w:rPr>
      </w:pPr>
      <w:r>
        <w:rPr>
          <w:rFonts w:eastAsia="宋体"/>
          <w:sz w:val="24"/>
        </w:rPr>
        <w:drawing>
          <wp:anchor distT="0" distB="0" distL="114300" distR="114300" simplePos="0" relativeHeight="251696128" behindDoc="0" locked="0" layoutInCell="1" allowOverlap="1">
            <wp:simplePos x="0" y="0"/>
            <wp:positionH relativeFrom="column">
              <wp:posOffset>2038350</wp:posOffset>
            </wp:positionH>
            <wp:positionV relativeFrom="paragraph">
              <wp:posOffset>107950</wp:posOffset>
            </wp:positionV>
            <wp:extent cx="1162050" cy="3095625"/>
            <wp:effectExtent l="1905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cstate="print"/>
                    <a:srcRect/>
                    <a:stretch>
                      <a:fillRect/>
                    </a:stretch>
                  </pic:blipFill>
                  <pic:spPr>
                    <a:xfrm>
                      <a:off x="0" y="0"/>
                      <a:ext cx="1162050" cy="3095625"/>
                    </a:xfrm>
                    <a:prstGeom prst="rect">
                      <a:avLst/>
                    </a:prstGeom>
                    <a:noFill/>
                    <a:ln w="9525">
                      <a:noFill/>
                      <a:miter lim="800000"/>
                      <a:headEnd/>
                      <a:tailEnd/>
                    </a:ln>
                  </pic:spPr>
                </pic:pic>
              </a:graphicData>
            </a:graphic>
          </wp:anchor>
        </w:drawing>
      </w: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ind w:firstLine="480" w:firstLineChars="200"/>
        <w:rPr>
          <w:rFonts w:eastAsia="宋体"/>
          <w:sz w:val="24"/>
        </w:rPr>
      </w:pPr>
    </w:p>
    <w:p>
      <w:pPr>
        <w:adjustRightInd w:val="0"/>
        <w:snapToGrid w:val="0"/>
        <w:spacing w:line="520" w:lineRule="exact"/>
        <w:jc w:val="center"/>
        <w:rPr>
          <w:rFonts w:eastAsia="黑体"/>
          <w:sz w:val="24"/>
        </w:rPr>
      </w:pPr>
      <w:r>
        <w:rPr>
          <w:rFonts w:hAnsi="黑体" w:eastAsia="黑体"/>
          <w:sz w:val="24"/>
        </w:rPr>
        <w:t>图</w:t>
      </w:r>
      <w:r>
        <w:rPr>
          <w:rFonts w:eastAsia="黑体"/>
          <w:sz w:val="24"/>
        </w:rPr>
        <w:t xml:space="preserve">5  </w:t>
      </w:r>
      <w:r>
        <w:rPr>
          <w:rFonts w:hAnsi="黑体" w:eastAsia="黑体"/>
          <w:sz w:val="24"/>
        </w:rPr>
        <w:t>本工程</w:t>
      </w:r>
      <w:r>
        <w:rPr>
          <w:rFonts w:eastAsia="黑体"/>
          <w:sz w:val="24"/>
        </w:rPr>
        <w:t>110kV</w:t>
      </w:r>
      <w:r>
        <w:rPr>
          <w:rFonts w:hAnsi="黑体" w:eastAsia="黑体"/>
          <w:sz w:val="24"/>
        </w:rPr>
        <w:t>输电线路模式预测杆塔图</w:t>
      </w:r>
    </w:p>
    <w:p>
      <w:pPr>
        <w:ind w:firstLine="480" w:firstLineChars="200"/>
        <w:rPr>
          <w:rFonts w:eastAsia="宋体"/>
          <w:sz w:val="24"/>
        </w:rPr>
      </w:pPr>
      <w:r>
        <w:rPr>
          <w:rFonts w:hint="eastAsia" w:eastAsia="宋体"/>
          <w:sz w:val="24"/>
        </w:rPr>
        <w:t>（3）</w:t>
      </w:r>
      <w:r>
        <w:rPr>
          <w:rFonts w:hAnsi="宋体" w:eastAsia="宋体"/>
          <w:kern w:val="0"/>
          <w:sz w:val="24"/>
        </w:rPr>
        <w:t>类比</w:t>
      </w:r>
      <w:r>
        <w:rPr>
          <w:rFonts w:hAnsi="宋体" w:eastAsia="宋体"/>
          <w:sz w:val="24"/>
        </w:rPr>
        <w:t>对象的可比性分析</w:t>
      </w:r>
    </w:p>
    <w:p>
      <w:pPr>
        <w:spacing w:line="520" w:lineRule="exact"/>
        <w:ind w:firstLine="480" w:firstLineChars="200"/>
        <w:rPr>
          <w:rFonts w:hAnsi="宋体" w:eastAsia="宋体"/>
          <w:sz w:val="24"/>
        </w:rPr>
      </w:pPr>
      <w:r>
        <w:rPr>
          <w:rFonts w:ascii="宋体" w:hAnsi="宋体" w:eastAsia="宋体"/>
          <w:sz w:val="24"/>
        </w:rPr>
        <w:t>①</w:t>
      </w:r>
      <w:r>
        <w:rPr>
          <w:rFonts w:hAnsi="宋体" w:eastAsia="宋体"/>
          <w:sz w:val="24"/>
        </w:rPr>
        <w:t>电压等级可比性</w:t>
      </w:r>
    </w:p>
    <w:p>
      <w:pPr>
        <w:spacing w:line="520" w:lineRule="exact"/>
        <w:ind w:firstLine="480" w:firstLineChars="200"/>
        <w:rPr>
          <w:rFonts w:hAnsi="宋体" w:eastAsia="宋体"/>
          <w:sz w:val="24"/>
        </w:rPr>
      </w:pPr>
      <w:r>
        <w:rPr>
          <w:rFonts w:hAnsi="宋体" w:eastAsia="宋体"/>
          <w:sz w:val="24"/>
        </w:rPr>
        <w:t>由上表可知，本次</w:t>
      </w:r>
      <w:r>
        <w:rPr>
          <w:rFonts w:hint="eastAsia" w:hAnsi="宋体" w:eastAsia="宋体"/>
          <w:sz w:val="24"/>
        </w:rPr>
        <w:t>新建</w:t>
      </w:r>
      <w:r>
        <w:rPr>
          <w:rFonts w:hAnsi="宋体" w:eastAsia="宋体"/>
          <w:sz w:val="24"/>
        </w:rPr>
        <w:t>线路的电压等级为</w:t>
      </w:r>
      <w:r>
        <w:rPr>
          <w:rFonts w:eastAsia="宋体"/>
          <w:sz w:val="24"/>
        </w:rPr>
        <w:t>110kV</w:t>
      </w:r>
      <w:r>
        <w:rPr>
          <w:rFonts w:hAnsi="宋体" w:eastAsia="宋体"/>
          <w:sz w:val="24"/>
        </w:rPr>
        <w:t>，与</w:t>
      </w:r>
      <w:r>
        <w:rPr>
          <w:rFonts w:eastAsia="宋体"/>
          <w:sz w:val="24"/>
        </w:rPr>
        <w:t>110kV</w:t>
      </w:r>
      <w:r>
        <w:rPr>
          <w:rFonts w:hAnsi="宋体" w:eastAsia="宋体"/>
          <w:sz w:val="24"/>
        </w:rPr>
        <w:t>蓝万线</w:t>
      </w:r>
      <w:r>
        <w:rPr>
          <w:rFonts w:ascii="宋体" w:hAnsi="宋体" w:eastAsia="宋体"/>
          <w:sz w:val="24"/>
        </w:rPr>
        <w:t>Ⅱ</w:t>
      </w:r>
      <w:r>
        <w:rPr>
          <w:rFonts w:hAnsi="宋体" w:eastAsia="宋体"/>
          <w:sz w:val="24"/>
        </w:rPr>
        <w:t>回线路的电压等级一致，具有较好的可比性。</w:t>
      </w:r>
    </w:p>
    <w:p>
      <w:pPr>
        <w:spacing w:line="520" w:lineRule="exact"/>
        <w:ind w:firstLine="480" w:firstLineChars="200"/>
        <w:rPr>
          <w:rFonts w:eastAsia="宋体"/>
          <w:sz w:val="24"/>
        </w:rPr>
      </w:pPr>
      <w:r>
        <w:rPr>
          <w:rFonts w:hint="eastAsia" w:hAnsi="宋体" w:eastAsia="宋体"/>
          <w:sz w:val="24"/>
        </w:rPr>
        <w:t>②</w:t>
      </w:r>
      <w:r>
        <w:rPr>
          <w:rFonts w:hAnsi="宋体" w:eastAsia="宋体"/>
          <w:sz w:val="24"/>
        </w:rPr>
        <w:t>线路回</w:t>
      </w:r>
      <w:r>
        <w:rPr>
          <w:rFonts w:hint="eastAsia" w:hAnsi="宋体" w:eastAsia="宋体"/>
          <w:sz w:val="24"/>
        </w:rPr>
        <w:t>、</w:t>
      </w:r>
      <w:r>
        <w:rPr>
          <w:rFonts w:hAnsi="宋体" w:eastAsia="宋体"/>
          <w:sz w:val="24"/>
        </w:rPr>
        <w:t>数</w:t>
      </w:r>
      <w:r>
        <w:rPr>
          <w:rFonts w:hint="eastAsia" w:hAnsi="宋体" w:eastAsia="宋体"/>
          <w:sz w:val="24"/>
        </w:rPr>
        <w:t>架设形式、</w:t>
      </w:r>
      <w:r>
        <w:rPr>
          <w:rFonts w:hAnsi="宋体" w:eastAsia="宋体"/>
          <w:sz w:val="24"/>
        </w:rPr>
        <w:t>杆塔型式</w:t>
      </w:r>
      <w:r>
        <w:rPr>
          <w:rFonts w:hint="eastAsia" w:hAnsi="宋体" w:eastAsia="宋体"/>
          <w:sz w:val="24"/>
        </w:rPr>
        <w:t>及导线布置形式</w:t>
      </w:r>
      <w:r>
        <w:rPr>
          <w:rFonts w:hAnsi="宋体" w:eastAsia="宋体"/>
          <w:sz w:val="24"/>
        </w:rPr>
        <w:t>可比性</w:t>
      </w:r>
    </w:p>
    <w:p>
      <w:pPr>
        <w:spacing w:line="360" w:lineRule="auto"/>
        <w:ind w:firstLine="480" w:firstLineChars="200"/>
        <w:rPr>
          <w:rFonts w:hAnsi="宋体" w:eastAsia="宋体"/>
          <w:sz w:val="24"/>
        </w:rPr>
      </w:pPr>
      <w:r>
        <w:rPr>
          <w:rFonts w:eastAsia="宋体"/>
          <w:sz w:val="24"/>
        </w:rPr>
        <w:t>110kV</w:t>
      </w:r>
      <w:r>
        <w:rPr>
          <w:rFonts w:hAnsi="宋体" w:eastAsia="宋体"/>
          <w:sz w:val="24"/>
        </w:rPr>
        <w:t>蓝万线</w:t>
      </w:r>
      <w:r>
        <w:rPr>
          <w:rFonts w:ascii="宋体" w:hAnsi="宋体" w:eastAsia="宋体"/>
          <w:sz w:val="24"/>
        </w:rPr>
        <w:t>Ⅱ</w:t>
      </w:r>
      <w:r>
        <w:rPr>
          <w:rFonts w:hAnsi="宋体" w:eastAsia="宋体"/>
          <w:sz w:val="24"/>
        </w:rPr>
        <w:t>回线路</w:t>
      </w:r>
      <w:r>
        <w:rPr>
          <w:rFonts w:hint="eastAsia" w:hAnsi="宋体" w:eastAsia="宋体"/>
          <w:sz w:val="24"/>
        </w:rPr>
        <w:t>与本工程新建线路均属于</w:t>
      </w:r>
      <w:r>
        <w:rPr>
          <w:rFonts w:eastAsia="宋体"/>
          <w:sz w:val="24"/>
        </w:rPr>
        <w:t>110kV单回</w:t>
      </w:r>
      <w:r>
        <w:rPr>
          <w:rFonts w:hint="eastAsia" w:eastAsia="宋体"/>
          <w:sz w:val="24"/>
        </w:rPr>
        <w:t>架空</w:t>
      </w:r>
      <w:r>
        <w:rPr>
          <w:rFonts w:eastAsia="宋体"/>
          <w:sz w:val="24"/>
        </w:rPr>
        <w:t>线路</w:t>
      </w:r>
      <w:r>
        <w:rPr>
          <w:rFonts w:hint="eastAsia" w:eastAsia="宋体"/>
          <w:sz w:val="24"/>
        </w:rPr>
        <w:t>，杆塔</w:t>
      </w:r>
      <w:r>
        <w:rPr>
          <w:rFonts w:hAnsi="宋体" w:eastAsia="宋体"/>
          <w:sz w:val="24"/>
        </w:rPr>
        <w:t>型式</w:t>
      </w:r>
      <w:r>
        <w:rPr>
          <w:rFonts w:hint="eastAsia" w:hAnsi="宋体" w:eastAsia="宋体"/>
          <w:sz w:val="24"/>
        </w:rPr>
        <w:t>、导线布置形式和排列相序一致，</w:t>
      </w:r>
      <w:r>
        <w:rPr>
          <w:rFonts w:hAnsi="宋体" w:eastAsia="宋体"/>
          <w:sz w:val="24"/>
        </w:rPr>
        <w:t>具有较好的可比性</w:t>
      </w:r>
      <w:r>
        <w:rPr>
          <w:rFonts w:hint="eastAsia" w:hAnsi="宋体" w:eastAsia="宋体"/>
          <w:sz w:val="24"/>
        </w:rPr>
        <w:t>。</w:t>
      </w:r>
    </w:p>
    <w:p>
      <w:pPr>
        <w:spacing w:line="360" w:lineRule="auto"/>
        <w:ind w:firstLine="480" w:firstLineChars="200"/>
        <w:rPr>
          <w:rFonts w:hAnsi="宋体" w:eastAsia="宋体"/>
          <w:sz w:val="24"/>
        </w:rPr>
      </w:pPr>
      <w:r>
        <w:rPr>
          <w:rFonts w:hint="eastAsia" w:hAnsi="宋体" w:eastAsia="宋体"/>
          <w:sz w:val="24"/>
        </w:rPr>
        <w:t>③地形地貌</w:t>
      </w:r>
    </w:p>
    <w:p>
      <w:pPr>
        <w:spacing w:line="360" w:lineRule="auto"/>
        <w:ind w:firstLine="480" w:firstLineChars="200"/>
        <w:rPr>
          <w:rFonts w:hAnsi="宋体" w:eastAsia="宋体"/>
          <w:sz w:val="24"/>
        </w:rPr>
      </w:pPr>
      <w:r>
        <w:rPr>
          <w:rFonts w:hAnsi="宋体" w:eastAsia="宋体"/>
          <w:sz w:val="24"/>
        </w:rPr>
        <w:t>110kV蓝万线Ⅱ回线路</w:t>
      </w:r>
      <w:r>
        <w:rPr>
          <w:rFonts w:hint="eastAsia" w:hAnsi="宋体" w:eastAsia="宋体"/>
          <w:sz w:val="24"/>
        </w:rPr>
        <w:t>与本工程新建线路均在河南省内，线路</w:t>
      </w:r>
      <w:r>
        <w:rPr>
          <w:rFonts w:hAnsi="宋体" w:eastAsia="宋体"/>
          <w:sz w:val="24"/>
        </w:rPr>
        <w:t>周边地形地貌角度</w:t>
      </w:r>
      <w:r>
        <w:rPr>
          <w:rFonts w:hint="eastAsia" w:hAnsi="宋体" w:eastAsia="宋体"/>
          <w:sz w:val="24"/>
        </w:rPr>
        <w:t>基本一致，因此从地形地貌角度，选择</w:t>
      </w:r>
      <w:r>
        <w:rPr>
          <w:rFonts w:eastAsia="宋体"/>
          <w:sz w:val="21"/>
          <w:szCs w:val="21"/>
        </w:rPr>
        <w:t>110kV</w:t>
      </w:r>
      <w:r>
        <w:rPr>
          <w:rFonts w:hAnsi="宋体" w:eastAsia="宋体"/>
          <w:sz w:val="21"/>
          <w:szCs w:val="21"/>
        </w:rPr>
        <w:t>蓝万线</w:t>
      </w:r>
      <w:r>
        <w:rPr>
          <w:rFonts w:ascii="宋体" w:hAnsi="宋体" w:eastAsia="宋体"/>
          <w:sz w:val="21"/>
          <w:szCs w:val="21"/>
        </w:rPr>
        <w:t>Ⅱ</w:t>
      </w:r>
      <w:r>
        <w:rPr>
          <w:rFonts w:hAnsi="宋体" w:eastAsia="宋体"/>
          <w:sz w:val="21"/>
          <w:szCs w:val="21"/>
        </w:rPr>
        <w:t>回线路</w:t>
      </w:r>
      <w:r>
        <w:rPr>
          <w:rFonts w:hAnsi="宋体" w:eastAsia="宋体"/>
          <w:color w:val="000000" w:themeColor="text1"/>
          <w:sz w:val="24"/>
        </w:rPr>
        <w:t>作为本项目完成投入运行后的电磁环境影预测和评价是合理可行的，并且结果是比较保守的</w:t>
      </w:r>
      <w:r>
        <w:rPr>
          <w:rFonts w:hint="eastAsia" w:hAnsi="宋体" w:eastAsia="宋体"/>
          <w:color w:val="000000" w:themeColor="text1"/>
          <w:sz w:val="24"/>
        </w:rPr>
        <w:t>。</w:t>
      </w:r>
    </w:p>
    <w:p>
      <w:pPr>
        <w:spacing w:line="360" w:lineRule="auto"/>
        <w:ind w:firstLine="480" w:firstLineChars="200"/>
        <w:rPr>
          <w:rFonts w:eastAsia="宋体"/>
          <w:sz w:val="24"/>
        </w:rPr>
      </w:pPr>
      <w:r>
        <w:rPr>
          <w:rFonts w:hint="eastAsia" w:eastAsia="宋体"/>
          <w:sz w:val="24"/>
        </w:rPr>
        <w:t>（4）类比监测</w:t>
      </w:r>
    </w:p>
    <w:p>
      <w:pPr>
        <w:spacing w:line="520" w:lineRule="exact"/>
        <w:ind w:firstLine="480" w:firstLineChars="200"/>
        <w:rPr>
          <w:rFonts w:ascii="宋体" w:hAnsi="宋体" w:eastAsia="宋体"/>
          <w:sz w:val="24"/>
        </w:rPr>
      </w:pPr>
      <w:r>
        <w:rPr>
          <w:rFonts w:hint="eastAsia" w:ascii="宋体" w:hAnsi="宋体" w:eastAsia="宋体"/>
          <w:sz w:val="24"/>
        </w:rPr>
        <w:t>①</w:t>
      </w:r>
      <w:r>
        <w:rPr>
          <w:rFonts w:ascii="宋体" w:hAnsi="宋体" w:eastAsia="宋体"/>
          <w:sz w:val="24"/>
        </w:rPr>
        <w:t>类比监测因子</w:t>
      </w:r>
    </w:p>
    <w:p>
      <w:pPr>
        <w:spacing w:line="520" w:lineRule="exact"/>
        <w:ind w:firstLine="482"/>
        <w:rPr>
          <w:rFonts w:eastAsia="宋体"/>
          <w:sz w:val="24"/>
        </w:rPr>
      </w:pPr>
      <w:r>
        <w:rPr>
          <w:rFonts w:hAnsi="宋体" w:eastAsia="宋体"/>
          <w:sz w:val="24"/>
        </w:rPr>
        <w:t>工频电场、工频磁场</w:t>
      </w:r>
    </w:p>
    <w:p>
      <w:pPr>
        <w:spacing w:line="520" w:lineRule="exact"/>
        <w:ind w:firstLine="480"/>
        <w:rPr>
          <w:rFonts w:hAnsi="宋体" w:eastAsia="宋体"/>
          <w:sz w:val="24"/>
        </w:rPr>
      </w:pPr>
      <w:r>
        <w:rPr>
          <w:rFonts w:hint="eastAsia" w:ascii="宋体" w:hAnsi="宋体" w:eastAsia="宋体"/>
          <w:sz w:val="24"/>
        </w:rPr>
        <w:t>②</w:t>
      </w:r>
      <w:r>
        <w:rPr>
          <w:rFonts w:hAnsi="宋体" w:eastAsia="宋体"/>
          <w:sz w:val="24"/>
        </w:rPr>
        <w:t>监测方法</w:t>
      </w:r>
    </w:p>
    <w:p>
      <w:pPr>
        <w:spacing w:line="520" w:lineRule="exact"/>
        <w:ind w:firstLine="480"/>
        <w:rPr>
          <w:rFonts w:eastAsia="宋体"/>
          <w:sz w:val="24"/>
        </w:rPr>
      </w:pPr>
      <w:r>
        <w:rPr>
          <w:rFonts w:hAnsi="宋体" w:eastAsia="宋体"/>
          <w:sz w:val="24"/>
        </w:rPr>
        <w:t>《交流输变电工程电磁环境监测方法（试行）》（</w:t>
      </w:r>
      <w:r>
        <w:rPr>
          <w:rFonts w:eastAsia="宋体"/>
          <w:sz w:val="24"/>
        </w:rPr>
        <w:t>HJ681-2013</w:t>
      </w:r>
      <w:r>
        <w:rPr>
          <w:rFonts w:hAnsi="宋体" w:eastAsia="宋体"/>
          <w:sz w:val="24"/>
        </w:rPr>
        <w:t>）。</w:t>
      </w:r>
    </w:p>
    <w:p>
      <w:pPr>
        <w:spacing w:line="520" w:lineRule="exact"/>
        <w:ind w:firstLine="480" w:firstLineChars="200"/>
        <w:rPr>
          <w:rFonts w:ascii="宋体" w:hAnsi="宋体" w:eastAsia="宋体"/>
          <w:sz w:val="24"/>
        </w:rPr>
      </w:pPr>
      <w:r>
        <w:rPr>
          <w:rFonts w:hint="eastAsia" w:ascii="宋体" w:hAnsi="宋体" w:eastAsia="宋体"/>
          <w:sz w:val="24"/>
        </w:rPr>
        <w:t>③</w:t>
      </w:r>
      <w:r>
        <w:rPr>
          <w:rFonts w:ascii="宋体" w:hAnsi="宋体" w:eastAsia="宋体"/>
          <w:sz w:val="24"/>
        </w:rPr>
        <w:t>监测布点</w:t>
      </w:r>
    </w:p>
    <w:p>
      <w:pPr>
        <w:spacing w:line="520" w:lineRule="exact"/>
        <w:ind w:firstLine="480" w:firstLineChars="200"/>
        <w:rPr>
          <w:rFonts w:ascii="宋体" w:hAnsi="宋体" w:eastAsia="宋体"/>
          <w:sz w:val="24"/>
        </w:rPr>
      </w:pPr>
      <w:r>
        <w:rPr>
          <w:rFonts w:eastAsia="宋体"/>
          <w:sz w:val="24"/>
        </w:rPr>
        <w:t>工频电场、工频磁场监测以输电线路弧垂最低位置档距对应两铁塔中央连线对地投影点为测试原点，然后垂直于导线方向，自边相导线起每隔5m布一个点，共布10个测点。监测点位图见图3。</w:t>
      </w:r>
    </w:p>
    <w:p>
      <w:pPr>
        <w:spacing w:line="360" w:lineRule="auto"/>
        <w:ind w:firstLine="560" w:firstLineChars="200"/>
        <w:rPr>
          <w:rFonts w:eastAsia="宋体"/>
          <w:sz w:val="24"/>
        </w:rPr>
      </w:pPr>
      <w:r>
        <w:pict>
          <v:group id="画布 412" o:spid="_x0000_s2380" o:spt="203" style="height:333.35pt;width:410.15pt;" coordorigin="2863,1154" coordsize="8203,6667" editas="canvas">
            <o:lock v:ext="edit"/>
            <v:shape id="画布 412" o:spid="_x0000_s2381" o:spt="75" type="#_x0000_t75" style="position:absolute;left:2863;top:1154;height:6667;width:8203;" filled="f" o:preferrelative="t" stroked="f" coordsize="21600,21600">
              <v:path/>
              <v:fill on="f" focussize="0,0"/>
              <v:stroke on="f" joinstyle="miter"/>
              <v:imagedata o:title=""/>
              <o:lock v:ext="edit" rotation="t" aspectratio="t"/>
            </v:shape>
            <v:shape id="图片 1" o:spid="_x0000_s2382" o:spt="75" type="#_x0000_t75" style="position:absolute;left:3489;top:5407;height:2345;width:578;" filled="f" o:preferrelative="t" stroked="f" coordsize="21600,21600">
              <v:path/>
              <v:fill on="f" focussize="0,0"/>
              <v:stroke on="f" joinstyle="miter"/>
              <v:imagedata r:id="rId16" o:title=""/>
              <o:lock v:ext="edit" aspectratio="t"/>
            </v:shape>
            <v:shape id="Freeform 425" o:spid="_x0000_s2384" style="position:absolute;left:3585;top:4285;height:287;width:365;" fillcolor="#000000" filled="t" coordsize="52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3dcQA&#10;AADbAAAADwAAAGRycy9kb3ducmV2LnhtbESPQWvCQBSE7wX/w/IEb7qpFq3RVWyDIIhCbb0/ss8k&#10;Nfs2ZNck/feuIPQ4zMw3zHLdmVI0VLvCsoLXUQSCOLW64EzBz/d2+A7CeWSNpWVS8EcO1qveyxJj&#10;bVv+oubkMxEg7GJUkHtfxVK6NCeDbmQr4uBdbG3QB1lnUtfYBrgp5TiKptJgwWEhx4o+c0qvp5tR&#10;II9bM9l8TM/JoUna+az7vY73iVKDfrdZgPDU+f/ws73TCt4m8Pg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nd3XEAAAA2wAAAA8AAAAAAAAAAAAAAAAAmAIAAGRycy9k&#10;b3ducmV2LnhtbFBLBQYAAAAABAAEAPUAAACJAwAAAAA=&#10;" path="m0,24c0,11,11,0,24,0l504,0c518,0,528,11,528,24l528,392c528,406,518,416,504,416l24,416c11,416,0,406,0,392l0,24xm48,392l24,368,504,368,480,392,480,24,504,48,24,48,48,24,48,392xe">
              <v:path arrowok="t" o:connecttype="custom" o:connectlocs="0,10514;10535,0;221240,0;231775,10514;231775,171731;221240,182245;10535,182245;0,171731;0,10514;21070,171731;10535,161217;221240,161217;210705,171731;210705,10514;221240,21028;10535,21028;21070,10514;21070,171731" o:connectangles="0,0,0,0,0,0,0,0,0,0,0,0,0,0,0,0,0,0"/>
              <v:fill on="t" focussize="0,0"/>
              <v:stroke weight="0.05pt"/>
              <v:imagedata o:title=""/>
              <o:lock v:ext="edit"/>
            </v:shape>
            <v:rect id="Rectangle 428" o:spid="_x0000_s2386" o:spt="1" style="position:absolute;left:8324;top:3928;height:357;width:150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v:path/>
              <v:fill focussize="0,0"/>
              <v:stroke on="f"/>
              <v:imagedata o:title=""/>
              <o:lock v:ext="edit"/>
            </v:rect>
            <v:shape id="Freeform 429" o:spid="_x0000_s2387" style="position:absolute;left:8318;top:3923;height:362;width:1575;" fillcolor="#000000" filled="t" coordsize="151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xS8IA&#10;AADbAAAADwAAAGRycy9kb3ducmV2LnhtbESPQWvCQBSE74X+h+UVems2Vak2dRNEKNZbTYvnR/aZ&#10;hGbfhuxT47/vCoLHYWa+YZbF6Dp1oiG0ng28Jiko4srblmsDvz+fLwtQQZAtdp7JwIUCFPnjwxIz&#10;68+8o1MptYoQDhkaaET6TOtQNeQwJL4njt7BDw4lyqHWdsBzhLtOT9L0TTtsOS402NO6oeqvPDoD&#10;tpQ+zPbbYyfv3+EwTaflatwY8/w0rj5ACY1yD9/aX9bAbA7XL/EH6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rFLwgAAANsAAAAPAAAAAAAAAAAAAAAAAJgCAABkcnMvZG93&#10;bnJldi54bWxQSwUGAAAAAAQABAD1AAAAhwMAAAAA&#10;" path="m0,0l1515,0,1515,441,0,441,0,0xm11,436l6,430,1510,430,1504,436,1504,5,1510,11,6,11,11,5,11,436xe">
              <v:path arrowok="t" o:connecttype="custom" o:connectlocs="0,0;1575,0;1575,515;0,515;0,0;11,509;6,502;1570,502;1564,509;1564,6;1570,13;6,13;11,6;11,509" o:connectangles="0,0,0,0,0,0,0,0,0,0,0,0,0,0"/>
              <v:fill on="t" focussize="0,0"/>
              <v:stroke weight="0.05pt"/>
              <v:imagedata o:title=""/>
              <o:lock v:ext="edit"/>
            </v:shape>
            <v:rect id="Rectangle 430" o:spid="_x0000_s2388" o:spt="1" style="position:absolute;left:8684;top:3915;height:312;width:112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v:path/>
              <v:fill on="f" focussize="0,0"/>
              <v:stroke on="f"/>
              <v:imagedata o:title=""/>
              <o:lock v:ext="edit"/>
              <v:textbox inset="0mm,0mm,0mm,0mm" style="mso-fit-shape-to-text:t;">
                <w:txbxContent>
                  <w:p>
                    <w:r>
                      <w:rPr>
                        <w:rFonts w:hint="eastAsia" w:ascii="黑体" w:eastAsia="黑体" w:cs="黑体"/>
                        <w:color w:val="000000"/>
                        <w:sz w:val="14"/>
                        <w:szCs w:val="14"/>
                      </w:rPr>
                      <w:t>工频电磁场监测点</w:t>
                    </w:r>
                  </w:p>
                </w:txbxContent>
              </v:textbox>
            </v:rect>
            <v:shape id="Freeform 434" o:spid="_x0000_s2389" style="position:absolute;left:8412;top:3961;height:166;width:166;" fillcolor="#CC99FF" filled="t" stroked="f"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LWcEA&#10;AADbAAAADwAAAGRycy9kb3ducmV2LnhtbERPz2vCMBS+C/sfwht4kTXVg7jOtIyJspOwurEdH80z&#10;LWteShK1/e+Xg7Djx/d7W422F1fyoXOsYJnlIIgbpzs2Cj5P+6cNiBCRNfaOScFEAaryYbbFQrsb&#10;f9C1jkakEA4FKmhjHAopQ9OSxZC5gThxZ+ctxgS9kdrjLYXbXq7yfC0tdpwaWhzoraXmt75YBbt6&#10;v3nmxeErfJ/lNPmj6acfo9T8cXx9ARFpjP/iu/tdK1inselL+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C1nBAAAA2wAAAA8AAAAAAAAAAAAAAAAAmAIAAGRycy9kb3du&#10;cmV2LnhtbFBLBQYAAAAABAAEAPUAAACGAwAAAAA=&#10;" path="m0,64l64,64,83,0,103,64,166,64,115,103,135,166,83,127,32,166,52,103,0,64xe">
              <v:path arrowok="t" o:connecttype="custom" o:connectlocs="0,64;64,64;83,0;103,64;166,64;115,103;135,166;83,127;32,166;52,103;0,64" o:connectangles="0,0,0,0,0,0,0,0,0,0,0"/>
              <v:fill on="t" focussize="0,0"/>
              <v:stroke on="f"/>
              <v:imagedata o:title=""/>
              <o:lock v:ext="edit"/>
            </v:shape>
            <v:shape id="Freeform 435" o:spid="_x0000_s2390" style="position:absolute;left:8396;top:3943;height:199;width:199;" fillcolor="#000000" filled="t"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yIsMA&#10;AADbAAAADwAAAGRycy9kb3ducmV2LnhtbESPQWvCQBSE7wX/w/KE3urGpgSNrkFbQjwVavX+yD6T&#10;4O7bkN3G9N93C4Ueh5n5htkWkzVipMF3jhUsFwkI4trpjhsF58/yaQXCB2SNxjEp+CYPxW72sMVc&#10;uzt/0HgKjYgQ9jkqaEPocyl93ZJFv3A9cfSubrAYohwaqQe8R7g18jlJMmmx47jQYk+vLdW305dV&#10;MJnVW1qm76arxsPLJau0Pdq1Uo/zab8BEWgK/+G/9lEryN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yIsMAAADbAAAADwAAAAAAAAAAAAAAAACYAgAAZHJzL2Rv&#10;d25yZXYueG1sUEsFBgAAAAAEAAQA9QAAAIgDAAAAAA==&#10;" path="m0,76l80,76,74,80,99,0,124,80,119,76,199,76,134,125,136,119,161,199,96,149,102,149,37,199,62,119,64,125,0,76xm74,119l53,186,44,180,99,138,154,180,145,186,125,119,179,78,182,87,115,87,94,20,105,20,84,87,16,87,19,78,74,119xe">
              <v:path arrowok="t" o:connecttype="custom" o:connectlocs="0,76;80,76;74,80;99,0;124,80;119,76;199,76;134,125;136,119;161,199;96,149;102,149;37,199;62,119;64,125;0,76;74,119;53,186;44,180;99,138;154,180;145,186;125,119;179,78;182,87;115,87;94,20;105,20;84,87;16,87;19,78;74,119" o:connectangles="0,0,0,0,0,0,0,0,0,0,0,0,0,0,0,0,0,0,0,0,0,0,0,0,0,0,0,0,0,0,0,0"/>
              <v:fill on="t" focussize="0,0"/>
              <v:stroke weight="0.05pt"/>
              <v:imagedata o:title=""/>
              <o:lock v:ext="edit"/>
            </v:shape>
            <v:rect id="Rectangle 436" o:spid="_x0000_s2391" o:spt="1" style="position:absolute;left:3943;top:4764;height:311;width:4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v:path/>
              <v:fill on="f" focussize="0,0"/>
              <v:stroke on="f"/>
              <v:imagedata o:title=""/>
              <o:lock v:ext="edit"/>
              <v:textbox inset="0mm,0mm,0mm,0mm" style="mso-fit-shape-to-text:t;">
                <w:txbxContent>
                  <w:p>
                    <w:r>
                      <w:rPr>
                        <w:rFonts w:hint="eastAsia" w:ascii="黑体" w:eastAsia="黑体" w:cs="黑体"/>
                        <w:color w:val="000000"/>
                        <w:sz w:val="16"/>
                        <w:szCs w:val="16"/>
                      </w:rPr>
                      <w:t>边导线</w:t>
                    </w:r>
                  </w:p>
                </w:txbxContent>
              </v:textbox>
            </v:rect>
            <v:shape id="Freeform 442" o:spid="_x0000_s2394" style="position:absolute;left:4492;top:2689;height:249;width:13;" fillcolor="#000000" filled="t" coordsize="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F1MMA&#10;AADbAAAADwAAAGRycy9kb3ducmV2LnhtbESPQWvCQBSE70L/w/IKvelGhViiq4hQ7UXBtNTrI/vM&#10;BrNvQ3abpP++Kwgeh5n5hlltBluLjlpfOVYwnSQgiAunKy4VfH99jN9B+ICssXZMCv7Iw2b9Mlph&#10;pl3PZ+ryUIoIYZ+hAhNCk0npC0MW/cQ1xNG7utZiiLItpW6xj3Bby1mSpNJixXHBYEM7Q8Ut/7UK&#10;Tpc+Df70M5+We7Pzx8OMLt1eqbfXYbsEEWgIz/Cj/akVL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EF1MMAAADbAAAADwAAAAAAAAAAAAAAAACYAgAAZHJzL2Rv&#10;d25yZXYueG1sUEsFBgAAAAAEAAQA9QAAAIgDAAAAAA==&#10;" path="m13,1l11,249,0,249,2,0,13,1xe">
              <v:path arrowok="t" o:connecttype="custom" o:connectlocs="13,1;11,249;0,249;2,0;13,1" o:connectangles="0,0,0,0,0"/>
              <v:fill on="t" focussize="0,0"/>
              <v:stroke weight="0.05pt"/>
              <v:imagedata o:title=""/>
              <o:lock v:ext="edit"/>
            </v:shape>
            <v:shape id="Freeform 444" o:spid="_x0000_s2396" style="position:absolute;left:5178;top:2689;height:249;width:13;" fillcolor="#000000" filled="t" coordsize="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0Pb8A&#10;AADbAAAADwAAAGRycy9kb3ducmV2LnhtbERPTYvCMBC9C/sfwgh701QXdKlGEWF1LwrWRa9DMzbF&#10;ZlKa2Hb/vTkIHh/ve7nubSVaanzpWMFknIAgzp0uuVDwd/4ZfYPwAVlj5ZgU/JOH9epjsMRUu45P&#10;1GahEDGEfYoKTAh1KqXPDVn0Y1cTR+7mGoshwqaQusEuhttKTpNkJi2WHBsM1rQ1lN+zh1VwvHaz&#10;4I+Xr0mxM1t/2E/p2u6U+hz2mwWIQH14i1/uX61gH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cjQ9vwAAANsAAAAPAAAAAAAAAAAAAAAAAJgCAABkcnMvZG93bnJl&#10;di54bWxQSwUGAAAAAAQABAD1AAAAhAMAAAAA&#10;" path="m13,1l11,249,0,249,2,0,13,1xe">
              <v:path arrowok="t" o:connecttype="custom" o:connectlocs="13,1;11,249;0,249;2,0;13,1" o:connectangles="0,0,0,0,0"/>
              <v:fill on="t" focussize="0,0"/>
              <v:stroke weight="0.05pt"/>
              <v:imagedata o:title=""/>
              <o:lock v:ext="edit"/>
            </v:shape>
            <v:rect id="Rectangle 445" o:spid="_x0000_s2397" o:spt="1" style="position:absolute;left:7311;top:2579;height:624;width:88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v:path/>
              <v:fill on="f" focussize="0,0"/>
              <v:stroke on="f"/>
              <v:imagedata o:title=""/>
              <o:lock v:ext="edit"/>
              <v:textbox inset="0mm,0mm,0mm,0mm" style="mso-fit-shape-to-text:t;">
                <w:txbxContent>
                  <w:p>
                    <w:pPr>
                      <w:ind w:firstLine="520"/>
                    </w:pPr>
                    <w:r>
                      <w:rPr>
                        <w:rFonts w:ascii="Calibri" w:hAnsi="Calibri" w:cs="Calibri"/>
                        <w:color w:val="000000"/>
                        <w:sz w:val="26"/>
                        <w:szCs w:val="26"/>
                      </w:rPr>
                      <w:t>……</w:t>
                    </w:r>
                  </w:p>
                </w:txbxContent>
              </v:textbox>
            </v:rect>
            <v:shape id="Freeform 447" o:spid="_x0000_s2399" style="position:absolute;left:6538;top:2689;height:249;width:14;" fillcolor="#000000" filled="t" coordsize="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N+cUA&#10;AADbAAAADwAAAGRycy9kb3ducmV2LnhtbESPT2vCQBTE70K/w/IKXkQ3ikgaXaXYShVPtYrXR/bl&#10;D2bfptmtid/eFYQeh5n5DbNYdaYSV2pcaVnBeBSBIE6tLjlXcPzZDGMQziNrrCyTghs5WC1fegtM&#10;tG35m64Hn4sAYZeggsL7OpHSpQUZdCNbEwcvs41BH2STS91gG+CmkpMomkmDJYeFAmtaF5ReDn9G&#10;wfkj6j7j/frt67w7/banMpsONplS/dfufQ7CU+f/w8/2ViuIx/D4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s35xQAAANsAAAAPAAAAAAAAAAAAAAAAAJgCAABkcnMv&#10;ZG93bnJldi54bWxQSwUGAAAAAAQABAD1AAAAigMAAAAA&#10;" path="m14,1l12,249,0,249,3,0,14,1xe">
              <v:path arrowok="t" o:connecttype="custom" o:connectlocs="14,1;12,249;0,249;3,0;14,1" o:connectangles="0,0,0,0,0"/>
              <v:fill on="t" focussize="0,0"/>
              <v:stroke weight="0.05pt"/>
              <v:imagedata o:title=""/>
              <o:lock v:ext="edit"/>
            </v:shape>
            <v:shape id="Freeform 449" o:spid="_x0000_s2401" style="position:absolute;left:5842;top:2689;height:249;width:13;" fillcolor="#000000" filled="t" coordsize="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Wa8IA&#10;AADbAAAADwAAAGRycy9kb3ducmV2LnhtbESPT4vCMBTE78J+h/AWvNlUBZGuUUTwz0VhVfT6aN42&#10;xealNLGt394sLOxxmJnfMItVbyvRUuNLxwrGSQqCOHe65ELB9bIdzUH4gKyxckwKXuRhtfwYLDDT&#10;ruNvas+hEBHCPkMFJoQ6k9Lnhiz6xNXE0ftxjcUQZVNI3WAX4baSkzSdSYslxwWDNW0M5Y/z0yo4&#10;3btZ8KfbdFzszMYf9xO6tzulhp/9+gtEoD78h//aB61gPoX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ZrwgAAANsAAAAPAAAAAAAAAAAAAAAAAJgCAABkcnMvZG93&#10;bnJldi54bWxQSwUGAAAAAAQABAD1AAAAhwMAAAAA&#10;" path="m13,1l11,249,0,249,2,0,13,1xe">
              <v:path arrowok="t" o:connecttype="custom" o:connectlocs="13,1;11,249;0,249;2,0;13,1" o:connectangles="0,0,0,0,0"/>
              <v:fill on="t" focussize="0,0"/>
              <v:stroke weight="0.05pt"/>
              <v:imagedata o:title=""/>
              <o:lock v:ext="edit"/>
            </v:shape>
            <v:rect id="Rectangle 461" o:spid="_x0000_s2405" o:spt="1" style="position:absolute;left:4769;top:2636;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shape id="Freeform 468" o:spid="_x0000_s2409" style="position:absolute;left:4409;top:2899;height:177;width:177;" fillcolor="#CC99FF" filled="t" stroked="f" coordsize="17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IN8IA&#10;AADcAAAADwAAAGRycy9kb3ducmV2LnhtbERPS2rDMBDdF3IHMYXuGtmhTYIbxaQJhiyyyecAgzWx&#10;ja2RkVTbuX1VKGQ3j/edTT6ZTgzkfGNZQTpPQBCXVjdcKbhdi/c1CB+QNXaWScGDPOTb2csGM21H&#10;PtNwCZWIIewzVFCH0GdS+rImg35ue+LI3a0zGCJ0ldQOxxhuOrlIkqU02HBsqLGnfU1le/kxCg6f&#10;H0XbLvlmj9Lx6vxYj+n3Sam312n3BSLQFJ7if/dRx/nJAv6e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Eg3wgAAANwAAAAPAAAAAAAAAAAAAAAAAJgCAABkcnMvZG93&#10;bnJldi54bWxQSwUGAAAAAAQABAD1AAAAhwMAAAAA&#10;" path="m0,68l68,68,89,0,110,68,177,68,122,110,144,177,89,135,34,177,55,110,0,68xe">
              <v:path arrowok="t" o:connecttype="custom" o:connectlocs="0,68;68,68;89,0;110,68;177,68;122,110;144,177;89,135;34,177;55,110;0,68" o:connectangles="0,0,0,0,0,0,0,0,0,0,0"/>
              <v:fill on="t" focussize="0,0"/>
              <v:stroke on="f"/>
              <v:imagedata o:title=""/>
              <o:lock v:ext="edit"/>
            </v:shape>
            <v:shape id="Freeform 470" o:spid="_x0000_s2411" style="position:absolute;left:5106;top:2899;height:177;width:166;" fillcolor="#CC99FF" filled="t" stroked="f" coordsize="16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WCMUA&#10;AADcAAAADwAAAGRycy9kb3ducmV2LnhtbERP22rCQBB9L/Qflin0rW6UUiR1FdEECimIl9LXaXZM&#10;otnZkN0m0a93hULf5nCuM1sMphYdta6yrGA8ikAQ51ZXXCg47NOXKQjnkTXWlknBhRws5o8PM4y1&#10;7XlL3c4XIoSwi1FB6X0TS+nykgy6kW2IA3e0rUEfYFtI3WIfwk0tJ1H0Jg1WHBpKbGhVUn7e/RoF&#10;WSZPP5u62iyn4+TynazT7Pr5pdTz07B8B+Fp8P/iP/eHDvOjV7g/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1YIxQAAANwAAAAPAAAAAAAAAAAAAAAAAJgCAABkcnMv&#10;ZG93bnJldi54bWxQSwUGAAAAAAQABAD1AAAAigMAAAAA&#10;" path="m0,68l64,68,83,0,103,68,166,68,115,110,135,177,83,135,32,177,52,110,0,68xe">
              <v:path arrowok="t" o:connecttype="custom" o:connectlocs="0,68;64,68;83,0;103,68;166,68;115,110;135,177;83,135;32,177;52,110;0,68" o:connectangles="0,0,0,0,0,0,0,0,0,0,0"/>
              <v:fill on="t" focussize="0,0"/>
              <v:stroke on="f"/>
              <v:imagedata o:title=""/>
              <o:lock v:ext="edit"/>
            </v:shape>
            <v:shape id="Freeform 472" o:spid="_x0000_s2413" style="position:absolute;left:5770;top:2899;height:177;width:166;" fillcolor="#CC99FF" filled="t" stroked="f" coordsize="16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t5MQA&#10;AADcAAAADwAAAGRycy9kb3ducmV2LnhtbERPTWvCQBC9F/oflhF6q5v0IJK6itQIhRSC0eJ1zI5J&#10;bHY2ZLca/fWuUOhtHu9zZovBtOJMvWssK4jHEQji0uqGKwW77fp1CsJ5ZI2tZVJwJQeL+fPTDBNt&#10;L7yhc+ErEULYJaig9r5LpHRlTQbd2HbEgTva3qAPsK+k7vESwk0r36JoIg02HBpq7OijpvKn+DUK&#10;skyeDnnb5MtpnF736Wqd3b6+lXoZDct3EJ4G/y/+c3/qMD+awOOZc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beTEAAAA3AAAAA8AAAAAAAAAAAAAAAAAmAIAAGRycy9k&#10;b3ducmV2LnhtbFBLBQYAAAAABAAEAPUAAACJAwAAAAA=&#10;" path="m0,68l63,68,83,0,103,68,166,68,114,110,134,177,83,135,31,177,52,110,0,68xe">
              <v:path arrowok="t" o:connecttype="custom" o:connectlocs="0,68;63,68;83,0;103,68;166,68;114,110;134,177;83,135;31,177;52,110;0,68" o:connectangles="0,0,0,0,0,0,0,0,0,0,0"/>
              <v:fill on="t" focussize="0,0"/>
              <v:stroke on="f"/>
              <v:imagedata o:title=""/>
              <o:lock v:ext="edit"/>
            </v:shape>
            <v:shape id="Freeform 474" o:spid="_x0000_s2415" style="position:absolute;left:6467;top:2899;height:177;width:165;" fillcolor="#CC99FF" filled="t" stroked="f" coordsize="16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6cUA&#10;AADcAAAADwAAAGRycy9kb3ducmV2LnhtbESPQWvCQBCF7wX/wzKCt7pRsJXUVURI6cGCUaE9Dtlp&#10;Es3Ohuwa47/vHAq9zfDevPfNajO4RvXUhdqzgdk0AUVceFtzaeB8yp6XoEJEtth4JgMPCrBZj55W&#10;mFp/55z6YyyVhHBI0UAVY5tqHYqKHIapb4lF+/GdwyhrV2rb4V3CXaPnSfKiHdYsDRW2tKuouB5v&#10;zsDlc5Hlh3aW77PX9/rL9gf8vm2NmYyH7RuoSEP8N/9df1jBT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r/pxQAAANwAAAAPAAAAAAAAAAAAAAAAAJgCAABkcnMv&#10;ZG93bnJldi54bWxQSwUGAAAAAAQABAD1AAAAigMAAAAA&#10;" path="m0,68l63,68,83,0,103,68,165,68,114,110,134,177,83,135,31,177,51,110,0,68xe">
              <v:path arrowok="t" o:connecttype="custom" o:connectlocs="0,68;63,68;83,0;103,68;165,68;114,110;134,177;83,135;31,177;51,110;0,68" o:connectangles="0,0,0,0,0,0,0,0,0,0,0"/>
              <v:fill on="t" focussize="0,0"/>
              <v:stroke on="f"/>
              <v:imagedata o:title=""/>
              <o:lock v:ext="edit"/>
            </v:shape>
            <v:shape id="Freeform 476" o:spid="_x0000_s2417" style="position:absolute;left:7152;top:2899;height:177;width:166;" fillcolor="#CC99FF" filled="t" stroked="f" coordsize="16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G1scA&#10;AADcAAAADwAAAGRycy9kb3ducmV2LnhtbESPT2vCQBDF74V+h2WE3uomPRRJXUX8A0IKUrV4HbNj&#10;Es3OhuyqsZ++cyj0NsN7895vxtPeNepGXag9G0iHCSjiwtuaSwP73ep1BCpEZIuNZzLwoADTyfPT&#10;GDPr7/xFt20slYRwyNBAFWObaR2KihyGoW+JRTv5zmGUtSu17fAu4a7Rb0nyrh3WLA0VtjSvqLhs&#10;r85AnuvzcdPUm9koXT4Oy8Uq//n8NuZl0M8+QEXq47/573ptBT8VfHlGJt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xtbHAAAA3AAAAA8AAAAAAAAAAAAAAAAAmAIAAGRy&#10;cy9kb3ducmV2LnhtbFBLBQYAAAAABAAEAPUAAACMAwAAAAA=&#10;" path="m0,68l64,68,83,0,103,68,166,68,115,110,135,177,83,135,32,177,52,110,0,68xe">
              <v:path arrowok="t" o:connecttype="custom" o:connectlocs="0,68;64,68;83,0;103,68;166,68;115,110;135,177;83,135;32,177;52,110;0,68" o:connectangles="0,0,0,0,0,0,0,0,0,0,0"/>
              <v:fill on="t" focussize="0,0"/>
              <v:stroke on="f"/>
              <v:imagedata o:title=""/>
              <o:lock v:ext="edit"/>
            </v:shape>
            <v:shape id="Freeform 488" o:spid="_x0000_s2420" style="position:absolute;left:3712;top:2899;height:177;width:177;" fillcolor="#CC99FF" filled="t" stroked="f" coordsize="17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UV8AA&#10;AADcAAAADwAAAGRycy9kb3ducmV2LnhtbERPzYrCMBC+L/gOYQRva2pxVapRXEXw4MWfBxiasS1t&#10;JiXJ2vr2RljwNh/f76w2vWnEg5yvLCuYjBMQxLnVFRcKbtfD9wKED8gaG8uk4EkeNuvB1wozbTs+&#10;0+MSChFD2GeooAyhzaT0eUkG/di2xJG7W2cwROgKqR12Mdw0Mk2SmTRYcWwosaVdSXl9+TMK9j/T&#10;Q13P+GaP0vH8/Fx0k9+TUqNhv12CCNSHj/jffdRxfpr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EUV8AAAADcAAAADwAAAAAAAAAAAAAAAACYAgAAZHJzL2Rvd25y&#10;ZXYueG1sUEsFBgAAAAAEAAQA9QAAAIUDAAAAAA==&#10;" path="m0,68l68,68,89,0,110,68,177,68,123,110,144,177,89,135,34,177,55,110,0,68xe">
              <v:path arrowok="t" o:connecttype="custom" o:connectlocs="0,68;68,68;89,0;110,68;177,68;123,110;144,177;89,135;34,177;55,110;0,68" o:connectangles="0,0,0,0,0,0,0,0,0,0,0"/>
              <v:fill on="t" focussize="0,0"/>
              <v:stroke on="f"/>
              <v:imagedata o:title=""/>
              <o:lock v:ext="edit"/>
            </v:shape>
            <v:rect id="Rectangle 503" o:spid="_x0000_s2422" o:spt="1" style="position:absolute;left:7122;top:5795;height:630;width:88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B8IA&#10;AADcAAAADwAAAGRycy9kb3ducmV2LnhtbERP22oCMRB9L/Qfwgh9q9mtxepqFCsUpeCDlw8YNuNm&#10;dTPZJqmuf2+EQt/mcK4znXe2ERfyoXasIO9nIIhLp2uuFBz2X68jECEia2wck4IbBZjPnp+mWGh3&#10;5S1ddrESKYRDgQpMjG0hZSgNWQx91xIn7ui8xZigr6T2eE3htpFvWTaUFmtODQZbWhoqz7tfq4A+&#10;V9vxaRHMRvo85Jvv4fh99aPUS69bTEBE6uK/+M+91mn+4AMez6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IHwgAAANwAAAAPAAAAAAAAAAAAAAAAAJgCAABkcnMvZG93&#10;bnJldi54bWxQSwUGAAAAAAQABAD1AAAAhwMAAAAA&#10;">
              <v:path/>
              <v:fill on="f" focussize="0,0"/>
              <v:stroke on="f"/>
              <v:imagedata o:title=""/>
              <o:lock v:ext="edit"/>
              <v:textbox inset="0mm,0mm,0mm,0mm">
                <w:txbxContent>
                  <w:p>
                    <w:pPr>
                      <w:ind w:firstLine="520"/>
                    </w:pPr>
                    <w:r>
                      <w:rPr>
                        <w:rFonts w:ascii="Calibri" w:hAnsi="Calibri" w:cs="Calibri"/>
                        <w:color w:val="000000"/>
                        <w:sz w:val="26"/>
                        <w:szCs w:val="26"/>
                      </w:rPr>
                      <w:t>……</w:t>
                    </w:r>
                  </w:p>
                </w:txbxContent>
              </v:textbox>
            </v:rect>
            <v:shape id="Freeform 508" o:spid="_x0000_s2423" style="position:absolute;left:3797;top:6116;height:89;width:686;" fillcolor="#000000" filled="t" coordsize="6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Hc8EA&#10;AADcAAAADwAAAGRycy9kb3ducmV2LnhtbERP32vCMBB+H+x/CCf4MjSZzFKqUTZB2KNT8flozra0&#10;uZQkat1fvwjC3u7j+3nL9WA7cSUfGsca3qcKBHHpTMOVhuNhO8lBhIhssHNMGu4UYL16fVliYdyN&#10;f+i6j5VIIRwK1FDH2BdShrImi2HqeuLEnZ23GBP0lTQebyncdnKmVCYtNpwaauxpU1PZ7i9Ww1fb&#10;7DDP5jucb99OWZYr5X9brcej4XMBItIQ/8VP97dJ8z9m8Hg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zx3PBAAAA3AAAAA8AAAAAAAAAAAAAAAAAmAIAAGRycy9kb3du&#10;cmV2LnhtbFBLBQYAAAAABAAEAPUAAACGAwAAAAA=&#10;" path="m59,38l627,38,627,49,59,49,59,38xm59,44l89,89,0,44,89,0,59,44xm627,44l597,0,686,44,597,89,627,44xe">
              <v:path arrowok="t" o:connecttype="custom" o:connectlocs="37465,24130;398145,24130;398145,31115;37465,31115;37465,24130;37465,27940;56515,56515;0,27940;56515,0;37465,27940;398145,27940;379095,0;435610,27940;379095,56515;398145,27940" o:connectangles="0,0,0,0,0,0,0,0,0,0,0,0,0,0,0"/>
              <v:fill on="t" focussize="0,0"/>
              <v:stroke weight="0.05pt"/>
              <v:imagedata o:title=""/>
              <o:lock v:ext="edit"/>
            </v:shape>
            <v:shape id="Freeform 509" o:spid="_x0000_s2424" style="position:absolute;left:4466;top:6038;height:249;width:13;" fillcolor="#000000" filled="t" coordsize="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R5sIA&#10;AADcAAAADwAAAGRycy9kb3ducmV2LnhtbERPTWvCQBC9F/wPywi91Y2miMSsIoK2lwaqYq5DdpoN&#10;zc6G7DZJ/323UOhtHu9z8v1kWzFQ7xvHCpaLBARx5XTDtYLb9fS0AeEDssbWMSn4Jg/73ewhx0y7&#10;kd9puIRaxBD2GSowIXSZlL4yZNEvXEccuQ/XWwwR9rXUPY4x3LZylSRrabHh2GCwo6Oh6vPyZRUU&#10;5bgOvriny/psjv7tZUXlcFbqcT4dtiACTeFf/Od+1XH+cwq/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VHmwgAAANwAAAAPAAAAAAAAAAAAAAAAAJgCAABkcnMvZG93&#10;bnJldi54bWxQSwUGAAAAAAQABAD1AAAAhwMAAAAA&#10;" path="m13,1l11,249,0,249,2,0,13,1xe">
              <v:path arrowok="t" o:connecttype="custom" o:connectlocs="8255,635;6985,158115;0,158115;1270,0;8255,635" o:connectangles="0,0,0,0,0"/>
              <v:fill on="t" focussize="0,0"/>
              <v:stroke weight="0.05pt"/>
              <v:imagedata o:title=""/>
              <o:lock v:ext="edit"/>
            </v:shape>
            <v:shape id="Freeform 510" o:spid="_x0000_s2425" style="position:absolute;left:4483;top:6116;height:89;width:684;" fillcolor="#000000" filled="t" coordsize="6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h8AA&#10;AADcAAAADwAAAGRycy9kb3ducmV2LnhtbERPzWrCQBC+F3yHZQRvdaOISOoqRaIUvNjoAwzZaRKa&#10;nY2ZrYlv7wpCb/Px/c56O7hG3aiT2rOB2TQBRVx4W3Np4HLev69ASUC22HgmA3cS2G5Gb2tMre/5&#10;m255KFUMYUnRQBVCm2otRUUOZepb4sj9+M5hiLArte2wj+Gu0fMkWWqHNceGClvaVVT85n/OQLY6&#10;N7LLT/Xpnl0PPjvIsejFmMl4+PwAFWgI/+KX+8vG+YsFPJ+JF+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vh8AAAADcAAAADwAAAAAAAAAAAAAAAACYAgAAZHJzL2Rvd25y&#10;ZXYueG1sUEsFBgAAAAAEAAQA9QAAAIUDAAAAAA==&#10;" path="m59,38l625,38,625,49,59,49,59,38xm59,44l89,89,0,44,89,0,59,44xm625,44l596,0,684,44,596,89,625,44xe">
              <v:path arrowok="t" o:connecttype="custom" o:connectlocs="37465,24130;396875,24130;396875,31115;37465,31115;37465,24130;37465,27940;56515,56515;0,27940;56515,0;37465,27940;396875,27940;378460,0;434340,27940;378460,56515;396875,27940" o:connectangles="0,0,0,0,0,0,0,0,0,0,0,0,0,0,0"/>
              <v:fill on="t" focussize="0,0"/>
              <v:stroke weight="0.05pt"/>
              <v:imagedata o:title=""/>
              <o:lock v:ext="edit"/>
            </v:shape>
            <v:shape id="Freeform 511" o:spid="_x0000_s2426" style="position:absolute;left:5152;top:6038;height:249;width:13;" fillcolor="#000000" filled="t" coordsize="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sCcIA&#10;AADcAAAADwAAAGRycy9kb3ducmV2LnhtbERPS2vCQBC+F/oflin0VjexrUh0DSJovVTwgV6H7JgN&#10;ZmdDdpvEf98tFLzNx/eceT7YWnTU+sqxgnSUgCAunK64VHA6rt+mIHxA1lg7JgV38pAvnp/mmGnX&#10;8566QyhFDGGfoQITQpNJ6QtDFv3INcSRu7rWYoiwLaVusY/htpbjJJlIixXHBoMNrQwVt8OPVbC7&#10;9JPgd+f3tNyYlf/+GtOl2yj1+jIsZyACDeEh/ndvdZz/8Ql/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GwJwgAAANwAAAAPAAAAAAAAAAAAAAAAAJgCAABkcnMvZG93&#10;bnJldi54bWxQSwUGAAAAAAQABAD1AAAAhwMAAAAA&#10;" path="m13,1l11,249,0,249,2,0,13,1xe">
              <v:path arrowok="t" o:connecttype="custom" o:connectlocs="8255,635;6985,158115;0,158115;1270,0;8255,635" o:connectangles="0,0,0,0,0"/>
              <v:fill on="t" focussize="0,0"/>
              <v:stroke weight="0.05pt"/>
              <v:imagedata o:title=""/>
              <o:lock v:ext="edit"/>
            </v:shape>
            <v:shape id="Freeform 512" o:spid="_x0000_s2427" style="position:absolute;left:5843;top:6116;height:89;width:685;" fillcolor="#000000" filled="t" coordsize="6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bF8AA&#10;AADcAAAADwAAAGRycy9kb3ducmV2LnhtbERPzWrCQBC+F3yHZYReSt0oEiR1laIInkqrPsCQHZPU&#10;zGzYXZP07bsFobf5+H5nvR25VT350DgxMJ9loEhKZxupDFzOh9cVqBBRLLZOyMAPBdhuJk9rLKwb&#10;5Iv6U6xUCpFQoIE6xq7QOpQ1MYaZ60gSd3WeMSboK209DimcW73IslwzNpIaauxoV1N5O93ZwHe4&#10;ahp43w6H3of8073cmD+MeZ6O72+gIo3xX/xwH22av8zh75l0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VbF8AAAADcAAAADwAAAAAAAAAAAAAAAACYAgAAZHJzL2Rvd25y&#10;ZXYueG1sUEsFBgAAAAAEAAQA9QAAAIUDAAAAAA==&#10;" path="m60,38l625,38,625,49,60,49,60,38xm60,44l89,89,0,44,89,0,60,44xm625,44l596,0,685,44,596,89,625,44xe">
              <v:path arrowok="t" o:connecttype="custom" o:connectlocs="38100,24130;396875,24130;396875,31115;38100,31115;38100,24130;38100,27940;56515,56515;0,27940;56515,0;38100,27940;396875,27940;378460,0;434975,27940;378460,56515;396875,27940" o:connectangles="0,0,0,0,0,0,0,0,0,0,0,0,0,0,0"/>
              <v:fill on="t" focussize="0,0"/>
              <v:stroke weight="0.05pt"/>
              <v:imagedata o:title=""/>
              <o:lock v:ext="edit"/>
            </v:shape>
            <v:shape id="Freeform 513" o:spid="_x0000_s2428" style="position:absolute;left:6523;top:6038;height:249;width:14;" fillcolor="#000000" filled="t" coordsize="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AqcMA&#10;AADcAAAADwAAAGRycy9kb3ducmV2LnhtbERPS2sCMRC+C/0PYQQvotmKVF2NUqxiS0++8DpsZh90&#10;M9luorv++6YgeJuP7zmLVWtKcaPaFZYVvA4jEMSJ1QVnCk7H7WAKwnlkjaVlUnAnB6vlS2eBsbYN&#10;7+l28JkIIexiVJB7X8VSuiQng25oK+LApbY26AOsM6lrbEK4KeUoit6kwYJDQ44VrXNKfg5Xo+Dy&#10;EbWb6fd6trt8nX+bc5GO+9tUqV63fZ+D8NT6p/jh/tRh/ngC/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AqcMAAADcAAAADwAAAAAAAAAAAAAAAACYAgAAZHJzL2Rv&#10;d25yZXYueG1sUEsFBgAAAAAEAAQA9QAAAIgDAAAAAA==&#10;" path="m14,1l12,249,0,249,3,0,14,1xe">
              <v:path arrowok="t" o:connecttype="custom" o:connectlocs="8890,635;7620,158115;0,158115;1905,0;8890,635" o:connectangles="0,0,0,0,0"/>
              <v:fill on="t" focussize="0,0"/>
              <v:stroke weight="0.05pt"/>
              <v:imagedata o:title=""/>
              <o:lock v:ext="edit"/>
            </v:shape>
            <v:shape id="Freeform 514" o:spid="_x0000_s2429" style="position:absolute;left:5146;top:6116;height:89;width:685;" fillcolor="#000000" filled="t" coordsize="6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q/sMA&#10;AADcAAAADwAAAGRycy9kb3ducmV2LnhtbESPwWrDQAxE74H+w6JAL6FZt5RQnGxCaAn0VJq0HyC8&#10;iu3E0prdre3+fXUo5CYxo5mnzW7izgwUUxvEweOyAENSBd9K7eD76/DwAiZlFI9dEHLwSwl227vZ&#10;BksfRjnScMq10RBJJTpocu5La1PVEGNahp5EtXOIjFnXWFsfcdRw7uxTUawsYyva0GBPrw1V19MP&#10;O7iks6WR37rxMMS0+gyLK/OHc/fzab8Gk2nKN/P/9btX/Gel1Wd0Arv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Zq/sMAAADcAAAADwAAAAAAAAAAAAAAAACYAgAAZHJzL2Rv&#10;d25yZXYueG1sUEsFBgAAAAAEAAQA9QAAAIgDAAAAAA==&#10;" path="m60,38l625,38,625,49,60,49,60,38xm60,44l89,89,0,44,89,0,60,44xm625,44l596,0,685,44,596,89,625,44xe">
              <v:path arrowok="t" o:connecttype="custom" o:connectlocs="38100,24130;396875,24130;396875,31115;38100,31115;38100,24130;38100,27940;56515,56515;0,27940;56515,0;38100,27940;396875,27940;378460,0;434975,27940;378460,56515;396875,27940" o:connectangles="0,0,0,0,0,0,0,0,0,0,0,0,0,0,0"/>
              <v:fill on="t" focussize="0,0"/>
              <v:stroke weight="0.05pt"/>
              <v:imagedata o:title=""/>
              <o:lock v:ext="edit"/>
            </v:shape>
            <v:shape id="Freeform 515" o:spid="_x0000_s2430" style="position:absolute;left:5816;top:6038;height:249;width:13;" fillcolor="#000000" filled="t" coordsize="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mDMIA&#10;AADcAAAADwAAAGRycy9kb3ducmV2LnhtbERPS4vCMBC+L/gfwgjeNPWB7FajLMLqXhR0F70OzdgU&#10;m0lpYtv990YQ9jYf33OW686WoqHaF44VjEcJCOLM6YJzBb8/X8N3ED4gaywdk4I/8rBe9d6WmGrX&#10;8pGaU8hFDGGfogITQpVK6TNDFv3IVcSRu7raYoiwzqWusY3htpSTJJlLiwXHBoMVbQxlt9PdKjhc&#10;2nnwh/N0nG/Nxu93E7o0W6UG/e5zASJQF/7FL/e3jvNnH/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WYMwgAAANwAAAAPAAAAAAAAAAAAAAAAAJgCAABkcnMvZG93&#10;bnJldi54bWxQSwUGAAAAAAQABAD1AAAAhwMAAAAA&#10;" path="m13,1l11,249,0,249,2,0,13,1xe">
              <v:path arrowok="t" o:connecttype="custom" o:connectlocs="8255,635;6985,158115;0,158115;1270,0;8255,635" o:connectangles="0,0,0,0,0"/>
              <v:fill on="t" focussize="0,0"/>
              <v:stroke weight="0.05pt"/>
              <v:imagedata o:title=""/>
              <o:lock v:ext="edit"/>
            </v:shape>
            <v:shape id="Freeform 516" o:spid="_x0000_s2431" style="position:absolute;left:6540;top:6116;height:89;width:685;" fillcolor="#000000" filled="t" coordsize="6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wJcMA&#10;AADcAAAADwAAAGRycy9kb3ducmV2LnhtbESPwWrDQAxE74H+w6JAL6FZt9BQnGxCaAn0VJq0HyC8&#10;iu3E0prdre3+fXUo5CYxo5mnzW7izgwUUxvEweOyAENSBd9K7eD76/DwAiZlFI9dEHLwSwl227vZ&#10;BksfRjnScMq10RBJJTpocu5La1PVEGNahp5EtXOIjFnXWFsfcdRw7uxTUawsYyva0GBPrw1V19MP&#10;O7iks6WR37rxMMS0+gyLK/OHc/fzab8Gk2nKN/P/9btX/GfF12d0Arv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wJcMAAADcAAAADwAAAAAAAAAAAAAAAACYAgAAZHJzL2Rv&#10;d25yZXYueG1sUEsFBgAAAAAEAAQA9QAAAIgDAAAAAA==&#10;" path="m60,38l625,38,625,49,60,49,60,38xm60,44l89,89,0,44,89,0,60,44xm625,44l596,0,685,44,596,89,625,44xe">
              <v:path arrowok="t" o:connecttype="custom" o:connectlocs="38100,24130;396875,24130;396875,31115;38100,31115;38100,24130;38100,27940;56515,56515;0,27940;56515,0;38100,27940;396875,27940;378460,0;434975,27940;378460,56515;396875,27940" o:connectangles="0,0,0,0,0,0,0,0,0,0,0,0,0,0,0"/>
              <v:fill on="t" focussize="0,0"/>
              <v:stroke weight="0.05pt"/>
              <v:imagedata o:title=""/>
              <o:lock v:ext="edit"/>
            </v:shape>
            <v:shape id="Freeform 517" o:spid="_x0000_s2432" style="position:absolute;left:7209;top:6038;height:249;width:13;" fillcolor="#000000" filled="t" coordsize="1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7818EA&#10;AADcAAAADwAAAGRycy9kb3ducmV2LnhtbERPS4vCMBC+C/6HMII3TausLF2jLIKPywrril6HZrYp&#10;20xKE9v6740g7G0+vucs172tREuNLx0rSKcJCOLc6ZILBeef7eQdhA/IGivHpOBOHtar4WCJmXYd&#10;f1N7CoWIIewzVGBCqDMpfW7Iop+6mjhyv66xGCJsCqkb7GK4reQsSRbSYsmxwWBNG0P53+lmFRyv&#10;3SL442WeFjuz8V/7GV3bnVLjUf/5ASJQH/7FL/dBx/lvKTyf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O/NfBAAAA3AAAAA8AAAAAAAAAAAAAAAAAmAIAAGRycy9kb3du&#10;cmV2LnhtbFBLBQYAAAAABAAEAPUAAACGAwAAAAA=&#10;" path="m13,1l11,249,0,249,2,0,13,1xe">
              <v:path arrowok="t" o:connecttype="custom" o:connectlocs="8255,635;6985,158115;0,158115;1270,0;8255,635" o:connectangles="0,0,0,0,0"/>
              <v:fill on="t" focussize="0,0"/>
              <v:stroke weight="0.05pt"/>
              <v:imagedata o:title=""/>
              <o:lock v:ext="edit"/>
            </v:shape>
            <v:rect id="Rectangle 526" o:spid="_x0000_s2433" o:spt="1" style="position:absolute;left:4086;top:5988;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rect id="Rectangle 527" o:spid="_x0000_s2434" o:spt="1" style="position:absolute;left:4750;top:5988;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rect id="Rectangle 528" o:spid="_x0000_s2435" o:spt="1" style="position:absolute;left:5414;top:5988;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rect id="Rectangle 529" o:spid="_x0000_s2436" o:spt="1" style="position:absolute;left:6077;top:5988;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rect id="Rectangle 530" o:spid="_x0000_s2437" o:spt="1" style="position:absolute;left:6824;top:5988;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shape id="Freeform 535" o:spid="_x0000_s2438" style="position:absolute;left:4394;top:6259;height:166;width:166;" fillcolor="#CC99FF" filled="t" stroked="f"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kzsIA&#10;AADcAAAADwAAAGRycy9kb3ducmV2LnhtbERPTWsCMRC9C/0PYQq9iGbbg+hqFFEsPRVcW/Q4bMbs&#10;4mayJKnu/vtGELzN433OYtXZRlzJh9qxgvdxBoK4dLpmo+DnsBtNQYSIrLFxTAp6CrBavgwWmGt3&#10;4z1di2hECuGQo4IqxjaXMpQVWQxj1xIn7uy8xZigN1J7vKVw28iPLJtIizWnhgpb2lRUXoo/q2Bb&#10;7KYzHn7+huNZ9r3/Nk1/Mkq9vXbrOYhIXXyKH+4vneZPZnB/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OTOwgAAANwAAAAPAAAAAAAAAAAAAAAAAJgCAABkcnMvZG93&#10;bnJldi54bWxQSwUGAAAAAAQABAD1AAAAhwMAAAAA&#10;" path="m0,64l64,64,83,0,103,64,166,64,115,103,135,166,83,127,32,166,52,103,0,64xe">
              <v:path arrowok="t" o:connecttype="custom" o:connectlocs="0,40640;40640,40640;52705,0;65405,40640;105410,40640;73025,65405;85725,105410;52705,80645;20320,105410;33020,65405;0,40640" o:connectangles="0,0,0,0,0,0,0,0,0,0,0"/>
              <v:fill on="t" focussize="0,0"/>
              <v:stroke on="f"/>
              <v:imagedata o:title=""/>
              <o:lock v:ext="edit"/>
            </v:shape>
            <v:shape id="Freeform 536" o:spid="_x0000_s2439" style="position:absolute;left:4378;top:6241;height:199;width:199;" fillcolor="#000000" filled="t"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8+cQA&#10;AADcAAAADwAAAGRycy9kb3ducmV2LnhtbESPQW/CMAyF70j7D5En7QbpYALWERAMITghwba71Xht&#10;tcSpmlDKv58PSNxsvef3Pi9WvXeqozbWgQ28jjJQxEWwNZcGvr92wzmomJAtusBk4EYRVsunwQJz&#10;G658ou6cSiUhHHM0UKXU5FrHoiKPcRQaYtF+Q+sxydqW2rZ4lXDv9DjLptpjzdJQYUOfFRV/54s3&#10;0Lv5drKbHF297zZvP9O99Qf/bszLc7/+AJWoTw/z/fpgBX8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PPnEAAAA3AAAAA8AAAAAAAAAAAAAAAAAmAIAAGRycy9k&#10;b3ducmV2LnhtbFBLBQYAAAAABAAEAPUAAACJAwAAAAA=&#10;" path="m0,76l80,76,74,80,99,0,124,80,119,76,199,76,134,125,136,119,161,199,96,149,102,149,37,199,62,119,64,125,0,76xm74,119l53,186,44,180,99,138,154,180,145,186,125,119,179,78,182,87,115,87,94,20,105,20,84,87,16,87,20,78,74,119xe">
              <v:path arrowok="t" o:connecttype="custom" o:connectlocs="0,48260;50800,48260;46990,50800;62865,0;78740,50800;75565,48260;126365,48260;85090,79375;86360,75565;102235,126365;60960,94615;64770,94615;23495,126365;39370,75565;40640,79375;0,48260;46990,75565;33655,118110;27940,114300;62865,87630;97790,114300;92075,118110;79375,75565;113665,49530;115570,55245;73025,55245;59690,12700;66675,12700;53340,55245;10160,55245;12700,49530;46990,75565" o:connectangles="0,0,0,0,0,0,0,0,0,0,0,0,0,0,0,0,0,0,0,0,0,0,0,0,0,0,0,0,0,0,0,0"/>
              <v:fill on="t" focussize="0,0"/>
              <v:stroke weight="0.05pt"/>
              <v:imagedata o:title=""/>
              <o:lock v:ext="edit"/>
            </v:shape>
            <v:shape id="Freeform 537" o:spid="_x0000_s2440" style="position:absolute;left:5080;top:6259;height:166;width:177;" fillcolor="#CC99FF" filled="t" stroked="f" coordsize="17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AIcMA&#10;AADcAAAADwAAAGRycy9kb3ducmV2LnhtbERPPU/DMBDdkfgP1iGxUacZoE3rVlCBQGJq0gG2U3yN&#10;o8bn1DZJ+PcYqVK3e3qft95OthMD+dA6VjCfZSCIa6dbbhQcqreHBYgQkTV2jknBLwXYbm5v1lho&#10;N/KehjI2IoVwKFCBibEvpAy1IYth5nrixB2dtxgT9I3UHscUbjuZZ9mjtNhyajDY085QfSp/rILP&#10;4cXn1de5pIU5fI/v+nWZnzKl7u+m5xWISFO8ii/uD53mP83h/5l0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AIcMAAADcAAAADwAAAAAAAAAAAAAAAACYAgAAZHJzL2Rv&#10;d25yZXYueG1sUEsFBgAAAAAEAAQA9QAAAIgDAAAAAA==&#10;" path="m0,64l68,64,88,0,110,64,177,64,122,103,144,166,88,127,34,166,55,103,0,64xe">
              <v:path arrowok="t" o:connecttype="custom" o:connectlocs="0,40640;43180,40640;55880,0;69850,40640;112395,40640;77470,65405;91440,105410;55880,80645;21590,105410;34925,65405;0,40640" o:connectangles="0,0,0,0,0,0,0,0,0,0,0"/>
              <v:fill on="t" focussize="0,0"/>
              <v:stroke on="f"/>
              <v:imagedata o:title=""/>
              <o:lock v:ext="edit"/>
            </v:shape>
            <v:shape id="Freeform 538" o:spid="_x0000_s2441" style="position:absolute;left:5063;top:6242;height:197;width:211;" fillcolor="#000000" filled="t" coordsize="2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VYsQA&#10;AADcAAAADwAAAGRycy9kb3ducmV2LnhtbERPS2vCQBC+F/oflhG8FN0YsEp0lSpapOLBB3odsmOS&#10;NjsbsluN/nq3IPQ2H99zxtPGlOJCtSssK+h1IxDEqdUFZwoO+2VnCMJ5ZI2lZVJwIwfTyevLGBNt&#10;r7yly85nIoSwS1BB7n2VSOnSnAy6rq2IA3e2tUEfYJ1JXeM1hJtSxlH0Lg0WHBpyrGieU/qz+zUK&#10;+tH6O42/ToPsLZ7dj583v7DVRql2q/kYgfDU+H/x073SYf4ghr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FWLEAAAA3AAAAA8AAAAAAAAAAAAAAAAAmAIAAGRycy9k&#10;b3ducmV2LnhtbFBLBQYAAAAABAAEAPUAAACJAwAAAAA=&#10;" path="m0,75l85,75,80,79,105,0,132,79,127,75,211,75,143,124,145,118,171,197,103,148,109,148,40,197,67,118,69,124,0,75xm78,118l56,185,48,179,105,137,163,179,155,185,133,118,191,77,194,86,123,86,101,19,111,19,89,86,17,86,20,77,78,118xe">
              <v:path arrowok="t" o:connecttype="custom" o:connectlocs="0,47625;53975,47625;50800,50165;66675,0;83820,50165;80645,47625;133985,47625;90805,78740;92075,74930;108585,125095;65405,93980;69215,93980;25400,125095;42545,74930;43815,78740;0,47625;49530,74930;35560,117475;30480,113665;66675,86995;103505,113665;98425,117475;84455,74930;121285,48895;123190,54610;78105,54610;64135,12065;70485,12065;56515,54610;10795,54610;12700,48895;49530,74930" o:connectangles="0,0,0,0,0,0,0,0,0,0,0,0,0,0,0,0,0,0,0,0,0,0,0,0,0,0,0,0,0,0,0,0"/>
              <v:fill on="t" focussize="0,0"/>
              <v:stroke weight="0.05pt"/>
              <v:imagedata o:title=""/>
              <o:lock v:ext="edit"/>
            </v:shape>
            <v:shape id="Freeform 539" o:spid="_x0000_s2442" style="position:absolute;left:5744;top:6259;height:166;width:177;" fillcolor="#CC99FF" filled="t" stroked="f" coordsize="17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7zcMA&#10;AADcAAAADwAAAGRycy9kb3ducmV2LnhtbERPTUvDQBC9C/6HZQRvdtMItU27LSqKBU+mPbS3ITvN&#10;hmZn4+6apP++Kwje5vE+Z7UZbSt68qFxrGA6yUAQV043XCvY794f5iBCRNbYOiYFFwqwWd/erLDQ&#10;buAv6stYixTCoUAFJsaukDJUhiyGieuIE3dy3mJM0NdSexxSuG1lnmUzabHh1GCwo1dD1bn8sQo+&#10;+xef7w7fJc3N/jh86LdFfs6Uur8bn5cgIo3xX/zn3uo0/+kRfp9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47zcMAAADcAAAADwAAAAAAAAAAAAAAAACYAgAAZHJzL2Rv&#10;d25yZXYueG1sUEsFBgAAAAAEAAQA9QAAAIgDAAAAAA==&#10;" path="m0,64l67,64,88,0,110,64,177,64,122,103,143,166,88,127,33,166,55,103,0,64xe">
              <v:path arrowok="t" o:connecttype="custom" o:connectlocs="0,40640;42545,40640;55880,0;69850,40640;112395,40640;77470,65405;90805,105410;55880,80645;20955,105410;34925,65405;0,40640" o:connectangles="0,0,0,0,0,0,0,0,0,0,0"/>
              <v:fill on="t" focussize="0,0"/>
              <v:stroke on="f"/>
              <v:imagedata o:title=""/>
              <o:lock v:ext="edit"/>
            </v:shape>
            <v:shape id="Freeform 540" o:spid="_x0000_s2443" style="position:absolute;left:5727;top:6242;height:197;width:211;" fillcolor="#000000" filled="t" coordsize="2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ojcUA&#10;AADcAAAADwAAAGRycy9kb3ducmV2LnhtbERPS2vCQBC+C/6HZQq9SN00+CK6ii1WpMVDtdTrkJ0m&#10;0exsyK4a++tdQfA2H99zJrPGlOJEtSssK3jtRiCIU6sLzhT8bD9eRiCcR9ZYWiYFF3Iwm7ZbE0y0&#10;PfM3nTY+EyGEXYIKcu+rREqX5mTQdW1FHLg/Wxv0AdaZ1DWeQ7gpZRxFA2mw4NCQY0XvOaWHzdEo&#10;6Edf+zT+3A2zTvz2/7u8+IWt1ko9PzXzMQhPjX+I7+6VDvOHPbg9Ey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SiNxQAAANwAAAAPAAAAAAAAAAAAAAAAAJgCAABkcnMv&#10;ZG93bnJldi54bWxQSwUGAAAAAAQABAD1AAAAigMAAAAA&#10;" path="m0,75l84,75,80,79,105,0,131,79,127,75,211,75,142,124,145,118,171,197,102,148,109,148,40,197,66,118,68,124,0,75xm78,118l56,185,48,179,105,137,163,179,155,185,133,118,191,77,194,86,122,86,100,19,111,19,89,86,17,86,20,77,78,118xe">
              <v:path arrowok="t" o:connecttype="custom" o:connectlocs="0,47625;53340,47625;50800,50165;66675,0;83185,50165;80645,47625;133985,47625;90170,78740;92075,74930;108585,125095;64770,93980;69215,93980;25400,125095;41910,74930;43180,78740;0,47625;49530,74930;35560,117475;30480,113665;66675,86995;103505,113665;98425,117475;84455,74930;121285,48895;123190,54610;77470,54610;63500,12065;70485,12065;56515,54610;10795,54610;12700,48895;49530,74930" o:connectangles="0,0,0,0,0,0,0,0,0,0,0,0,0,0,0,0,0,0,0,0,0,0,0,0,0,0,0,0,0,0,0,0"/>
              <v:fill on="t" focussize="0,0"/>
              <v:stroke weight="0.05pt"/>
              <v:imagedata o:title=""/>
              <o:lock v:ext="edit"/>
            </v:shape>
            <v:shape id="Freeform 541" o:spid="_x0000_s2444" style="position:absolute;left:6441;top:6259;height:166;width:165;" fillcolor="#CC99FF" filled="t" stroked="f" coordsize="16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z8QA&#10;AADcAAAADwAAAGRycy9kb3ducmV2LnhtbERPTWvCQBC9C/0PyxR6000Lao2uIoVC8WA1bQ/exuyY&#10;TZudDdk1if++Kwje5vE+Z7HqbSVaanzpWMHzKAFBnDtdcqHg++t9+ArCB2SNlWNScCEPq+XDYIGp&#10;dh3vqc1CIWII+xQVmBDqVEqfG7LoR64mjtzJNRZDhE0hdYNdDLeVfEmSibRYcmwwWNObofwvO1sF&#10;P8lxfd66gy5nn7+n2dh0dNjslHp67NdzEIH6cBff3B86zp+O4fpMv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AM/EAAAA3AAAAA8AAAAAAAAAAAAAAAAAmAIAAGRycy9k&#10;b3ducmV2LnhtbFBLBQYAAAAABAAEAPUAAACJAwAAAAA=&#10;" path="m0,64l63,64,82,0,103,64,165,64,114,103,134,166,82,127,31,166,51,103,0,64xe">
              <v:path arrowok="t" o:connecttype="custom" o:connectlocs="0,40640;40005,40640;52070,0;65405,40640;104775,40640;72390,65405;85090,105410;52070,80645;19685,105410;32385,65405;0,40640" o:connectangles="0,0,0,0,0,0,0,0,0,0,0"/>
              <v:fill on="t" focussize="0,0"/>
              <v:stroke on="f"/>
              <v:imagedata o:title=""/>
              <o:lock v:ext="edit"/>
            </v:shape>
            <v:shape id="Freeform 542" o:spid="_x0000_s2445" style="position:absolute;left:6425;top:6241;height:199;width:198;" fillcolor="#000000" filled="t"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wbcEA&#10;AADcAAAADwAAAGRycy9kb3ducmV2LnhtbERPS2sCMRC+F/wPYQRvNauHbdkaRUXBU6E+8Dpsprtp&#10;N5OQxHX9902h0Nt8fM9ZrAbbiZ5CNI4VzKYFCOLaacONgvNp//wKIiZkjZ1jUvCgCKvl6GmBlXZ3&#10;/qD+mBqRQzhWqKBNyVdSxroli3HqPHHmPl2wmDIMjdQB7zncdnJeFKW0aDg3tOhp21L9fbxZBUUZ&#10;rqZ8zOTF7957v7Ff5tadlJqMh/UbiERD+hf/uQ86z38p4f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IcG3BAAAA3AAAAA8AAAAAAAAAAAAAAAAAmAIAAGRycy9kb3du&#10;cmV2LnhtbFBLBQYAAAAABAAEAPUAAACGAwAAAAA=&#10;" path="m0,76l79,76,74,80,98,0,123,80,119,76,198,76,134,125,136,119,161,199,96,149,102,149,37,199,62,119,64,125,0,76xm74,119l53,186,44,180,98,138,153,180,145,186,124,119,179,78,181,87,114,87,94,20,104,20,83,87,16,87,19,78,74,119xe">
              <v:path arrowok="t" o:connecttype="custom" o:connectlocs="0,48260;50165,48260;46990,50800;62230,0;78105,50800;75565,48260;125730,48260;85090,79375;86360,75565;102235,126365;60960,94615;64770,94615;23495,126365;39370,75565;40640,79375;0,48260;46990,75565;33655,118110;27940,114300;62230,87630;97155,114300;92075,118110;78740,75565;113665,49530;114935,55245;72390,55245;59690,12700;66040,12700;52705,55245;10160,55245;12065,49530;46990,75565" o:connectangles="0,0,0,0,0,0,0,0,0,0,0,0,0,0,0,0,0,0,0,0,0,0,0,0,0,0,0,0,0,0,0,0"/>
              <v:fill on="t" focussize="0,0"/>
              <v:stroke weight="0.05pt"/>
              <v:imagedata o:title=""/>
              <o:lock v:ext="edit"/>
            </v:shape>
            <v:shape id="Freeform 543" o:spid="_x0000_s2446" style="position:absolute;left:7137;top:6259;height:166;width:166;" fillcolor="#CC99FF" filled="t" stroked="f"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D+sIA&#10;AADcAAAADwAAAGRycy9kb3ducmV2LnhtbERPTWsCMRC9C/0PYQpeRLN6qHZrlGKx9CS4Wuxx2IzZ&#10;pZvJkqS6++8bQfA2j/c5y3VnG3EhH2rHCqaTDARx6XTNRsHxsB0vQISIrLFxTAp6CrBePQ2WmGt3&#10;5T1dimhECuGQo4IqxjaXMpQVWQwT1xIn7uy8xZigN1J7vKZw28hZlr1IizWnhgpb2lRU/hZ/VsFH&#10;sV288ujzO5zOsu/9zjT9j1Fq+Ny9v4GI1MWH+O7+0mn+fA6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kP6wgAAANwAAAAPAAAAAAAAAAAAAAAAAJgCAABkcnMvZG93&#10;bnJldi54bWxQSwUGAAAAAAQABAD1AAAAhwMAAAAA&#10;" path="m0,64l64,64,83,0,103,64,166,64,115,103,135,166,83,127,32,166,52,103,0,64xe">
              <v:path arrowok="t" o:connecttype="custom" o:connectlocs="0,40640;40640,40640;52705,0;65405,40640;105410,40640;73025,65405;85725,105410;52705,80645;20320,105410;33020,65405;0,40640" o:connectangles="0,0,0,0,0,0,0,0,0,0,0"/>
              <v:fill on="t" focussize="0,0"/>
              <v:stroke on="f"/>
              <v:imagedata o:title=""/>
              <o:lock v:ext="edit"/>
            </v:shape>
            <v:shape id="Freeform 544" o:spid="_x0000_s2447" style="position:absolute;left:7122;top:6241;height:199;width:198;" fillcolor="#000000" filled="t"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BhMQA&#10;AADcAAAADwAAAGRycy9kb3ducmV2LnhtbESPQU/DMAyF70j7D5EncWPpOBRUlk1sAokTEhuIq9V4&#10;bUbjREnWdf8eH5C42XrP731ebSY/qJFSdoENLBcVKOI2WMedgc/D690jqFyQLQ6BycCVMmzWs5sV&#10;NjZc+IPGfemUhHBu0EBfSmy0zm1PHvMiRGLRjiF5LLKmTtuEFwn3g76vqlp7dCwNPUba9dT+7M/e&#10;QFWnb1dfl/orvryPcetP7jwcjLmdT89PoApN5d/8d/1mBf9B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QYTEAAAA3AAAAA8AAAAAAAAAAAAAAAAAmAIAAGRycy9k&#10;b3ducmV2LnhtbFBLBQYAAAAABAAEAPUAAACJAwAAAAA=&#10;" path="m0,76l79,76,73,80,98,0,123,80,118,76,198,76,134,125,136,119,161,199,96,149,102,149,37,199,62,119,64,125,0,76xm73,119l53,186,44,180,98,138,153,180,145,186,124,119,179,78,181,87,114,87,94,20,104,20,83,87,15,87,19,78,73,119xe">
              <v:path arrowok="t" o:connecttype="custom" o:connectlocs="0,48260;50165,48260;46355,50800;62230,0;78105,50800;74930,48260;125730,48260;85090,79375;86360,75565;102235,126365;60960,94615;64770,94615;23495,126365;39370,75565;40640,79375;0,48260;46355,75565;33655,118110;27940,114300;62230,87630;97155,114300;92075,118110;78740,75565;113665,49530;114935,55245;72390,55245;59690,12700;66040,12700;52705,55245;9525,55245;12065,49530;46355,75565" o:connectangles="0,0,0,0,0,0,0,0,0,0,0,0,0,0,0,0,0,0,0,0,0,0,0,0,0,0,0,0,0,0,0,0"/>
              <v:fill on="t" focussize="0,0"/>
              <v:stroke weight="0.05pt"/>
              <v:imagedata o:title=""/>
              <o:lock v:ext="edit"/>
            </v:shape>
            <v:rect id="Rectangle 553" o:spid="_x0000_s2448" o:spt="1" style="position:absolute;left:7893;top:6038;height:312;width:176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v:path/>
              <v:fill on="f" focussize="0,0"/>
              <v:stroke on="f"/>
              <v:imagedata o:title=""/>
              <o:lock v:ext="edit"/>
              <v:textbox inset="0mm,0mm,0mm,0mm" style="mso-fit-shape-to-text:t;">
                <w:txbxContent>
                  <w:p>
                    <w:pPr>
                      <w:ind w:firstLine="320"/>
                    </w:pPr>
                    <w:r>
                      <w:rPr>
                        <w:rFonts w:hint="eastAsia" w:ascii="华文楷体" w:eastAsia="华文楷体" w:cs="华文楷体"/>
                        <w:color w:val="000000"/>
                        <w:sz w:val="16"/>
                        <w:szCs w:val="16"/>
                      </w:rPr>
                      <w:t>表示后面省略未画出</w:t>
                    </w:r>
                  </w:p>
                </w:txbxContent>
              </v:textbox>
            </v:rect>
            <v:shape id="Freeform 555" o:spid="_x0000_s2449" style="position:absolute;left:3697;top:6259;height:166;width:166;" fillcolor="#CC99FF" filled="t" stroked="f" coordsize="1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CNMIA&#10;AADcAAAADwAAAGRycy9kb3ducmV2LnhtbERPTWsCMRC9F/wPYYReimbbQ1m3RhGLxVPB1VKPw2bM&#10;Lt1MliTV3X9vBMHbPN7nzJe9bcWZfGgcK3idZiCIK6cbNgoO+80kBxEissbWMSkYKMByMXqaY6Hd&#10;hXd0LqMRKYRDgQrqGLtCylDVZDFMXUecuJPzFmOC3kjt8ZLCbSvfsuxdWmw4NdTY0bqm6q/8two+&#10;y00+45evn/B7ksPgv007HI1Sz+N+9QEiUh8f4rt7q9P8fAa3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AI0wgAAANwAAAAPAAAAAAAAAAAAAAAAAJgCAABkcnMvZG93&#10;bnJldi54bWxQSwUGAAAAAAQABAD1AAAAhwMAAAAA&#10;" path="m0,64l64,64,83,0,103,64,166,64,115,103,135,166,83,127,32,166,52,103,0,64xe">
              <v:path arrowok="t" o:connecttype="custom" o:connectlocs="0,40640;40640,40640;52705,0;65405,40640;105410,40640;73025,65405;85725,105410;52705,80645;20320,105410;33020,65405;0,40640" o:connectangles="0,0,0,0,0,0,0,0,0,0,0"/>
              <v:fill on="t" focussize="0,0"/>
              <v:stroke on="f"/>
              <v:imagedata o:title=""/>
              <o:lock v:ext="edit"/>
            </v:shape>
            <v:shape id="Freeform 556" o:spid="_x0000_s2450" style="position:absolute;left:3681;top:6241;height:199;width:199;" fillcolor="#000000" filled="t" coordsize="19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8QA&#10;AADcAAAADwAAAGRycy9kb3ducmV2LnhtbESPT2/CMAzF75P4DpGRuI2UgRB0BMSGEJyQ+LO71Xht&#10;tcSpmqx0334+IHGz9Z7f+3m16b1THbWxDmxgMs5AERfB1lwauF33rwtQMSFbdIHJwB9F2KwHLyvM&#10;bbjzmbpLKpWEcMzRQJVSk2sdi4o8xnFoiEX7Dq3HJGtbatviXcK9029ZNtcea5aGChv6rKj4ufx6&#10;A71b7Kb76cnVh+5j9jU/WH/0S2NGw377DipRn57mx/XRCv5S8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2gPEAAAA3AAAAA8AAAAAAAAAAAAAAAAAmAIAAGRycy9k&#10;b3ducmV2LnhtbFBLBQYAAAAABAAEAPUAAACJAwAAAAA=&#10;" path="m0,76l80,76,74,80,99,0,124,80,119,76,199,76,134,125,136,119,161,199,96,149,103,149,38,199,62,119,65,125,0,76xm74,119l53,186,44,180,99,138,154,180,145,186,125,119,179,78,182,87,115,87,94,20,105,20,84,87,16,87,20,78,74,119xe">
              <v:path arrowok="t" o:connecttype="custom" o:connectlocs="0,48260;50800,48260;46990,50800;62865,0;78740,50800;75565,48260;126365,48260;85090,79375;86360,75565;102235,126365;60960,94615;65405,94615;24130,126365;39370,75565;41275,79375;0,48260;46990,75565;33655,118110;27940,114300;62865,87630;97790,114300;92075,118110;79375,75565;113665,49530;115570,55245;73025,55245;59690,12700;66675,12700;53340,55245;10160,55245;12700,49530;46990,75565" o:connectangles="0,0,0,0,0,0,0,0,0,0,0,0,0,0,0,0,0,0,0,0,0,0,0,0,0,0,0,0,0,0,0,0"/>
              <v:fill on="t" focussize="0,0"/>
              <v:stroke weight="0.05pt"/>
              <v:imagedata o:title=""/>
              <o:lock v:ext="edit"/>
            </v:shape>
            <v:rect id="Rectangle 570" o:spid="_x0000_s2452" o:spt="1" style="position:absolute;left:2863;top:6483;height:471;width:84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v:path/>
              <v:fill on="f" focussize="0,0"/>
              <v:stroke on="f"/>
              <v:imagedata o:title=""/>
              <o:lock v:ext="edit"/>
              <v:textbox inset="0mm,0mm,0mm,0mm">
                <w:txbxContent>
                  <w:p>
                    <w:pPr>
                      <w:rPr>
                        <w:szCs w:val="21"/>
                      </w:rPr>
                    </w:pPr>
                    <w:r>
                      <w:rPr>
                        <w:szCs w:val="21"/>
                      </w:rPr>
                      <w:t>20m</w:t>
                    </w:r>
                  </w:p>
                </w:txbxContent>
              </v:textbox>
            </v:rect>
            <v:group id="_x0000_s2494" o:spid="_x0000_s2494" o:spt="203" style="position:absolute;left:3386;top:1155;height:6666;width:7680;" coordorigin="3386,1155" coordsize="7680,6666">
              <o:lock v:ext="edit"/>
              <v:rect id="Rectangle 486" o:spid="_x0000_s2419" o:spt="1" style="position:absolute;left:7388;top:2618;height:312;width:176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v:path/>
                <v:fill on="f" focussize="0,0"/>
                <v:stroke on="f"/>
                <v:imagedata o:title=""/>
                <o:lock v:ext="edit"/>
                <v:textbox inset="0mm,0mm,0mm,0mm" style="mso-fit-shape-to-text:t;">
                  <w:txbxContent>
                    <w:p>
                      <w:pPr>
                        <w:ind w:firstLine="320"/>
                      </w:pPr>
                      <w:r>
                        <w:rPr>
                          <w:rFonts w:hint="eastAsia" w:ascii="华文楷体" w:eastAsia="华文楷体" w:cs="华文楷体"/>
                          <w:color w:val="000000"/>
                          <w:sz w:val="16"/>
                          <w:szCs w:val="16"/>
                        </w:rPr>
                        <w:t>表示后面省略未画出</w:t>
                      </w:r>
                    </w:p>
                  </w:txbxContent>
                </v:textbox>
              </v:rect>
              <v:group id="_x0000_s2465" o:spid="_x0000_s2465" o:spt="203" style="position:absolute;left:3386;top:1155;height:6666;width:7680;" coordorigin="3386,1155" coordsize="7680,6666">
                <o:lock v:ext="edit"/>
                <v:rect id="Rectangle 460" o:spid="_x0000_s2404" o:spt="1" style="position:absolute;left:4105;top:2636;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group id="_x0000_s2464" o:spid="_x0000_s2464" o:spt="203" style="position:absolute;left:3386;top:1155;height:6666;width:7680;" coordorigin="3386,1155" coordsize="7680,6666">
                  <o:lock v:ext="edit"/>
                  <v:rect id="Rectangle 462" o:spid="_x0000_s2406" o:spt="1" style="position:absolute;left:5432;top:2636;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group id="_x0000_s2463" o:spid="_x0000_s2463" o:spt="203" style="position:absolute;left:3386;top:1155;height:6666;width:7680;" coordorigin="3386,1155" coordsize="7680,6666">
                    <o:lock v:ext="edit"/>
                    <v:rect id="Rectangle 463" o:spid="_x0000_s2407" o:spt="1" style="position:absolute;left:6096;top:2636;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group id="_x0000_s2462" o:spid="_x0000_s2462" o:spt="203" style="position:absolute;left:3386;top:1155;height:6666;width:7680;" coordorigin="3386,1155" coordsize="7680,6666">
                      <o:lock v:ext="edit"/>
                      <v:rect id="Rectangle 464" o:spid="_x0000_s2408" o:spt="1" style="position:absolute;left:6843;top:2636;height:312;width:22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v:path/>
                        <v:fill on="f" focussize="0,0"/>
                        <v:stroke on="f"/>
                        <v:imagedata o:title=""/>
                        <o:lock v:ext="edit"/>
                        <v:textbox inset="0mm,0mm,0mm,0mm" style="mso-fit-shape-to-text:t;">
                          <w:txbxContent>
                            <w:p>
                              <w:r>
                                <w:rPr>
                                  <w:rFonts w:ascii="Arial" w:hAnsi="Arial" w:cs="Arial"/>
                                  <w:color w:val="000000"/>
                                  <w:sz w:val="16"/>
                                  <w:szCs w:val="16"/>
                                </w:rPr>
                                <w:t>5m</w:t>
                              </w:r>
                            </w:p>
                          </w:txbxContent>
                        </v:textbox>
                      </v:rect>
                      <v:group id="_x0000_s2461" o:spid="_x0000_s2461" o:spt="203" style="position:absolute;left:3386;top:1155;height:6666;width:7680;" coordorigin="3386,1155" coordsize="7680,6666">
                        <o:lock v:ext="edit"/>
                        <v:shape id="Freeform 441" o:spid="_x0000_s2393" style="position:absolute;left:3812;top:2767;height:89;width:686;" fillcolor="#000000" filled="t" coordsize="6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lS8MA&#10;AADbAAAADwAAAGRycy9kb3ducmV2LnhtbESPQWvCQBSE7wX/w/IKXkrdVUgMqatoQejR2uL5kX1N&#10;QrJvw+5Wo7++Kwg9DjPzDbPajLYXZ/KhdaxhPlMgiCtnWq41fH/tXwsQISIb7B2ThisF2KwnTyss&#10;jbvwJ52PsRYJwqFEDU2MQyllqBqyGGZuIE7ej/MWY5K+lsbjJcFtLxdK5dJiy2mhwYHeG6q646/V&#10;sOvaAxZ5dsBs/3LK80Ipf+u0nj6P2zcQkcb4H360P4yGZQb3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lS8MAAADbAAAADwAAAAAAAAAAAAAAAACYAgAAZHJzL2Rv&#10;d25yZXYueG1sUEsFBgAAAAAEAAQA9QAAAIgDAAAAAA==&#10;" path="m59,38l627,38,627,49,59,49,59,38xm59,44l89,89,0,44,89,0,59,44xm627,44l597,0,686,44,597,89,627,44xe">
                          <v:path arrowok="t" o:connecttype="custom" o:connectlocs="59,38;627,38;627,49;59,49;59,38;59,44;89,89;0,44;89,0;59,44;627,44;597,0;686,44;597,89;627,44" o:connectangles="0,0,0,0,0,0,0,0,0,0,0,0,0,0,0"/>
                          <v:fill on="t" focussize="0,0"/>
                          <v:stroke weight="0.05pt"/>
                          <v:imagedata o:title=""/>
                          <o:lock v:ext="edit"/>
                        </v:shape>
                        <v:shape id="Freeform 443" o:spid="_x0000_s2395" style="position:absolute;left:4498;top:2767;height:89;width:684;" fillcolor="#000000" filled="t" coordsize="6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bM8IA&#10;AADbAAAADwAAAGRycy9kb3ducmV2LnhtbESPQWvCQBSE74L/YXmCN93oQSV1lSJRCr1o9Ac8sq9J&#10;aPZtzNua+O+7hYLHYWa+Ybb7wTXqQZ3Ung0s5gko4sLbmksDt+txtgElAdli45kMPElgvxuPtpha&#10;3/OFHnkoVYSwpGigCqFNtZaiIocy9y1x9L585zBE2ZXadthHuGv0MklW2mHNcaHClg4VFd/5jzOQ&#10;ba6NHPJzfX5m95PPTvJZ9GLMdDK8v4EKNIRX+L/9YQ2s1/D3Jf4A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ZszwgAAANsAAAAPAAAAAAAAAAAAAAAAAJgCAABkcnMvZG93&#10;bnJldi54bWxQSwUGAAAAAAQABAD1AAAAhwMAAAAA&#10;" path="m59,38l625,38,625,49,59,49,59,38xm59,44l89,89,0,44,89,0,59,44xm625,44l596,0,684,44,596,89,625,44xe">
                          <v:path arrowok="t" o:connecttype="custom" o:connectlocs="59,38;625,38;625,49;59,49;59,38;59,44;89,89;0,44;89,0;59,44;625,44;596,0;684,44;596,89;625,44" o:connectangles="0,0,0,0,0,0,0,0,0,0,0,0,0,0,0"/>
                          <v:fill on="t" focussize="0,0"/>
                          <v:stroke weight="0.05pt"/>
                          <v:imagedata o:title=""/>
                          <o:lock v:ext="edit"/>
                        </v:shape>
                        <v:shape id="Freeform 446" o:spid="_x0000_s2398" style="position:absolute;left:5858;top:2767;height:89;width:685;" fillcolor="#000000" filled="t" coordsize="6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hs78A&#10;AADbAAAADwAAAGRycy9kb3ducmV2LnhtbERPS2rDMBDdF3oHMYVuSiK3i2AcKyGkBLoqrZsDDNb4&#10;k3hGRlJt9/bVIpDl4/3L/cKDmsiH3omB13UGiqR2tpfWwPnntMpBhYhicXBCBv4owH73+FBiYd0s&#10;3zRVsVUpREKBBroYx0LrUHfEGNZuJElc4zxjTNC32nqcUzgP+i3LNpqxl9TQ4UjHjupr9csGLqHR&#10;NPP7MJ8mHzZf7uXK/GnM89Ny2IKKtMS7+Ob+sAbytD59ST9A7/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GzvwAAANsAAAAPAAAAAAAAAAAAAAAAAJgCAABkcnMvZG93bnJl&#10;di54bWxQSwUGAAAAAAQABAD1AAAAhAMAAAAA&#10;" path="m60,38l625,38,625,49,60,49,60,38xm60,44l89,89,0,44,89,0,60,44xm625,44l596,0,685,44,596,89,625,44xe">
                          <v:path arrowok="t" o:connecttype="custom" o:connectlocs="60,38;625,38;625,49;60,49;60,38;60,44;89,89;0,44;89,0;60,44;625,44;596,0;685,44;596,89;625,44" o:connectangles="0,0,0,0,0,0,0,0,0,0,0,0,0,0,0"/>
                          <v:fill on="t" focussize="0,0"/>
                          <v:stroke weight="0.05pt"/>
                          <v:imagedata o:title=""/>
                          <o:lock v:ext="edit"/>
                        </v:shape>
                        <v:shape id="Freeform 448" o:spid="_x0000_s2400" style="position:absolute;left:5161;top:2767;height:89;width:685;" fillcolor="#000000" filled="t" coordsize="6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aX8EA&#10;AADbAAAADwAAAGRycy9kb3ducmV2LnhtbESPQWvCQBSE7wX/w/IEL0U3ehBJXUUUwZO0tj/gkX0m&#10;0by3YXdN4r93C4Ueh5n5hllvB25URz7UTgzMZxkoksLZWkoDP9/H6QpUiCgWGydk4EkBtpvR2xpz&#10;63r5ou4SS5UgEnI0UMXY5lqHoiLGMHMtSfKuzjPGJH2prcc+wbnRiyxbasZa0kKFLe0rKu6XBxu4&#10;haumng9Nf+x8WH669zvz2ZjJeNh9gIo0xP/wX/tkDawW8Psl/QC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2l/BAAAA2wAAAA8AAAAAAAAAAAAAAAAAmAIAAGRycy9kb3du&#10;cmV2LnhtbFBLBQYAAAAABAAEAPUAAACGAwAAAAA=&#10;" path="m60,38l625,38,625,49,60,49,60,38xm60,44l89,89,0,44,89,0,60,44xm625,44l596,0,685,44,596,89,625,44xe">
                          <v:path arrowok="t" o:connecttype="custom" o:connectlocs="60,38;625,38;625,49;60,49;60,38;60,44;89,89;0,44;89,0;60,44;625,44;596,0;685,44;596,89;625,44" o:connectangles="0,0,0,0,0,0,0,0,0,0,0,0,0,0,0"/>
                          <v:fill on="t" focussize="0,0"/>
                          <v:stroke weight="0.05pt"/>
                          <v:imagedata o:title=""/>
                          <o:lock v:ext="edit"/>
                        </v:shape>
                        <v:shape id="Freeform 450" o:spid="_x0000_s2402" style="position:absolute;left:6555;top:2767;height:89;width:685;" fillcolor="#000000" filled="t" coordsize="6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nsMEA&#10;AADbAAAADwAAAGRycy9kb3ducmV2LnhtbESPUWvCQBCE3wv+h2OFvhS9KCISPUUUwafS2v6AJbcm&#10;0exeuDuT9N/3CkIfh5n5htnsBm5URz7UTgzMphkoksLZWkoD31+nyQpUiCgWGydk4IcC7Lajlw3m&#10;1vXySd0llipBJORooIqxzbUORUWMYepakuRdnWeMSfpSW499gnOj51m21Iy1pIUKWzpUVNwvDzZw&#10;C1dNPR+b/tT5sPxwb3fmd2Nex8N+DSrSEP/Dz/bZGlgt4O9L+g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857DBAAAA2wAAAA8AAAAAAAAAAAAAAAAAmAIAAGRycy9kb3du&#10;cmV2LnhtbFBLBQYAAAAABAAEAPUAAACGAwAAAAA=&#10;" path="m60,38l625,38,625,49,60,49,60,38xm60,44l89,89,0,44,89,0,60,44xm625,44l596,0,685,44,596,89,625,44xe">
                          <v:path arrowok="t" o:connecttype="custom" o:connectlocs="60,38;625,38;625,49;60,49;60,38;60,44;89,89;0,44;89,0;60,44;625,44;596,0;685,44;596,89;625,44" o:connectangles="0,0,0,0,0,0,0,0,0,0,0,0,0,0,0"/>
                          <v:fill on="t" focussize="0,0"/>
                          <v:stroke weight="0.05pt"/>
                          <v:imagedata o:title=""/>
                          <o:lock v:ext="edit"/>
                        </v:shape>
                        <v:group id="_x0000_s2460" o:spid="_x0000_s2460" o:spt="203" style="position:absolute;left:3386;top:1155;height:6666;width:7680;" coordorigin="3386,1155" coordsize="7680,6666">
                          <o:lock v:ext="edit"/>
                          <v:shape id="Freeform 424" o:spid="_x0000_s2383" style="position:absolute;left:3596;top:1558;height:276;width:365;" fillcolor="#000000" filled="t" coordsize="52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dUsYA&#10;AADbAAAADwAAAGRycy9kb3ducmV2LnhtbESPQWvCQBSE7wX/w/IKvQTdREop0TUUUbA9CJpCc3xm&#10;n0kw+zZkt0n6791CocdhZr5h1tlkWjFQ7xrLCpJFDIK4tLrhSsFnvp+/gnAeWWNrmRT8kINsM3tY&#10;Y6rtyCcazr4SAcIuRQW1910qpStrMugWtiMO3tX2Bn2QfSV1j2OAm1Yu4/hFGmw4LNTY0bam8nb+&#10;NgpOZldgURbRR/weXb/y6ZgcLpFST4/T2wqEp8n/h//aB63geQm/X8IP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PdUsYAAADbAAAADwAAAAAAAAAAAAAAAACYAgAAZHJz&#10;L2Rvd25yZXYueG1sUEsFBgAAAAAEAAQA9QAAAIsDAAAAAA==&#10;" path="m0,24c0,11,11,0,24,0l504,0c518,0,528,11,528,24l528,376c528,390,518,400,504,400l24,400c11,400,0,390,0,376l0,24xm48,376l24,352,504,352,480,376,480,24,504,48,24,48,48,24,48,376xe">
                            <v:path arrowok="t" o:connecttype="custom" o:connectlocs="0,10516;10535,0;221240,0;231775,10516;231775,164744;221240,175260;10535,175260;0,164744;0,10516;21070,164744;10535,154229;221240,154229;210705,164744;210705,10516;221240,21031;10535,21031;21070,10516;21070,164744" o:connectangles="0,0,0,0,0,0,0,0,0,0,0,0,0,0,0,0,0,0"/>
                            <v:fill on="t" focussize="0,0"/>
                            <v:stroke weight="0.05pt"/>
                            <v:imagedata o:title=""/>
                            <o:lock v:ext="edit"/>
                          </v:shape>
                          <v:shape id="Freeform 426" o:spid="_x0000_s2385" style="position:absolute;left:3773;top:1155;height:6666;width:11;" fillcolor="#000000" filled="t" coordsize="1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EcMA&#10;AADbAAAADwAAAGRycy9kb3ducmV2LnhtbESPQWvCQBSE7wX/w/IEb3WjhFKiq0hAKPQgJi30+Mw+&#10;s9Hs25DdaPz3bqHQ4zAz3zDr7WhbcaPeN44VLOYJCOLK6YZrBV/l/vUdhA/IGlvHpOBBHrabycsa&#10;M+3ufKRbEWoRIewzVGBC6DIpfWXIop+7jjh6Z9dbDFH2tdQ93iPctnKZJG/SYsNxwWBHuaHqWgxW&#10;wXexLM3jRw4mPXxeqhPnZT3kSs2m424FItAY/sN/7Q+tIE3h90v8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sEcMAAADbAAAADwAAAAAAAAAAAAAAAACYAgAAZHJzL2Rv&#10;d25yZXYueG1sUEsFBgAAAAAEAAQA9QAAAIgDAAAAAA==&#10;" path="m11,0l11,45,0,45,0,0,11,0xm11,78l11,122,0,122,0,78,11,78xm11,155l11,199,0,199,0,155,11,155xm11,232l11,276,0,276,0,232,11,232xm11,310l11,354,0,354,0,310,11,310xm11,387l11,431,0,431,0,387,11,387xm11,464l11,508,0,508,0,464,11,464xm11,541l11,586,0,586,0,541,11,541xm11,619l11,663,0,663,0,619,11,619xm11,696l11,741,0,741,0,696,11,696xm11,774l11,818,0,818,0,774,11,774xm11,851l11,896,0,896,0,851,11,851xm11,929l11,973,0,973,0,929,11,929xm11,1006l11,1050,0,1050,0,1006,11,1006xm11,1083l11,1127,0,1127,0,1083,11,1083xm11,1161l11,1205,0,1205,0,1161,11,1161xm11,1238l11,1282,0,1282,0,1238,11,1238xm11,1315l11,1359,0,1359,0,1315,11,1315xm11,1392l11,1437,0,1437,0,1392,11,1392xm11,1470l11,1515,0,1515,0,1470,11,1470xm11,1548l11,1592,0,1592,0,1548,11,1548xm11,1625l11,1669,0,1669,0,1625,11,1625xm11,1702l11,1746,0,1746,0,1702,11,1702xm11,1780l11,1824,0,1824,0,1780,11,1780xm11,1857l11,1901,0,1901,0,1857,11,1857xm11,1934l11,1978,0,1978,0,1934,11,1934xm11,2011l11,2056,0,2056,0,2011,11,2011xm11,2089l11,2134,0,2134,0,2089,11,2089xm11,2167l11,2211,0,2211,0,2167,11,2167xm11,2244l11,2288,0,2288,0,2244,11,2244xm11,2321l11,2365,0,2365,0,2321,11,2321xm11,2399l11,2443,0,2443,0,2399,11,2399xm11,2476l11,2520,0,2520,0,2476,11,2476xm11,2553l11,2597,0,2597,0,2553,11,2553xm11,2630l11,2675,0,2675,0,2630,11,2630xm11,2708l11,2752,0,2752,0,2708,11,2708xm11,2785l11,2830,0,2830,0,2785,11,2785xm11,2863l11,2907,0,2907,0,2863,11,2863xm11,2940l11,2984,0,2984,0,2940,11,2940xm11,3018l11,3062,0,3062,0,3018,11,3018xm11,3095l11,3139,0,3139,0,3095,11,3095xm11,3172l11,3216,0,3216,0,3172,11,3172xm11,3249l11,3294,0,3294,0,3249,11,3249xm11,3327l11,3371,0,3371,0,3327,11,3327xm11,3404l11,3448,0,3448,0,3404,11,3404xm11,3481l11,3526,0,3526,0,3481,11,3481xm11,3559l11,3604,0,3604,0,3559,11,3559xm11,3637l11,3681,0,3681,0,3637,11,3637xm11,3714l11,3758,0,3758,0,3714,11,3714xm11,3791l11,3835,0,3835,0,3791,11,3791xm11,3869l11,3913,0,3913,0,3869,11,3869xm11,3946l11,3990,0,3990,0,3946,11,3946xm11,4023l11,4067,0,4067,0,4023,11,4023xm11,4100l11,4145,0,4145,0,4100,11,4100xm11,4178l11,4223,0,4223,0,4178,11,4178xm11,4256l11,4300,0,4300,0,4256,11,4256xm11,4333l11,4377,0,4377,0,4333,11,4333xm11,4410l11,4454,0,4454,0,4410,11,4410xm11,4488l11,4532,0,4532,0,4488,11,4488xm11,4565l11,4609,0,4609,0,4565,11,4565xm11,4642l11,4686,0,4686,0,4642,11,4642xm11,4719l11,4764,0,4764,0,4719,11,4719xm11,4797l11,4841,0,4841,0,4797,11,4797xm11,4875l11,4919,0,4919,0,4875,11,4875xm11,4952l11,4996,0,4996,0,4952,11,4952xm11,5029l11,5073,0,5073,0,5029,11,5029xm11,5107l11,5151,0,5151,0,5107,11,5107xm11,5184l11,5228,0,5228,0,5184,11,5184xm11,5261l11,5305,0,5305,0,5261,11,5261xm11,5338l11,5383,0,5383,0,5338,11,5338xm11,5416l11,5460,0,5460,0,5416,11,5416xm11,5493l11,5537,0,5537,0,5493,11,5493xm11,5571l11,5615,0,5615,0,5571,11,5571xm11,5648l11,5693,0,5693,0,5648,11,5648xm11,5726l11,5770,0,5770,0,5726,11,5726xm11,5803l11,5847,0,5847,0,5803,11,5803xm11,5880l11,5924,0,5924,0,5880,11,5880xm11,5958l11,6002,0,6002,0,5958,11,5958xm11,6035l11,6079,0,6079,0,6035,11,6035xm11,6112l11,6156,0,6156,0,6112,11,6112xm11,6189l11,6234,0,6234,0,6189,11,6189xm11,6267l11,6312,0,6312,0,6267,11,6267xm11,6345l11,6389,0,6389,0,6345,11,6345xm11,6422l11,6466,0,6466,0,6422,11,6422xm11,6499l11,6543,0,6543,0,6499,11,6499xm11,6577l11,6621,0,6621,0,6577,11,6577xm11,6654l11,6666,0,6666,0,6654,11,6654xe">
                            <v:path arrowok="t" o:connecttype="custom" o:connectlocs="6985,77470;0,98425;6985,196850;0,273685;6985,294640;6985,421005;0,441960;6985,540385;0,617855;6985,638810;6985,765175;0,786130;6985,883920;0,962025;6985,982980;6985,1108710;0,1130300;6985,1228090;0,1305560;6985,1326515;6985,1452880;0,1473835;6985,1572260;0,1649095;6985,1670050;6985,1797050;0,1818005;6985,1916430;0,1993265;6985,2014220;6985,2140585;0,2161540;6985,2259965;0,2337435;6985,2358390;6985,2484755;0,2505710;6985,2603500;0,2681605;6985,2702560;6985,2828290;0,2849880;6985,2947670;0,3025140;6985,3046095;6985,3172460;0,3193415;6985,3291840;0,3368675;6985,3389630;6985,3515995;0,3537585;6985,3636010;0,3712845;6985,3733800;6985,3860165;0,3881120;6985,3979545;0,4057015;6985,4077970;6985,4204335;0,4225290" o:connectangles="0,0,0,0,0,0,0,0,0,0,0,0,0,0,0,0,0,0,0,0,0,0,0,0,0,0,0,0,0,0,0,0,0,0,0,0,0,0,0,0,0,0,0,0,0,0,0,0,0,0,0,0,0,0,0,0,0,0,0,0,0,0"/>
                            <v:fill on="t" focussize="0,0"/>
                            <v:stroke weight="0.05pt"/>
                            <v:imagedata o:title=""/>
                            <o:lock v:ext="edit"/>
                          </v:shape>
                          <v:shape id="Freeform 437" o:spid="_x0000_s2392" style="position:absolute;left:4182;top:1320;height:3396;width:13;" fillcolor="#000000" filled="t" coordsize="13,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GU8MA&#10;AADbAAAADwAAAGRycy9kb3ducmV2LnhtbESP3WoCMRSE7wu+QzhC72piL3TZGsUfpIIgdPUBTjfH&#10;zeLmZN2kun37RhB6OczMN8xs0btG3KgLtWcN45ECQVx6U3Ol4XTcvmUgQkQ22HgmDb8UYDEfvMww&#10;N/7OX3QrYiUShEOOGmyMbS5lKC05DCPfEifv7DuHMcmukqbDe4K7Rr4rNZEOa04LFltaWyovxY/T&#10;MFl9KnPYX6bKtlQVu2v2vdlmWr8O++UHiEh9/A8/2zujYTqGx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GU8MAAADbAAAADwAAAAAAAAAAAAAAAACYAgAAZHJzL2Rv&#10;d25yZXYueG1sUEsFBgAAAAAEAAQA9QAAAIgDAAAAAA==&#10;" path="m13,0l11,3396,0,3396,2,0,13,0xe">
                            <v:path arrowok="t" o:connecttype="custom" o:connectlocs="8255,0;6985,2156460;0,2156460;1270,0;8255,0" o:connectangles="0,0,0,0,0"/>
                            <v:fill on="t" focussize="0,0"/>
                            <v:stroke weight="0.05pt"/>
                            <v:imagedata o:title=""/>
                            <o:lock v:ext="edit"/>
                          </v:shape>
                          <v:shape id="Freeform 451" o:spid="_x0000_s2403" style="position:absolute;left:7235;top:2689;height:249;width:14;" fillcolor="#000000" filled="t" coordsize="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L+sYA&#10;AADbAAAADwAAAGRycy9kb3ducmV2LnhtbESPW2vCQBSE34X+h+UUfJG6UbSkqasUL7TSp6YVXw/Z&#10;kwvNno3Z1aT/visIPg4z8w2zWPWmFhdqXWVZwWQcgSDOrK64UPDzvXuKQTiPrLG2TAr+yMFq+TBY&#10;YKJtx190SX0hAoRdggpK75tESpeVZNCNbUMcvNy2Bn2QbSF1i12Am1pOo+hZGqw4LJTY0Lqk7Dc9&#10;GwXHTdRv48/1y/txfzh1hyqfjXa5UsPH/u0VhKfe38O39odWEM/h+iX8AL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3L+sYAAADbAAAADwAAAAAAAAAAAAAAAACYAgAAZHJz&#10;L2Rvd25yZXYueG1sUEsFBgAAAAAEAAQA9QAAAIsDAAAAAA==&#10;" path="m14,1l11,249,0,249,2,0,14,1xe">
                            <v:path arrowok="t" o:connecttype="custom" o:connectlocs="14,1;11,249;0,249;2,0;14,1" o:connectangles="0,0,0,0,0"/>
                            <v:fill on="t" focussize="0,0"/>
                            <v:stroke weight="0.05pt"/>
                            <v:imagedata o:title=""/>
                            <o:lock v:ext="edit"/>
                          </v:shape>
                          <v:shape id="Freeform 469" o:spid="_x0000_s2410" style="position:absolute;left:4393;top:2880;height:211;width:210;" fillcolor="#000000" filled="t" coordsize="21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hXsMA&#10;AADcAAAADwAAAGRycy9kb3ducmV2LnhtbERPTWvCQBC9C/6HZQq9md1aKDW6CVGQ9lCQWkV7G7Jj&#10;EpqdDdlV4793C4Xe5vE+Z5EPthUX6n3jWMNTokAQl840XGnYfa0nryB8QDbYOiYNN/KQZ+PRAlPj&#10;rvxJl22oRAxhn6KGOoQuldKXNVn0ieuII3dyvcUQYV9J0+M1httWTpV6kRYbjg01drSqqfzZnq2G&#10;7uP7VKibX78dzrhXy1mBx02h9ePDUMxBBBrCv/jP/W7ifPUMv8/EC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hXsMAAADcAAAADwAAAAAAAAAAAAAAAACYAgAAZHJzL2Rv&#10;d25yZXYueG1sUEsFBgAAAAAEAAQA9QAAAIgDAAAAAA==&#10;" path="m0,81l84,81,79,85,105,0,131,85,126,81,210,81,142,133,144,127,170,211,102,159,108,159,40,211,66,127,68,133,0,81xm78,127l55,198,46,192,105,147,163,192,154,198,132,127,190,83,193,92,122,92,100,21,110,21,88,92,16,92,20,83,78,127xe">
                            <v:path arrowok="t" o:connecttype="custom" o:connectlocs="0,81;84,81;79,85;105,0;131,85;126,81;210,81;142,133;144,127;170,211;102,159;108,159;40,211;66,127;68,133;0,81;78,127;55,198;46,192;105,147;163,192;154,198;132,127;190,83;193,92;122,92;100,21;110,21;88,92;16,92;20,83;78,127" o:connectangles="0,0,0,0,0,0,0,0,0,0,0,0,0,0,0,0,0,0,0,0,0,0,0,0,0,0,0,0,0,0,0,0"/>
                            <v:fill on="t" focussize="0,0"/>
                            <v:stroke weight="0.05pt"/>
                            <v:imagedata o:title=""/>
                            <o:lock v:ext="edit"/>
                          </v:shape>
                          <v:shape id="Freeform 471" o:spid="_x0000_s2412" style="position:absolute;left:5091;top:2880;height:212;width:197;" fillcolor="#000000" filled="t" coordsize="19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u8EA&#10;AADcAAAADwAAAGRycy9kb3ducmV2LnhtbERPS2sCMRC+C/0PYQq9uVkLFndrlCoqXn1cehs20+zS&#10;zSRNUnf7702h0Nt8fM9ZrkfbixuF2DlWMCtKEMSN0x0bBdfLfroAEROyxt4xKfihCOvVw2SJtXYD&#10;n+h2TkbkEI41KmhT8rWUsWnJYiycJ87chwsWU4bBSB1wyOG2l89l+SItdpwbWvS0ban5PH9bBVjt&#10;FqfqsJsFf9xQNRhvuq93pZ4ex7dXEInG9C/+cx91nl/O4feZf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rvBAAAA3AAAAA8AAAAAAAAAAAAAAAAAmAIAAGRycy9kb3du&#10;cmV2LnhtbFBLBQYAAAAABAAEAPUAAACGAwAAAAA=&#10;" path="m0,81l79,81,73,85,98,0,123,85,118,81,197,81,133,133,135,127,159,212,94,159,102,159,36,212,61,127,63,133,0,81xm73,127l52,198,43,192,98,147,153,192,144,198,123,127,177,83,181,92,114,92,93,21,103,21,83,92,15,92,19,83,73,127xe">
                            <v:path arrowok="t" o:connecttype="custom" o:connectlocs="0,81;79,81;73,85;98,0;123,85;118,81;197,81;133,133;135,127;159,212;94,159;102,159;36,212;61,127;63,133;0,81;73,127;52,198;43,192;98,147;153,192;144,198;123,127;177,83;181,92;114,92;93,21;103,21;83,92;15,92;19,83;73,127" o:connectangles="0,0,0,0,0,0,0,0,0,0,0,0,0,0,0,0,0,0,0,0,0,0,0,0,0,0,0,0,0,0,0,0"/>
                            <v:fill on="t" focussize="0,0"/>
                            <v:stroke weight="0.05pt"/>
                            <v:imagedata o:title=""/>
                            <o:lock v:ext="edit"/>
                          </v:shape>
                          <v:shape id="Freeform 473" o:spid="_x0000_s2414" style="position:absolute;left:5754;top:2880;height:212;width:197;" fillcolor="#000000" filled="t" coordsize="19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1V8EA&#10;AADcAAAADwAAAGRycy9kb3ducmV2LnhtbERPO2/CMBDekfofrKvUjTh0oCTFoIIAsfJYup3iqxM1&#10;Pru2S9J/jytV6nafvuct16PtxY1C7BwrmBUlCOLG6Y6NgutlP12AiAlZY++YFPxQhPXqYbLEWruB&#10;T3Q7JyNyCMcaFbQp+VrK2LRkMRbOE2fuwwWLKcNgpA445HDby+eynEuLHeeGFj1tW2o+z99WAVa7&#10;xak67GbBHzdUDcab7utdqafH8e0VRKIx/Yv/3Eed55cv8PtMvk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htVfBAAAA3AAAAA8AAAAAAAAAAAAAAAAAmAIAAGRycy9kb3du&#10;cmV2LnhtbFBLBQYAAAAABAAEAPUAAACGAwAAAAA=&#10;" path="m0,81l79,81,74,85,99,0,124,85,119,81,197,81,134,133,136,127,160,212,95,159,103,159,37,212,62,127,64,133,0,81xm74,127l53,198,44,192,99,147,154,192,145,198,124,127,178,83,182,92,115,92,94,21,104,21,83,92,16,92,20,83,74,127xe">
                            <v:path arrowok="t" o:connecttype="custom" o:connectlocs="0,81;79,81;74,85;99,0;124,85;119,81;197,81;134,133;136,127;160,212;95,159;103,159;37,212;62,127;64,133;0,81;74,127;53,198;44,192;99,147;154,192;145,198;124,127;178,83;182,92;115,92;94,21;104,21;83,92;16,92;20,83;74,127" o:connectangles="0,0,0,0,0,0,0,0,0,0,0,0,0,0,0,0,0,0,0,0,0,0,0,0,0,0,0,0,0,0,0,0"/>
                            <v:fill on="t" focussize="0,0"/>
                            <v:stroke weight="0.05pt"/>
                            <v:imagedata o:title=""/>
                            <o:lock v:ext="edit"/>
                          </v:shape>
                          <v:shape id="Freeform 475" o:spid="_x0000_s2416" style="position:absolute;left:6451;top:2880;height:212;width:197;" fillcolor="#000000" filled="t" coordsize="19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EvsAA&#10;AADcAAAADwAAAGRycy9kb3ducmV2LnhtbERPO2/CMBDeK/EfrEPqVhw6VCRgUIsAsfJY2E7x1Yka&#10;n43tkvDvcaVKbPfpe95iNdhO3CjE1rGC6aQAQVw73bJRcD5t32YgYkLW2DkmBXeKsFqOXhZYadfz&#10;gW7HZEQO4VihgiYlX0kZ64YsxonzxJn7dsFiyjAYqQP2Odx28r0oPqTFlnNDg57WDdU/x1+rAMvN&#10;7FDuNtPg919U9sab9npR6nU8fM5BJBrSU/zv3us8vyjh75l8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KEvsAAAADcAAAADwAAAAAAAAAAAAAAAACYAgAAZHJzL2Rvd25y&#10;ZXYueG1sUEsFBgAAAAAEAAQA9QAAAIUDAAAAAA==&#10;" path="m0,81l79,81,74,85,99,0,123,85,119,81,197,81,134,133,136,127,160,212,95,159,103,159,37,212,62,127,64,133,0,81xm74,127l53,198,44,192,99,147,154,192,145,198,124,127,178,83,181,92,114,92,94,21,104,21,83,92,16,92,20,83,74,127xe">
                            <v:path arrowok="t" o:connecttype="custom" o:connectlocs="0,81;79,81;74,85;99,0;123,85;119,81;197,81;134,133;136,127;160,212;95,159;103,159;37,212;62,127;64,133;0,81;74,127;53,198;44,192;99,147;154,192;145,198;124,127;178,83;181,92;114,92;94,21;104,21;83,92;16,92;20,83;74,127" o:connectangles="0,0,0,0,0,0,0,0,0,0,0,0,0,0,0,0,0,0,0,0,0,0,0,0,0,0,0,0,0,0,0,0"/>
                            <v:fill on="t" focussize="0,0"/>
                            <v:stroke weight="0.05pt"/>
                            <v:imagedata o:title=""/>
                            <o:lock v:ext="edit"/>
                          </v:shape>
                          <v:shape id="Freeform 477" o:spid="_x0000_s2418" style="position:absolute;left:7137;top:2880;height:212;width:197;" fillcolor="#000000" filled="t" coordsize="19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eZcAA&#10;AADcAAAADwAAAGRycy9kb3ducmV2LnhtbERPO2/CMBDeK/U/WFeJrTjpgEiKQYAAsfJYup3iqxM1&#10;PhvbJem/rytVYrtP3/MWq9H24k4hdo4VlNMCBHHjdMdGwfWyf52DiAlZY++YFPxQhNXy+WmBtXYD&#10;n+h+TkbkEI41KmhT8rWUsWnJYpw6T5y5TxcspgyDkTrgkMNtL9+KYiYtdpwbWvS0ban5On9bBVjt&#10;5qfqsCuDP26oGow33e1DqcnLuH4HkWhMD/G/+6jz/LKEv2fy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0eZcAAAADcAAAADwAAAAAAAAAAAAAAAACYAgAAZHJzL2Rvd25y&#10;ZXYueG1sUEsFBgAAAAAEAAQA9QAAAIUDAAAAAA==&#10;" path="m0,81l79,81,73,85,98,0,123,85,118,81,197,81,134,133,136,127,160,212,95,159,103,159,37,212,62,127,64,133,0,81xm73,127l53,198,44,192,98,147,154,192,145,198,124,127,178,83,181,92,114,92,94,21,104,21,83,92,15,92,20,83,73,127xe">
                            <v:path arrowok="t" o:connecttype="custom" o:connectlocs="0,81;79,81;73,85;98,0;123,85;118,81;197,81;134,133;136,127;160,212;95,159;103,159;37,212;62,127;64,133;0,81;73,127;53,198;44,192;98,147;154,192;145,198;124,127;178,83;181,92;114,92;94,21;104,21;83,92;15,92;20,83;73,127" o:connectangles="0,0,0,0,0,0,0,0,0,0,0,0,0,0,0,0,0,0,0,0,0,0,0,0,0,0,0,0,0,0,0,0"/>
                            <v:fill on="t" focussize="0,0"/>
                            <v:stroke weight="0.05pt"/>
                            <v:imagedata o:title=""/>
                            <o:lock v:ext="edit"/>
                          </v:shape>
                          <v:shape id="Freeform 489" o:spid="_x0000_s2421" style="position:absolute;left:3696;top:2880;height:211;width:210;" fillcolor="#000000" filled="t" coordsize="21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9PsMA&#10;AADcAAAADwAAAGRycy9kb3ducmV2LnhtbERPTWvCQBC9C/0PyxR6M7tVkDa6SloQexBEq6i3ITsm&#10;odnZkF01/ntXKHibx/ucyayztbhQ6yvHGt4TBYI4d6biQsP2d97/AOEDssHaMWm4kYfZ9KU3wdS4&#10;K6/psgmFiCHsU9RQhtCkUvq8JIs+cQ1x5E6utRgibAtpWrzGcFvLgVIjabHi2FBiQ98l5X+bs9XQ&#10;LI+nTN38fLE/4059fWZ4WGVav7122RhEoC48xf/uHxPnD4b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A9PsMAAADcAAAADwAAAAAAAAAAAAAAAACYAgAAZHJzL2Rv&#10;d25yZXYueG1sUEsFBgAAAAAEAAQA9QAAAIgDAAAAAA==&#10;" path="m0,81l84,81,79,85,105,0,131,85,126,81,210,81,142,133,144,127,170,211,102,159,108,159,40,211,66,127,68,133,0,81xm78,127l56,198,47,192,105,147,163,192,154,198,132,127,190,83,193,92,122,92,100,21,110,21,88,92,16,92,20,83,78,127xe">
                            <v:path arrowok="t" o:connecttype="custom" o:connectlocs="0,81;84,81;79,85;105,0;131,85;126,81;210,81;142,133;144,127;170,211;102,159;108,159;40,211;66,127;68,133;0,81;78,127;56,198;47,192;105,147;163,192;154,198;132,127;190,83;193,92;122,92;100,21;110,21;88,92;16,92;20,83;78,127" o:connectangles="0,0,0,0,0,0,0,0,0,0,0,0,0,0,0,0,0,0,0,0,0,0,0,0,0,0,0,0,0,0,0,0"/>
                            <v:fill on="t" focussize="0,0"/>
                            <v:stroke weight="0.05pt"/>
                            <v:imagedata o:title=""/>
                            <o:lock v:ext="edit"/>
                          </v:shape>
                          <v:shape id="Freeform 567" o:spid="_x0000_s2451" style="position:absolute;left:3386;top:1320;height:3396;width:13;" fillcolor="#000000" filled="t" coordsize="13,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DkcQA&#10;AADcAAAADwAAAGRycy9kb3ducmV2LnhtbESPUWvCMBSF3wf+h3AHvs1EH1zpTItziIIwWLcfcNdc&#10;m2Jz0zVR6783g8EeD+ec73BW5eg6caEhtJ41zGcKBHHtTcuNhq/P7VMGIkRkg51n0nCjAGUxeVhh&#10;bvyVP+hSxUYkCIccNdgY+1zKUFtyGGa+J07e0Q8OY5JDI82A1wR3nVwotZQOW04LFnvaWKpP1dlp&#10;WL7ulHk/nJ6V7amp9j/Z99s203r6OK5fQEQa43/4r703GhZqDr9n0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Q5HEAAAA3AAAAA8AAAAAAAAAAAAAAAAAmAIAAGRycy9k&#10;b3ducmV2LnhtbFBLBQYAAAAABAAEAPUAAACJAwAAAAA=&#10;" path="m13,0l11,3396,0,3396,2,0,13,0xe">
                            <v:path arrowok="t" o:connecttype="custom" o:connectlocs="8255,0;6985,2156460;0,2156460;1270,0;8255,0" o:connectangles="0,0,0,0,0"/>
                            <v:fill on="t" focussize="0,0"/>
                            <v:stroke weight="0.05pt"/>
                            <v:imagedata o:title=""/>
                            <o:lock v:ext="edit"/>
                          </v:shape>
                          <v:shape id="AutoShape 572" o:spid="_x0000_s2453" o:spt="32" type="#_x0000_t32" style="position:absolute;left:9783;top:1558;height:0;width:607;"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D0sIAAADcAAAADwAAAGRycy9kb3ducmV2LnhtbESPQYvCMBSE74L/ITzBm6Z6EKmNoqKg&#10;R7s9eHw2z7bYvJQm1uqv3ywIexxm5hsm2fSmFh21rrKsYDaNQBDnVldcKMh+jpMlCOeRNdaWScGb&#10;HGzWw0GCsbYvvlCX+kIECLsYFZTeN7GULi/JoJvahjh4d9sa9EG2hdQtvgLc1HIeRQtpsOKwUGJD&#10;+5LyR/o0CvbZs8t2XdocLrvrrKjPh9Ptkyk1HvXbFQhPvf8Pf9snrWAeLeDv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sD0sIAAADcAAAADwAAAAAAAAAAAAAA&#10;AAChAgAAZHJzL2Rvd25yZXYueG1sUEsFBgAAAAAEAAQA+QAAAJADAAAAAA==&#10;">
                            <v:path arrowok="t"/>
                            <v:fill on="f" focussize="0,0"/>
                            <v:stroke weight="1.5pt" endarrow="block"/>
                            <v:imagedata o:title=""/>
                            <o:lock v:ext="edit"/>
                          </v:shape>
                          <v:shape id="Text Box 573" o:spid="_x0000_s2454" o:spt="202" type="#_x0000_t202" style="position:absolute;left:10292;top:1337;height:768;width:77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v:path/>
                            <v:fill on="f" focussize="0,0"/>
                            <v:stroke on="f" joinstyle="miter"/>
                            <v:imagedata o:title=""/>
                            <o:lock v:ext="edit"/>
                            <v:textbox style="mso-fit-shape-to-text:t;">
                              <w:txbxContent>
                                <w:p>
                                  <w:r>
                                    <w:rPr>
                                      <w:rFonts w:hint="eastAsia"/>
                                    </w:rPr>
                                    <w:t>N</w:t>
                                  </w:r>
                                </w:p>
                              </w:txbxContent>
                            </v:textbox>
                          </v:shape>
                        </v:group>
                      </v:group>
                    </v:group>
                  </v:group>
                </v:group>
              </v:group>
            </v:group>
            <v:line id="直线 2370" o:spid="_x0000_s2455" o:spt="20" style="position:absolute;left:3386;top:5895;height:1;width:295;" coordsize="21600,21600">
              <v:path arrowok="t"/>
              <v:fill focussize="0,0"/>
              <v:stroke/>
              <v:imagedata o:title=""/>
              <o:lock v:ext="edit"/>
            </v:line>
            <v:line id="直线 2371" o:spid="_x0000_s2456" o:spt="20" style="position:absolute;left:3399;top:7751;height:1;width:809;" coordsize="21600,21600">
              <v:path arrowok="t"/>
              <v:fill focussize="0,0"/>
              <v:stroke/>
              <v:imagedata o:title=""/>
              <o:lock v:ext="edit"/>
            </v:line>
            <v:line id="直线 2372" o:spid="_x0000_s2457" o:spt="20" style="position:absolute;left:3539;top:5913;height:1831;width:1;" coordsize="21600,21600">
              <v:path arrowok="t"/>
              <v:fill focussize="0,0"/>
              <v:stroke startarrow="block" endarrow="block"/>
              <v:imagedata o:title=""/>
              <o:lock v:ext="edit"/>
            </v:line>
            <w10:wrap type="none"/>
            <w10:anchorlock/>
          </v:group>
        </w:pict>
      </w:r>
    </w:p>
    <w:p>
      <w:pPr>
        <w:adjustRightInd w:val="0"/>
        <w:snapToGrid w:val="0"/>
        <w:spacing w:line="520" w:lineRule="exact"/>
        <w:jc w:val="center"/>
        <w:rPr>
          <w:rFonts w:eastAsia="黑体"/>
          <w:sz w:val="24"/>
        </w:rPr>
      </w:pPr>
      <w:r>
        <w:rPr>
          <w:rFonts w:hAnsi="黑体" w:eastAsia="黑体"/>
          <w:sz w:val="24"/>
        </w:rPr>
        <w:t>图</w:t>
      </w:r>
      <w:r>
        <w:rPr>
          <w:rFonts w:hint="eastAsia" w:eastAsia="黑体"/>
          <w:sz w:val="24"/>
        </w:rPr>
        <w:t>6</w:t>
      </w:r>
      <w:r>
        <w:rPr>
          <w:rFonts w:hint="eastAsia" w:hAnsi="黑体" w:eastAsia="黑体"/>
          <w:sz w:val="24"/>
        </w:rPr>
        <w:t>类比线路</w:t>
      </w:r>
      <w:r>
        <w:rPr>
          <w:rFonts w:hAnsi="黑体" w:eastAsia="黑体"/>
          <w:sz w:val="24"/>
        </w:rPr>
        <w:t>工频电场、工频磁感应强度监测布点示意图</w:t>
      </w:r>
    </w:p>
    <w:p>
      <w:pPr>
        <w:spacing w:line="520" w:lineRule="exact"/>
        <w:ind w:firstLine="480" w:firstLineChars="200"/>
        <w:rPr>
          <w:rFonts w:eastAsia="宋体"/>
          <w:sz w:val="24"/>
        </w:rPr>
      </w:pPr>
      <w:r>
        <w:rPr>
          <w:rFonts w:hAnsi="宋体" w:eastAsia="宋体"/>
          <w:sz w:val="24"/>
        </w:rPr>
        <w:t>（</w:t>
      </w:r>
      <w:r>
        <w:rPr>
          <w:rFonts w:eastAsia="宋体"/>
          <w:sz w:val="24"/>
        </w:rPr>
        <w:t>5</w:t>
      </w:r>
      <w:r>
        <w:rPr>
          <w:rFonts w:hAnsi="宋体" w:eastAsia="宋体"/>
          <w:sz w:val="24"/>
        </w:rPr>
        <w:t>）监测地点、时间及监测环境</w:t>
      </w:r>
    </w:p>
    <w:p>
      <w:pPr>
        <w:spacing w:line="520" w:lineRule="exact"/>
        <w:ind w:firstLine="480" w:firstLineChars="200"/>
        <w:rPr>
          <w:rFonts w:eastAsia="宋体"/>
          <w:sz w:val="24"/>
        </w:rPr>
      </w:pPr>
      <w:r>
        <w:rPr>
          <w:rFonts w:hAnsi="宋体" w:eastAsia="宋体"/>
          <w:sz w:val="24"/>
        </w:rPr>
        <w:t>监测地点：</w:t>
      </w:r>
      <w:r>
        <w:rPr>
          <w:rFonts w:eastAsia="宋体"/>
          <w:sz w:val="24"/>
        </w:rPr>
        <w:t>110kV</w:t>
      </w:r>
      <w:r>
        <w:rPr>
          <w:rFonts w:hAnsi="宋体" w:eastAsia="宋体"/>
          <w:sz w:val="24"/>
        </w:rPr>
        <w:t>蓝万线</w:t>
      </w:r>
      <w:r>
        <w:rPr>
          <w:rFonts w:ascii="宋体" w:hAnsi="宋体" w:eastAsia="宋体"/>
          <w:sz w:val="24"/>
        </w:rPr>
        <w:t>Ⅱ</w:t>
      </w:r>
      <w:r>
        <w:rPr>
          <w:rFonts w:hAnsi="宋体" w:eastAsia="宋体"/>
          <w:sz w:val="24"/>
        </w:rPr>
        <w:t>回线路</w:t>
      </w:r>
    </w:p>
    <w:p>
      <w:pPr>
        <w:spacing w:line="520" w:lineRule="exact"/>
        <w:ind w:firstLine="480" w:firstLineChars="200"/>
        <w:rPr>
          <w:rFonts w:eastAsia="宋体"/>
          <w:sz w:val="24"/>
        </w:rPr>
      </w:pPr>
      <w:r>
        <w:rPr>
          <w:rFonts w:hAnsi="宋体" w:eastAsia="宋体"/>
          <w:sz w:val="24"/>
        </w:rPr>
        <w:t>监测时间：</w:t>
      </w:r>
      <w:r>
        <w:rPr>
          <w:rFonts w:eastAsia="宋体"/>
          <w:sz w:val="24"/>
        </w:rPr>
        <w:t>2014年10月31日和</w:t>
      </w:r>
      <w:r>
        <w:rPr>
          <w:rFonts w:hint="eastAsia" w:eastAsia="宋体"/>
          <w:sz w:val="24"/>
        </w:rPr>
        <w:t>2014年</w:t>
      </w:r>
      <w:r>
        <w:rPr>
          <w:rFonts w:eastAsia="宋体"/>
          <w:sz w:val="24"/>
        </w:rPr>
        <w:t>11月1日</w:t>
      </w:r>
    </w:p>
    <w:p>
      <w:pPr>
        <w:spacing w:line="520" w:lineRule="exact"/>
        <w:ind w:firstLine="480" w:firstLineChars="200"/>
        <w:rPr>
          <w:rFonts w:eastAsia="宋体"/>
          <w:sz w:val="24"/>
        </w:rPr>
      </w:pPr>
      <w:r>
        <w:rPr>
          <w:rFonts w:hAnsi="宋体" w:eastAsia="宋体"/>
          <w:sz w:val="24"/>
        </w:rPr>
        <w:t>监测环境：</w:t>
      </w:r>
      <w:r>
        <w:rPr>
          <w:rFonts w:eastAsia="宋体"/>
          <w:sz w:val="24"/>
        </w:rPr>
        <w:t>晴、温度9-17</w:t>
      </w:r>
      <w:r>
        <w:rPr>
          <w:rFonts w:hint="eastAsia" w:eastAsia="宋体"/>
          <w:sz w:val="24"/>
        </w:rPr>
        <w:t>℃</w:t>
      </w:r>
      <w:r>
        <w:rPr>
          <w:rFonts w:eastAsia="宋体"/>
          <w:sz w:val="24"/>
        </w:rPr>
        <w:t>、相对湿度52-58％。</w:t>
      </w:r>
    </w:p>
    <w:p>
      <w:pPr>
        <w:spacing w:line="520" w:lineRule="exact"/>
        <w:ind w:firstLine="480" w:firstLineChars="200"/>
        <w:rPr>
          <w:rFonts w:hAnsi="宋体" w:eastAsia="宋体"/>
          <w:sz w:val="24"/>
        </w:rPr>
      </w:pPr>
      <w:r>
        <w:rPr>
          <w:rFonts w:hAnsi="宋体" w:eastAsia="宋体"/>
          <w:sz w:val="24"/>
        </w:rPr>
        <w:t>（6）监测工况</w:t>
      </w:r>
    </w:p>
    <w:p>
      <w:pPr>
        <w:spacing w:line="520" w:lineRule="exact"/>
        <w:ind w:firstLine="480" w:firstLineChars="200"/>
        <w:rPr>
          <w:rFonts w:hAnsi="宋体" w:eastAsia="宋体"/>
          <w:sz w:val="24"/>
        </w:rPr>
      </w:pPr>
      <w:r>
        <w:rPr>
          <w:rFonts w:hAnsi="宋体" w:eastAsia="宋体"/>
          <w:sz w:val="24"/>
        </w:rPr>
        <w:t>类比升压站监测时的运行工况见表</w:t>
      </w:r>
      <w:r>
        <w:rPr>
          <w:rFonts w:hint="eastAsia" w:eastAsia="宋体"/>
          <w:sz w:val="24"/>
        </w:rPr>
        <w:t>10</w:t>
      </w:r>
      <w:r>
        <w:rPr>
          <w:rFonts w:hAnsi="宋体" w:eastAsia="宋体"/>
          <w:sz w:val="24"/>
        </w:rPr>
        <w:t>。</w:t>
      </w:r>
      <w:bookmarkStart w:id="69" w:name="_Ref180550339"/>
    </w:p>
    <w:p>
      <w:pPr>
        <w:spacing w:line="520" w:lineRule="exact"/>
        <w:rPr>
          <w:rFonts w:eastAsia="黑体"/>
          <w:sz w:val="24"/>
        </w:rPr>
      </w:pPr>
      <w:r>
        <w:rPr>
          <w:rFonts w:hAnsi="黑体" w:eastAsia="黑体"/>
          <w:sz w:val="24"/>
        </w:rPr>
        <w:t>表</w:t>
      </w:r>
      <w:bookmarkEnd w:id="69"/>
      <w:r>
        <w:rPr>
          <w:rFonts w:eastAsia="黑体"/>
          <w:sz w:val="24"/>
        </w:rPr>
        <w:t xml:space="preserve">10                   </w:t>
      </w:r>
      <w:r>
        <w:rPr>
          <w:rFonts w:hAnsi="黑体" w:eastAsia="黑体"/>
          <w:sz w:val="24"/>
        </w:rPr>
        <w:t>类比监测线路运行工况</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2488"/>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5" w:type="dxa"/>
            <w:tcBorders>
              <w:top w:val="single" w:color="auto" w:sz="8" w:space="0"/>
              <w:left w:val="single" w:color="auto" w:sz="8" w:space="0"/>
              <w:tl2br w:val="single" w:color="auto" w:sz="4" w:space="0"/>
            </w:tcBorders>
            <w:vAlign w:val="center"/>
          </w:tcPr>
          <w:p>
            <w:pPr>
              <w:pStyle w:val="25"/>
              <w:spacing w:line="360" w:lineRule="exact"/>
              <w:rPr>
                <w:rFonts w:ascii="Times New Roman" w:hAnsi="Times New Roman"/>
              </w:rPr>
            </w:pPr>
            <w:r>
              <w:rPr>
                <w:rFonts w:ascii="Times New Roman" w:hAnsi="Times New Roman"/>
              </w:rPr>
              <w:t xml:space="preserve">           </w:t>
            </w:r>
            <w:r>
              <w:rPr>
                <w:rFonts w:ascii="Times New Roman"/>
              </w:rPr>
              <w:t>监测时工况</w:t>
            </w:r>
          </w:p>
          <w:p>
            <w:pPr>
              <w:pStyle w:val="25"/>
              <w:spacing w:line="360" w:lineRule="exact"/>
              <w:jc w:val="both"/>
              <w:rPr>
                <w:rFonts w:ascii="Times New Roman" w:hAnsi="Times New Roman"/>
              </w:rPr>
            </w:pPr>
            <w:r>
              <w:rPr>
                <w:rFonts w:ascii="Times New Roman"/>
              </w:rPr>
              <w:t>线路名称</w:t>
            </w:r>
          </w:p>
        </w:tc>
        <w:tc>
          <w:tcPr>
            <w:tcW w:w="2708" w:type="dxa"/>
            <w:tcBorders>
              <w:top w:val="single" w:color="auto" w:sz="8" w:space="0"/>
            </w:tcBorders>
            <w:vAlign w:val="center"/>
          </w:tcPr>
          <w:p>
            <w:pPr>
              <w:pStyle w:val="25"/>
              <w:spacing w:line="360" w:lineRule="exact"/>
              <w:rPr>
                <w:rFonts w:ascii="Times New Roman" w:hAnsi="Times New Roman"/>
              </w:rPr>
            </w:pPr>
            <w:r>
              <w:rPr>
                <w:rFonts w:ascii="Times New Roman"/>
              </w:rPr>
              <w:t>电压</w:t>
            </w:r>
            <w:r>
              <w:rPr>
                <w:rFonts w:ascii="Times New Roman" w:hAnsi="Times New Roman"/>
              </w:rPr>
              <w:t>Ua</w:t>
            </w:r>
            <w:r>
              <w:rPr>
                <w:rFonts w:ascii="Times New Roman"/>
              </w:rPr>
              <w:t>（</w:t>
            </w:r>
            <w:r>
              <w:rPr>
                <w:rFonts w:ascii="Times New Roman" w:hAnsi="Times New Roman"/>
              </w:rPr>
              <w:t>kV</w:t>
            </w:r>
            <w:r>
              <w:rPr>
                <w:rFonts w:ascii="Times New Roman"/>
              </w:rPr>
              <w:t>）</w:t>
            </w:r>
          </w:p>
        </w:tc>
        <w:tc>
          <w:tcPr>
            <w:tcW w:w="2784" w:type="dxa"/>
            <w:tcBorders>
              <w:top w:val="single" w:color="auto" w:sz="8" w:space="0"/>
              <w:right w:val="single" w:color="auto" w:sz="8" w:space="0"/>
            </w:tcBorders>
            <w:vAlign w:val="center"/>
          </w:tcPr>
          <w:p>
            <w:pPr>
              <w:pStyle w:val="25"/>
              <w:spacing w:line="360" w:lineRule="exact"/>
              <w:rPr>
                <w:rFonts w:ascii="Times New Roman" w:hAnsi="Times New Roman"/>
              </w:rPr>
            </w:pPr>
            <w:r>
              <w:rPr>
                <w:rFonts w:ascii="Times New Roman"/>
              </w:rPr>
              <w:t>电流</w:t>
            </w:r>
            <w:r>
              <w:rPr>
                <w:rFonts w:ascii="Times New Roman" w:hAnsi="Times New Roman"/>
              </w:rPr>
              <w:t>Ia</w:t>
            </w:r>
            <w:r>
              <w:rPr>
                <w:rFonts w:ascii="Times New Roman"/>
              </w:rPr>
              <w:t>（</w:t>
            </w:r>
            <w:r>
              <w:rPr>
                <w:rFonts w:ascii="Times New Roman" w:hAnsi="Times New Roman"/>
              </w:rPr>
              <w:t>A</w:t>
            </w: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5" w:type="dxa"/>
            <w:tcBorders>
              <w:left w:val="single" w:color="auto" w:sz="8" w:space="0"/>
              <w:bottom w:val="single" w:color="auto" w:sz="8" w:space="0"/>
            </w:tcBorders>
            <w:vAlign w:val="center"/>
          </w:tcPr>
          <w:p>
            <w:pPr>
              <w:pStyle w:val="25"/>
              <w:spacing w:line="360" w:lineRule="exact"/>
              <w:rPr>
                <w:rFonts w:ascii="Times New Roman" w:hAnsi="Times New Roman"/>
              </w:rPr>
            </w:pPr>
            <w:r>
              <w:rPr>
                <w:rFonts w:ascii="Times New Roman" w:hAnsi="Times New Roman"/>
                <w:szCs w:val="21"/>
              </w:rPr>
              <w:t>110kV</w:t>
            </w:r>
            <w:r>
              <w:rPr>
                <w:rFonts w:ascii="Times New Roman"/>
                <w:szCs w:val="21"/>
              </w:rPr>
              <w:t>蓝万线</w:t>
            </w:r>
            <w:r>
              <w:rPr>
                <w:szCs w:val="21"/>
              </w:rPr>
              <w:t>Ⅱ</w:t>
            </w:r>
            <w:r>
              <w:rPr>
                <w:rFonts w:ascii="Times New Roman"/>
                <w:szCs w:val="21"/>
              </w:rPr>
              <w:t>回</w:t>
            </w:r>
          </w:p>
        </w:tc>
        <w:tc>
          <w:tcPr>
            <w:tcW w:w="2708" w:type="dxa"/>
            <w:tcBorders>
              <w:bottom w:val="single" w:color="auto" w:sz="8" w:space="0"/>
            </w:tcBorders>
            <w:vAlign w:val="center"/>
          </w:tcPr>
          <w:p>
            <w:pPr>
              <w:pStyle w:val="25"/>
              <w:spacing w:line="360" w:lineRule="exact"/>
              <w:rPr>
                <w:rFonts w:ascii="Times New Roman" w:hAnsi="Times New Roman"/>
              </w:rPr>
            </w:pPr>
            <w:r>
              <w:rPr>
                <w:rFonts w:ascii="Times New Roman" w:hAnsi="Times New Roman"/>
                <w:szCs w:val="21"/>
              </w:rPr>
              <w:t>66.5</w:t>
            </w:r>
          </w:p>
        </w:tc>
        <w:tc>
          <w:tcPr>
            <w:tcW w:w="2784" w:type="dxa"/>
            <w:tcBorders>
              <w:bottom w:val="single" w:color="auto" w:sz="8" w:space="0"/>
              <w:right w:val="single" w:color="auto" w:sz="8" w:space="0"/>
            </w:tcBorders>
            <w:vAlign w:val="center"/>
          </w:tcPr>
          <w:p>
            <w:pPr>
              <w:pStyle w:val="25"/>
              <w:spacing w:line="360" w:lineRule="exact"/>
              <w:rPr>
                <w:rFonts w:ascii="Times New Roman" w:hAnsi="Times New Roman"/>
              </w:rPr>
            </w:pPr>
            <w:r>
              <w:rPr>
                <w:rFonts w:ascii="Times New Roman" w:hAnsi="Times New Roman"/>
              </w:rPr>
              <w:t>13.7</w:t>
            </w:r>
          </w:p>
        </w:tc>
      </w:tr>
    </w:tbl>
    <w:p>
      <w:pPr>
        <w:spacing w:line="520" w:lineRule="exact"/>
        <w:ind w:firstLine="480" w:firstLineChars="200"/>
        <w:rPr>
          <w:rFonts w:hAnsi="宋体" w:eastAsia="宋体"/>
          <w:sz w:val="24"/>
        </w:rPr>
      </w:pPr>
      <w:r>
        <w:rPr>
          <w:rFonts w:hAnsi="宋体" w:eastAsia="宋体"/>
          <w:sz w:val="24"/>
        </w:rPr>
        <w:t>（7）类比监测结果</w:t>
      </w:r>
    </w:p>
    <w:p>
      <w:pPr>
        <w:spacing w:line="520" w:lineRule="exact"/>
        <w:ind w:firstLine="480" w:firstLineChars="200"/>
        <w:rPr>
          <w:rFonts w:eastAsia="宋体"/>
          <w:sz w:val="24"/>
        </w:rPr>
      </w:pPr>
      <w:r>
        <w:rPr>
          <w:rFonts w:eastAsia="宋体"/>
          <w:sz w:val="24"/>
        </w:rPr>
        <w:t>110kV单回线路类比结果见表12相应变化趋势见图</w:t>
      </w:r>
      <w:r>
        <w:rPr>
          <w:rFonts w:hint="eastAsia" w:eastAsia="宋体"/>
          <w:sz w:val="24"/>
        </w:rPr>
        <w:t>6</w:t>
      </w:r>
      <w:r>
        <w:rPr>
          <w:rFonts w:eastAsia="宋体"/>
          <w:sz w:val="24"/>
        </w:rPr>
        <w:t>、图</w:t>
      </w:r>
      <w:r>
        <w:rPr>
          <w:rFonts w:hint="eastAsia" w:eastAsia="宋体"/>
          <w:sz w:val="24"/>
        </w:rPr>
        <w:t>7。</w:t>
      </w:r>
    </w:p>
    <w:p>
      <w:pPr>
        <w:pStyle w:val="4"/>
        <w:adjustRightInd w:val="0"/>
        <w:snapToGrid w:val="0"/>
        <w:ind w:firstLine="480" w:firstLineChars="200"/>
        <w:rPr>
          <w:rFonts w:ascii="黑体" w:hAnsi="黑体"/>
          <w:sz w:val="24"/>
          <w:szCs w:val="24"/>
        </w:rPr>
      </w:pPr>
      <w:bookmarkStart w:id="70" w:name="_Ref180550382"/>
    </w:p>
    <w:p>
      <w:pPr>
        <w:pStyle w:val="4"/>
        <w:adjustRightInd w:val="0"/>
        <w:snapToGrid w:val="0"/>
        <w:ind w:firstLine="480" w:firstLineChars="200"/>
        <w:rPr>
          <w:rFonts w:ascii="Times New Roman" w:hAnsi="黑体"/>
          <w:sz w:val="24"/>
          <w:szCs w:val="24"/>
        </w:rPr>
      </w:pPr>
    </w:p>
    <w:p>
      <w:pPr>
        <w:pStyle w:val="4"/>
        <w:adjustRightInd w:val="0"/>
        <w:snapToGrid w:val="0"/>
        <w:ind w:firstLine="480" w:firstLineChars="200"/>
        <w:rPr>
          <w:rFonts w:ascii="Times New Roman" w:hAnsi="Times New Roman"/>
          <w:sz w:val="24"/>
          <w:szCs w:val="24"/>
        </w:rPr>
      </w:pPr>
      <w:r>
        <w:rPr>
          <w:rFonts w:ascii="Times New Roman" w:hAnsi="黑体"/>
          <w:sz w:val="24"/>
          <w:szCs w:val="24"/>
        </w:rPr>
        <w:t>表</w:t>
      </w:r>
      <w:r>
        <w:rPr>
          <w:rFonts w:ascii="Times New Roman" w:hAnsi="Times New Roman"/>
          <w:sz w:val="24"/>
          <w:szCs w:val="24"/>
        </w:rPr>
        <w:t xml:space="preserve"> </w:t>
      </w:r>
      <w:bookmarkEnd w:id="70"/>
      <w:r>
        <w:rPr>
          <w:rFonts w:ascii="Times New Roman" w:hAnsi="Times New Roman"/>
          <w:sz w:val="24"/>
          <w:szCs w:val="24"/>
        </w:rPr>
        <w:t>1</w:t>
      </w:r>
      <w:r>
        <w:rPr>
          <w:rFonts w:hint="eastAsia" w:ascii="Times New Roman" w:hAnsi="Times New Roman"/>
          <w:sz w:val="24"/>
          <w:szCs w:val="24"/>
        </w:rPr>
        <w:t>1</w:t>
      </w:r>
      <w:r>
        <w:rPr>
          <w:rFonts w:ascii="Times New Roman" w:hAnsi="Times New Roman"/>
          <w:sz w:val="24"/>
          <w:szCs w:val="24"/>
        </w:rPr>
        <w:t xml:space="preserve">   110kV</w:t>
      </w:r>
      <w:r>
        <w:rPr>
          <w:rFonts w:ascii="Times New Roman" w:hAnsi="黑体"/>
          <w:sz w:val="24"/>
          <w:szCs w:val="24"/>
        </w:rPr>
        <w:t>蓝万线线路工频电场、工频磁感应强度监测结果</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692"/>
        <w:gridCol w:w="1286"/>
        <w:gridCol w:w="1988"/>
        <w:gridCol w:w="22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25"/>
              <w:spacing w:line="360" w:lineRule="exact"/>
              <w:rPr>
                <w:rFonts w:ascii="Times New Roman" w:hAnsi="Times New Roman"/>
                <w:szCs w:val="21"/>
              </w:rPr>
            </w:pPr>
            <w:r>
              <w:rPr>
                <w:rFonts w:ascii="Times New Roman" w:hAnsi="Times New Roman"/>
                <w:szCs w:val="21"/>
              </w:rPr>
              <w:t>点位编号</w:t>
            </w:r>
          </w:p>
        </w:tc>
        <w:tc>
          <w:tcPr>
            <w:tcW w:w="3239" w:type="dxa"/>
            <w:gridSpan w:val="2"/>
            <w:vAlign w:val="center"/>
          </w:tcPr>
          <w:p>
            <w:pPr>
              <w:pStyle w:val="25"/>
              <w:spacing w:line="360" w:lineRule="exact"/>
              <w:rPr>
                <w:rFonts w:ascii="Times New Roman" w:hAnsi="Times New Roman"/>
                <w:szCs w:val="21"/>
              </w:rPr>
            </w:pPr>
            <w:r>
              <w:rPr>
                <w:rFonts w:ascii="Times New Roman" w:hAnsi="Times New Roman"/>
                <w:szCs w:val="21"/>
              </w:rPr>
              <w:t>点位描述</w:t>
            </w:r>
          </w:p>
        </w:tc>
        <w:tc>
          <w:tcPr>
            <w:tcW w:w="2171" w:type="dxa"/>
            <w:vAlign w:val="center"/>
          </w:tcPr>
          <w:p>
            <w:pPr>
              <w:pStyle w:val="25"/>
              <w:spacing w:line="360" w:lineRule="exact"/>
              <w:rPr>
                <w:rFonts w:ascii="Times New Roman" w:hAnsi="Times New Roman"/>
                <w:szCs w:val="21"/>
              </w:rPr>
            </w:pPr>
            <w:r>
              <w:rPr>
                <w:rFonts w:ascii="Times New Roman" w:hAnsi="Times New Roman"/>
                <w:szCs w:val="21"/>
              </w:rPr>
              <w:t>电场强度（V/m）</w:t>
            </w:r>
          </w:p>
        </w:tc>
        <w:tc>
          <w:tcPr>
            <w:tcW w:w="2441" w:type="dxa"/>
            <w:vAlign w:val="center"/>
          </w:tcPr>
          <w:p>
            <w:pPr>
              <w:pStyle w:val="25"/>
              <w:spacing w:line="360" w:lineRule="exact"/>
              <w:rPr>
                <w:rFonts w:ascii="Times New Roman" w:hAnsi="Times New Roman"/>
                <w:szCs w:val="21"/>
              </w:rPr>
            </w:pPr>
            <w:r>
              <w:rPr>
                <w:rFonts w:ascii="Times New Roman" w:hAnsi="Times New Roman"/>
                <w:szCs w:val="21"/>
              </w:rPr>
              <w:t>磁场强度（μT）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25"/>
              <w:spacing w:line="360" w:lineRule="exact"/>
              <w:rPr>
                <w:rFonts w:ascii="Times New Roman" w:hAnsi="Times New Roman"/>
                <w:szCs w:val="21"/>
              </w:rPr>
            </w:pPr>
            <w:r>
              <w:rPr>
                <w:rFonts w:ascii="Times New Roman" w:hAnsi="Times New Roman"/>
                <w:szCs w:val="21"/>
              </w:rPr>
              <w:t>1</w:t>
            </w:r>
          </w:p>
        </w:tc>
        <w:tc>
          <w:tcPr>
            <w:tcW w:w="1844" w:type="dxa"/>
            <w:vMerge w:val="restart"/>
            <w:vAlign w:val="center"/>
          </w:tcPr>
          <w:p>
            <w:pPr>
              <w:adjustRightInd w:val="0"/>
              <w:snapToGrid w:val="0"/>
              <w:spacing w:line="360" w:lineRule="exact"/>
              <w:jc w:val="center"/>
              <w:rPr>
                <w:rFonts w:eastAsia="宋体"/>
                <w:color w:val="0000FF"/>
                <w:sz w:val="21"/>
                <w:szCs w:val="21"/>
              </w:rPr>
            </w:pPr>
            <w:r>
              <w:rPr>
                <w:rFonts w:eastAsia="宋体"/>
                <w:sz w:val="21"/>
                <w:szCs w:val="21"/>
              </w:rPr>
              <w:t>110kV蓝万线</w:t>
            </w:r>
            <w:r>
              <w:rPr>
                <w:rFonts w:hint="eastAsia" w:ascii="宋体" w:hAnsi="宋体" w:eastAsia="宋体" w:cs="宋体"/>
                <w:sz w:val="21"/>
                <w:szCs w:val="21"/>
              </w:rPr>
              <w:t>Ⅱ</w:t>
            </w:r>
            <w:r>
              <w:rPr>
                <w:rFonts w:eastAsia="宋体"/>
                <w:sz w:val="21"/>
                <w:szCs w:val="21"/>
              </w:rPr>
              <w:t>回线路监测断面，线高20m。</w:t>
            </w:r>
          </w:p>
        </w:tc>
        <w:tc>
          <w:tcPr>
            <w:tcW w:w="1395" w:type="dxa"/>
            <w:vAlign w:val="center"/>
          </w:tcPr>
          <w:p>
            <w:pPr>
              <w:spacing w:line="360" w:lineRule="exact"/>
              <w:jc w:val="center"/>
              <w:rPr>
                <w:rFonts w:eastAsia="宋体"/>
                <w:bCs/>
                <w:sz w:val="21"/>
                <w:szCs w:val="21"/>
              </w:rPr>
            </w:pPr>
            <w:r>
              <w:rPr>
                <w:rFonts w:eastAsia="宋体"/>
                <w:bCs/>
                <w:sz w:val="21"/>
                <w:szCs w:val="21"/>
              </w:rPr>
              <w:t>0m</w:t>
            </w:r>
          </w:p>
        </w:tc>
        <w:tc>
          <w:tcPr>
            <w:tcW w:w="2171" w:type="dxa"/>
            <w:vAlign w:val="center"/>
          </w:tcPr>
          <w:p>
            <w:pPr>
              <w:spacing w:line="360" w:lineRule="exact"/>
              <w:jc w:val="center"/>
              <w:rPr>
                <w:rFonts w:eastAsia="宋体"/>
                <w:sz w:val="21"/>
                <w:szCs w:val="21"/>
              </w:rPr>
            </w:pPr>
            <w:r>
              <w:rPr>
                <w:rFonts w:eastAsia="宋体"/>
                <w:sz w:val="21"/>
                <w:szCs w:val="21"/>
              </w:rPr>
              <w:t>187.5</w:t>
            </w:r>
          </w:p>
        </w:tc>
        <w:tc>
          <w:tcPr>
            <w:tcW w:w="2441" w:type="dxa"/>
            <w:vAlign w:val="center"/>
          </w:tcPr>
          <w:p>
            <w:pPr>
              <w:spacing w:line="360" w:lineRule="exact"/>
              <w:jc w:val="center"/>
              <w:rPr>
                <w:rFonts w:eastAsia="宋体"/>
                <w:sz w:val="21"/>
                <w:szCs w:val="21"/>
              </w:rPr>
            </w:pPr>
            <w:r>
              <w:rPr>
                <w:rFonts w:eastAsia="宋体"/>
                <w:sz w:val="21"/>
                <w:szCs w:val="21"/>
              </w:rPr>
              <w:t>0.1875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2</w:t>
            </w:r>
          </w:p>
        </w:tc>
        <w:tc>
          <w:tcPr>
            <w:tcW w:w="1844" w:type="dxa"/>
            <w:vMerge w:val="continue"/>
            <w:vAlign w:val="center"/>
          </w:tcPr>
          <w:p>
            <w:pPr>
              <w:pStyle w:val="25"/>
              <w:spacing w:line="360" w:lineRule="exact"/>
              <w:rPr>
                <w:rFonts w:ascii="Times New Roman" w:hAnsi="Times New Roman"/>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5m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210.3</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0.1636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3</w:t>
            </w:r>
          </w:p>
        </w:tc>
        <w:tc>
          <w:tcPr>
            <w:tcW w:w="1844" w:type="dxa"/>
            <w:vMerge w:val="continue"/>
            <w:vAlign w:val="center"/>
          </w:tcPr>
          <w:p>
            <w:pPr>
              <w:pStyle w:val="37"/>
              <w:spacing w:line="360" w:lineRule="exact"/>
              <w:jc w:val="center"/>
              <w:rPr>
                <w:sz w:val="21"/>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10m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165.9</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0.1305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4</w:t>
            </w:r>
          </w:p>
        </w:tc>
        <w:tc>
          <w:tcPr>
            <w:tcW w:w="1844" w:type="dxa"/>
            <w:vMerge w:val="continue"/>
            <w:vAlign w:val="center"/>
          </w:tcPr>
          <w:p>
            <w:pPr>
              <w:pStyle w:val="37"/>
              <w:spacing w:line="360" w:lineRule="exact"/>
              <w:jc w:val="center"/>
              <w:rPr>
                <w:sz w:val="21"/>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15m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130.7</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0.1121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5</w:t>
            </w:r>
          </w:p>
        </w:tc>
        <w:tc>
          <w:tcPr>
            <w:tcW w:w="1844" w:type="dxa"/>
            <w:vMerge w:val="continue"/>
            <w:vAlign w:val="center"/>
          </w:tcPr>
          <w:p>
            <w:pPr>
              <w:pStyle w:val="37"/>
              <w:spacing w:line="360" w:lineRule="exact"/>
              <w:jc w:val="center"/>
              <w:rPr>
                <w:sz w:val="21"/>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20m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95.78</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0.0898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6</w:t>
            </w:r>
          </w:p>
        </w:tc>
        <w:tc>
          <w:tcPr>
            <w:tcW w:w="1844" w:type="dxa"/>
            <w:vMerge w:val="continue"/>
            <w:vAlign w:val="center"/>
          </w:tcPr>
          <w:p>
            <w:pPr>
              <w:pStyle w:val="37"/>
              <w:spacing w:line="360" w:lineRule="exact"/>
              <w:jc w:val="center"/>
              <w:rPr>
                <w:sz w:val="21"/>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25m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72.08</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0.0788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7</w:t>
            </w:r>
          </w:p>
        </w:tc>
        <w:tc>
          <w:tcPr>
            <w:tcW w:w="1844" w:type="dxa"/>
            <w:vMerge w:val="continue"/>
            <w:vAlign w:val="center"/>
          </w:tcPr>
          <w:p>
            <w:pPr>
              <w:pStyle w:val="37"/>
              <w:spacing w:line="360" w:lineRule="exact"/>
              <w:jc w:val="center"/>
              <w:rPr>
                <w:sz w:val="21"/>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30m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55.65</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0.0673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8</w:t>
            </w:r>
          </w:p>
        </w:tc>
        <w:tc>
          <w:tcPr>
            <w:tcW w:w="1844" w:type="dxa"/>
            <w:vMerge w:val="continue"/>
            <w:vAlign w:val="center"/>
          </w:tcPr>
          <w:p>
            <w:pPr>
              <w:pStyle w:val="37"/>
              <w:spacing w:line="360" w:lineRule="exact"/>
              <w:jc w:val="center"/>
              <w:rPr>
                <w:sz w:val="21"/>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35m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43.60</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0.0606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37"/>
              <w:spacing w:line="360" w:lineRule="exact"/>
              <w:jc w:val="center"/>
              <w:rPr>
                <w:sz w:val="21"/>
                <w:szCs w:val="21"/>
              </w:rPr>
            </w:pPr>
            <w:r>
              <w:rPr>
                <w:sz w:val="21"/>
                <w:szCs w:val="21"/>
              </w:rPr>
              <w:t>9</w:t>
            </w:r>
          </w:p>
        </w:tc>
        <w:tc>
          <w:tcPr>
            <w:tcW w:w="1844" w:type="dxa"/>
            <w:vMerge w:val="continue"/>
            <w:vAlign w:val="center"/>
          </w:tcPr>
          <w:p>
            <w:pPr>
              <w:pStyle w:val="37"/>
              <w:spacing w:line="360" w:lineRule="exact"/>
              <w:jc w:val="center"/>
              <w:rPr>
                <w:sz w:val="21"/>
                <w:szCs w:val="21"/>
              </w:rPr>
            </w:pPr>
          </w:p>
        </w:tc>
        <w:tc>
          <w:tcPr>
            <w:tcW w:w="1395" w:type="dxa"/>
            <w:vAlign w:val="center"/>
          </w:tcPr>
          <w:p>
            <w:pPr>
              <w:pStyle w:val="8"/>
              <w:spacing w:after="0" w:line="360" w:lineRule="exact"/>
              <w:ind w:left="0" w:leftChars="0"/>
              <w:jc w:val="center"/>
              <w:rPr>
                <w:rFonts w:eastAsia="宋体"/>
                <w:sz w:val="21"/>
                <w:szCs w:val="21"/>
              </w:rPr>
            </w:pPr>
            <w:r>
              <w:rPr>
                <w:rFonts w:eastAsia="宋体"/>
                <w:bCs/>
                <w:sz w:val="21"/>
                <w:szCs w:val="21"/>
              </w:rPr>
              <w:t>40m</w:t>
            </w:r>
          </w:p>
        </w:tc>
        <w:tc>
          <w:tcPr>
            <w:tcW w:w="2171" w:type="dxa"/>
            <w:vAlign w:val="center"/>
          </w:tcPr>
          <w:p>
            <w:pPr>
              <w:pStyle w:val="8"/>
              <w:spacing w:after="0" w:line="360" w:lineRule="exact"/>
              <w:ind w:left="0" w:leftChars="0"/>
              <w:jc w:val="center"/>
              <w:rPr>
                <w:rFonts w:eastAsia="宋体"/>
                <w:sz w:val="21"/>
                <w:szCs w:val="21"/>
              </w:rPr>
            </w:pPr>
            <w:r>
              <w:rPr>
                <w:rFonts w:eastAsia="宋体"/>
                <w:sz w:val="21"/>
                <w:szCs w:val="21"/>
              </w:rPr>
              <w:t>35.78</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0.0615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6" w:type="dxa"/>
            <w:vAlign w:val="center"/>
          </w:tcPr>
          <w:p>
            <w:pPr>
              <w:pStyle w:val="25"/>
              <w:spacing w:line="360" w:lineRule="exact"/>
              <w:rPr>
                <w:rFonts w:ascii="Times New Roman" w:hAnsi="Times New Roman"/>
                <w:szCs w:val="21"/>
              </w:rPr>
            </w:pPr>
            <w:r>
              <w:rPr>
                <w:rFonts w:ascii="Times New Roman" w:hAnsi="Times New Roman"/>
                <w:szCs w:val="21"/>
              </w:rPr>
              <w:t>10</w:t>
            </w:r>
          </w:p>
        </w:tc>
        <w:tc>
          <w:tcPr>
            <w:tcW w:w="1844" w:type="dxa"/>
            <w:vMerge w:val="continue"/>
            <w:vAlign w:val="center"/>
          </w:tcPr>
          <w:p>
            <w:pPr>
              <w:pStyle w:val="25"/>
              <w:spacing w:line="360" w:lineRule="exact"/>
              <w:rPr>
                <w:rFonts w:ascii="Times New Roman" w:hAnsi="Times New Roman"/>
                <w:szCs w:val="21"/>
              </w:rPr>
            </w:pPr>
          </w:p>
        </w:tc>
        <w:tc>
          <w:tcPr>
            <w:tcW w:w="1395" w:type="dxa"/>
            <w:vAlign w:val="center"/>
          </w:tcPr>
          <w:p>
            <w:pPr>
              <w:pStyle w:val="19"/>
              <w:spacing w:before="0" w:beforeAutospacing="0" w:after="0" w:afterAutospacing="0" w:line="360" w:lineRule="exact"/>
              <w:rPr>
                <w:rFonts w:ascii="Times New Roman" w:hAnsi="Times New Roman"/>
              </w:rPr>
            </w:pPr>
            <w:r>
              <w:rPr>
                <w:rFonts w:ascii="Times New Roman" w:hAnsi="Times New Roman"/>
                <w:bCs/>
              </w:rPr>
              <w:t>45m</w:t>
            </w:r>
          </w:p>
        </w:tc>
        <w:tc>
          <w:tcPr>
            <w:tcW w:w="217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29.95</w:t>
            </w:r>
          </w:p>
        </w:tc>
        <w:tc>
          <w:tcPr>
            <w:tcW w:w="2441" w:type="dxa"/>
            <w:vAlign w:val="center"/>
          </w:tcPr>
          <w:p>
            <w:pPr>
              <w:pStyle w:val="19"/>
              <w:spacing w:before="0" w:beforeAutospacing="0" w:after="0" w:afterAutospacing="0" w:line="360" w:lineRule="exact"/>
              <w:rPr>
                <w:rFonts w:ascii="Times New Roman" w:hAnsi="Times New Roman"/>
              </w:rPr>
            </w:pPr>
            <w:r>
              <w:rPr>
                <w:rFonts w:ascii="Times New Roman" w:hAnsi="Times New Roman"/>
              </w:rPr>
              <w:t>0.0571</w:t>
            </w:r>
          </w:p>
        </w:tc>
      </w:tr>
    </w:tbl>
    <w:p>
      <w:pPr>
        <w:spacing w:line="520" w:lineRule="exact"/>
        <w:ind w:firstLine="480" w:firstLineChars="200"/>
        <w:rPr>
          <w:rFonts w:eastAsia="宋体"/>
          <w:sz w:val="24"/>
        </w:rPr>
      </w:pPr>
      <w:r>
        <w:rPr>
          <w:rFonts w:eastAsia="宋体"/>
          <w:sz w:val="24"/>
        </w:rPr>
        <w:pict>
          <v:shape id="_x0000_s2497" o:spid="_x0000_s2497" o:spt="202" type="#_x0000_t202" style="position:absolute;left:0pt;margin-left:19.1pt;margin-top:23.1pt;height:146.15pt;width:37.1pt;z-index:251679744;mso-width-relative:page;mso-height-relative:page;" filled="f" stroked="f" coordsize="21600,21600">
            <v:path/>
            <v:fill on="f" focussize="0,0"/>
            <v:stroke on="f" joinstyle="miter"/>
            <v:imagedata o:title=""/>
            <o:lock v:ext="edit"/>
            <v:textbox style="layout-flow:vertical-ideographic;">
              <w:txbxContent>
                <w:p>
                  <w:pPr>
                    <w:rPr>
                      <w:rFonts w:eastAsia="宋体"/>
                      <w:sz w:val="24"/>
                    </w:rPr>
                  </w:pPr>
                  <w:r>
                    <w:rPr>
                      <w:rFonts w:hAnsi="宋体" w:eastAsia="宋体"/>
                      <w:bCs/>
                      <w:sz w:val="24"/>
                    </w:rPr>
                    <w:t>工频电场强度（</w:t>
                  </w:r>
                  <w:r>
                    <w:rPr>
                      <w:rFonts w:eastAsia="宋体"/>
                      <w:bCs/>
                      <w:sz w:val="24"/>
                    </w:rPr>
                    <w:t>V/m</w:t>
                  </w:r>
                  <w:r>
                    <w:rPr>
                      <w:rFonts w:hAnsi="宋体" w:eastAsia="宋体"/>
                      <w:sz w:val="24"/>
                    </w:rPr>
                    <w:t>）</w:t>
                  </w:r>
                  <w:r>
                    <w:rPr>
                      <w:rFonts w:eastAsia="宋体"/>
                      <w:sz w:val="24"/>
                    </w:rPr>
                    <w:t xml:space="preserve"> </w:t>
                  </w:r>
                </w:p>
                <w:p/>
              </w:txbxContent>
            </v:textbox>
          </v:shape>
        </w:pict>
      </w:r>
      <w:r>
        <w:rPr>
          <w:rFonts w:eastAsia="宋体"/>
          <w:sz w:val="24"/>
        </w:rPr>
        <w:drawing>
          <wp:anchor distT="0" distB="0" distL="114300" distR="114300" simplePos="0" relativeHeight="251678720" behindDoc="0" locked="0" layoutInCell="1" allowOverlap="1">
            <wp:simplePos x="0" y="0"/>
            <wp:positionH relativeFrom="column">
              <wp:posOffset>228600</wp:posOffset>
            </wp:positionH>
            <wp:positionV relativeFrom="paragraph">
              <wp:posOffset>85090</wp:posOffset>
            </wp:positionV>
            <wp:extent cx="4639310" cy="2686050"/>
            <wp:effectExtent l="19050" t="0" r="27940" b="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rPr>
          <w:rFonts w:eastAsia="宋体"/>
          <w:sz w:val="24"/>
        </w:rPr>
      </w:pPr>
      <w:r>
        <w:rPr>
          <w:rFonts w:eastAsia="宋体"/>
          <w:sz w:val="24"/>
        </w:rPr>
        <w:pict>
          <v:shape id="_x0000_s2498" o:spid="_x0000_s2498" o:spt="202" type="#_x0000_t202" style="position:absolute;left:0pt;margin-left:114.2pt;margin-top:12.2pt;height:24.75pt;width:204.35pt;z-index:251680768;mso-width-relative:page;mso-height-relative:page;" filled="f" stroked="f" coordsize="21600,21600">
            <v:path/>
            <v:fill on="f" focussize="0,0"/>
            <v:stroke on="f" joinstyle="miter"/>
            <v:imagedata o:title=""/>
            <o:lock v:ext="edit"/>
            <v:textbox>
              <w:txbxContent>
                <w:p>
                  <w:pPr>
                    <w:jc w:val="center"/>
                    <w:rPr>
                      <w:rFonts w:eastAsia="宋体"/>
                      <w:sz w:val="24"/>
                    </w:rPr>
                  </w:pPr>
                  <w:r>
                    <w:rPr>
                      <w:rFonts w:hAnsi="宋体" w:eastAsia="宋体"/>
                      <w:sz w:val="24"/>
                    </w:rPr>
                    <w:t>距</w:t>
                  </w:r>
                  <w:r>
                    <w:rPr>
                      <w:rFonts w:hint="eastAsia" w:hAnsi="宋体" w:eastAsia="宋体"/>
                      <w:sz w:val="24"/>
                    </w:rPr>
                    <w:t>线路</w:t>
                  </w:r>
                  <w:r>
                    <w:rPr>
                      <w:rFonts w:hAnsi="宋体" w:eastAsia="宋体"/>
                      <w:sz w:val="24"/>
                    </w:rPr>
                    <w:t>距离（</w:t>
                  </w:r>
                  <w:r>
                    <w:rPr>
                      <w:rFonts w:eastAsia="宋体"/>
                      <w:sz w:val="24"/>
                    </w:rPr>
                    <w:t>m</w:t>
                  </w:r>
                  <w:r>
                    <w:rPr>
                      <w:rFonts w:hAnsi="宋体" w:eastAsia="宋体"/>
                      <w:sz w:val="24"/>
                    </w:rPr>
                    <w:t>）</w:t>
                  </w:r>
                </w:p>
                <w:p/>
              </w:txbxContent>
            </v:textbox>
          </v:shape>
        </w:pict>
      </w:r>
    </w:p>
    <w:p>
      <w:pPr>
        <w:rPr>
          <w:rFonts w:eastAsia="宋体"/>
          <w:sz w:val="24"/>
        </w:rPr>
      </w:pPr>
    </w:p>
    <w:p>
      <w:pPr>
        <w:spacing w:line="520" w:lineRule="exact"/>
        <w:jc w:val="center"/>
        <w:rPr>
          <w:rFonts w:hAnsi="黑体" w:eastAsia="黑体"/>
          <w:sz w:val="24"/>
        </w:rPr>
      </w:pPr>
      <w:r>
        <w:rPr>
          <w:rFonts w:hAnsi="黑体" w:eastAsia="黑体"/>
          <w:sz w:val="24"/>
        </w:rPr>
        <w:t>图</w:t>
      </w:r>
      <w:r>
        <w:rPr>
          <w:rFonts w:hint="eastAsia" w:hAnsi="黑体" w:eastAsia="黑体"/>
          <w:sz w:val="24"/>
        </w:rPr>
        <w:t xml:space="preserve">7   </w:t>
      </w:r>
      <w:r>
        <w:rPr>
          <w:rFonts w:hAnsi="黑体" w:eastAsia="黑体"/>
          <w:sz w:val="24"/>
        </w:rPr>
        <w:t>110kV蓝万线线路工频电场强度分布图</w:t>
      </w:r>
    </w:p>
    <w:p>
      <w:pPr>
        <w:spacing w:line="520" w:lineRule="exact"/>
        <w:ind w:firstLine="480" w:firstLineChars="200"/>
        <w:rPr>
          <w:rFonts w:eastAsia="宋体"/>
          <w:sz w:val="24"/>
        </w:rPr>
      </w:pPr>
      <w:r>
        <w:rPr>
          <w:rFonts w:eastAsia="宋体"/>
          <w:sz w:val="24"/>
        </w:rPr>
        <w:drawing>
          <wp:anchor distT="0" distB="0" distL="114300" distR="114300" simplePos="0" relativeHeight="251642880" behindDoc="0" locked="0" layoutInCell="1" allowOverlap="1">
            <wp:simplePos x="0" y="0"/>
            <wp:positionH relativeFrom="column">
              <wp:posOffset>228600</wp:posOffset>
            </wp:positionH>
            <wp:positionV relativeFrom="paragraph">
              <wp:posOffset>132715</wp:posOffset>
            </wp:positionV>
            <wp:extent cx="4633595" cy="2586355"/>
            <wp:effectExtent l="19050" t="0" r="14605" b="4445"/>
            <wp:wrapNone/>
            <wp:docPr id="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p>
    <w:p>
      <w:pPr>
        <w:spacing w:line="520" w:lineRule="exact"/>
        <w:ind w:firstLine="480" w:firstLineChars="200"/>
        <w:rPr>
          <w:rFonts w:eastAsia="宋体"/>
          <w:sz w:val="24"/>
        </w:rPr>
      </w:pPr>
      <w:r>
        <w:rPr>
          <w:rFonts w:eastAsia="宋体"/>
          <w:sz w:val="24"/>
        </w:rPr>
        <w:pict>
          <v:shape id="_x0000_s2499" o:spid="_x0000_s2499" o:spt="202" type="#_x0000_t202" style="position:absolute;left:0pt;margin-left:127.3pt;margin-top:9.25pt;height:24.75pt;width:204.35pt;z-index:251681792;mso-width-relative:page;mso-height-relative:page;" filled="f" stroked="f" coordsize="21600,21600">
            <v:path/>
            <v:fill on="f" focussize="0,0"/>
            <v:stroke on="f" joinstyle="miter"/>
            <v:imagedata o:title=""/>
            <o:lock v:ext="edit"/>
            <v:textbox>
              <w:txbxContent>
                <w:p>
                  <w:pPr>
                    <w:jc w:val="center"/>
                    <w:rPr>
                      <w:rFonts w:eastAsia="宋体"/>
                      <w:sz w:val="24"/>
                    </w:rPr>
                  </w:pPr>
                  <w:r>
                    <w:rPr>
                      <w:rFonts w:hAnsi="宋体" w:eastAsia="宋体"/>
                      <w:sz w:val="24"/>
                    </w:rPr>
                    <w:t>距</w:t>
                  </w:r>
                  <w:r>
                    <w:rPr>
                      <w:rFonts w:hint="eastAsia" w:hAnsi="宋体" w:eastAsia="宋体"/>
                      <w:sz w:val="24"/>
                    </w:rPr>
                    <w:t>线路</w:t>
                  </w:r>
                  <w:r>
                    <w:rPr>
                      <w:rFonts w:hAnsi="宋体" w:eastAsia="宋体"/>
                      <w:sz w:val="24"/>
                    </w:rPr>
                    <w:t>距离（</w:t>
                  </w:r>
                  <w:r>
                    <w:rPr>
                      <w:rFonts w:eastAsia="宋体"/>
                      <w:sz w:val="24"/>
                    </w:rPr>
                    <w:t>m</w:t>
                  </w:r>
                  <w:r>
                    <w:rPr>
                      <w:rFonts w:hAnsi="宋体" w:eastAsia="宋体"/>
                      <w:sz w:val="24"/>
                    </w:rPr>
                    <w:t>）</w:t>
                  </w:r>
                </w:p>
                <w:p/>
              </w:txbxContent>
            </v:textbox>
          </v:shape>
        </w:pict>
      </w:r>
    </w:p>
    <w:p>
      <w:pPr>
        <w:spacing w:line="520" w:lineRule="exact"/>
        <w:jc w:val="center"/>
        <w:rPr>
          <w:rFonts w:eastAsia="宋体"/>
          <w:sz w:val="24"/>
        </w:rPr>
      </w:pPr>
      <w:r>
        <w:rPr>
          <w:rFonts w:hAnsi="黑体" w:eastAsia="黑体"/>
          <w:sz w:val="24"/>
        </w:rPr>
        <w:t>图</w:t>
      </w:r>
      <w:r>
        <w:rPr>
          <w:rFonts w:hint="eastAsia" w:hAnsi="黑体" w:eastAsia="黑体"/>
          <w:sz w:val="24"/>
        </w:rPr>
        <w:t xml:space="preserve">8  </w:t>
      </w:r>
      <w:r>
        <w:rPr>
          <w:rFonts w:hAnsi="黑体" w:eastAsia="黑体"/>
          <w:sz w:val="24"/>
        </w:rPr>
        <w:t>110kV蓝万线线路磁感应强度分布图</w:t>
      </w:r>
    </w:p>
    <w:p>
      <w:pPr>
        <w:spacing w:line="520" w:lineRule="exact"/>
        <w:ind w:firstLine="480" w:firstLineChars="200"/>
        <w:rPr>
          <w:rFonts w:hAnsi="宋体" w:eastAsia="宋体"/>
          <w:sz w:val="24"/>
        </w:rPr>
      </w:pPr>
      <w:r>
        <w:rPr>
          <w:rFonts w:hint="eastAsia" w:hAnsi="宋体" w:eastAsia="宋体"/>
          <w:sz w:val="24"/>
        </w:rPr>
        <w:t>（8）</w:t>
      </w:r>
      <w:r>
        <w:rPr>
          <w:rFonts w:hAnsi="宋体" w:eastAsia="宋体"/>
          <w:sz w:val="24"/>
        </w:rPr>
        <w:t>类比监测结果分析</w:t>
      </w:r>
    </w:p>
    <w:p>
      <w:pPr>
        <w:spacing w:line="520" w:lineRule="exact"/>
        <w:ind w:firstLine="480" w:firstLineChars="200"/>
        <w:rPr>
          <w:rFonts w:eastAsia="宋体"/>
          <w:sz w:val="24"/>
        </w:rPr>
      </w:pPr>
      <w:r>
        <w:rPr>
          <w:rFonts w:hAnsi="宋体" w:eastAsia="宋体"/>
          <w:sz w:val="24"/>
        </w:rPr>
        <w:t>由以上监测结果可以看出，</w:t>
      </w:r>
      <w:r>
        <w:rPr>
          <w:rFonts w:eastAsia="宋体"/>
          <w:sz w:val="24"/>
        </w:rPr>
        <w:t>110kV</w:t>
      </w:r>
      <w:r>
        <w:rPr>
          <w:rFonts w:hAnsi="宋体" w:eastAsia="宋体"/>
          <w:sz w:val="24"/>
        </w:rPr>
        <w:t>蓝万线线路工频电场为</w:t>
      </w:r>
      <w:r>
        <w:rPr>
          <w:rFonts w:eastAsia="宋体"/>
          <w:sz w:val="24"/>
        </w:rPr>
        <w:t>29.95</w:t>
      </w:r>
      <w:r>
        <w:rPr>
          <w:rFonts w:hAnsi="宋体" w:eastAsia="宋体"/>
          <w:sz w:val="24"/>
        </w:rPr>
        <w:t>～</w:t>
      </w:r>
      <w:r>
        <w:rPr>
          <w:rFonts w:eastAsia="宋体"/>
          <w:sz w:val="24"/>
        </w:rPr>
        <w:t>210.3V/m</w:t>
      </w:r>
      <w:r>
        <w:rPr>
          <w:rFonts w:hAnsi="宋体" w:eastAsia="宋体"/>
          <w:sz w:val="24"/>
        </w:rPr>
        <w:t>，最大值出现在距离线路走廊</w:t>
      </w:r>
      <w:r>
        <w:rPr>
          <w:rFonts w:eastAsia="宋体"/>
          <w:sz w:val="24"/>
        </w:rPr>
        <w:t>5m</w:t>
      </w:r>
      <w:r>
        <w:rPr>
          <w:rFonts w:hAnsi="宋体" w:eastAsia="宋体"/>
          <w:sz w:val="24"/>
        </w:rPr>
        <w:t>处，最大值为</w:t>
      </w:r>
      <w:r>
        <w:rPr>
          <w:rFonts w:eastAsia="宋体"/>
          <w:sz w:val="24"/>
        </w:rPr>
        <w:t>210.3V/m</w:t>
      </w:r>
      <w:r>
        <w:rPr>
          <w:rFonts w:hAnsi="宋体" w:eastAsia="宋体"/>
          <w:sz w:val="24"/>
        </w:rPr>
        <w:t>。各测点值均满足</w:t>
      </w:r>
      <w:r>
        <w:rPr>
          <w:rFonts w:eastAsia="宋体"/>
          <w:sz w:val="24"/>
        </w:rPr>
        <w:t>4kV/m</w:t>
      </w:r>
      <w:r>
        <w:rPr>
          <w:rFonts w:hAnsi="宋体" w:eastAsia="宋体"/>
          <w:sz w:val="24"/>
        </w:rPr>
        <w:t>的标准限值。</w:t>
      </w:r>
    </w:p>
    <w:p>
      <w:pPr>
        <w:spacing w:line="520" w:lineRule="exact"/>
        <w:ind w:firstLine="480" w:firstLineChars="200"/>
        <w:rPr>
          <w:rFonts w:eastAsia="宋体"/>
          <w:sz w:val="24"/>
        </w:rPr>
      </w:pPr>
      <w:r>
        <w:rPr>
          <w:rFonts w:hAnsi="宋体" w:eastAsia="宋体"/>
          <w:sz w:val="24"/>
        </w:rPr>
        <w:t>由表</w:t>
      </w:r>
      <w:r>
        <w:rPr>
          <w:rFonts w:eastAsia="宋体"/>
          <w:sz w:val="24"/>
        </w:rPr>
        <w:t>1</w:t>
      </w:r>
      <w:r>
        <w:rPr>
          <w:rFonts w:hint="eastAsia" w:eastAsia="宋体"/>
          <w:sz w:val="24"/>
        </w:rPr>
        <w:t>1</w:t>
      </w:r>
      <w:r>
        <w:rPr>
          <w:rFonts w:hAnsi="宋体" w:eastAsia="宋体"/>
          <w:sz w:val="24"/>
        </w:rPr>
        <w:t>图</w:t>
      </w:r>
      <w:r>
        <w:rPr>
          <w:rFonts w:hint="eastAsia" w:eastAsia="宋体"/>
          <w:sz w:val="24"/>
        </w:rPr>
        <w:t>8</w:t>
      </w:r>
      <w:r>
        <w:rPr>
          <w:rFonts w:hAnsi="宋体" w:eastAsia="宋体"/>
          <w:sz w:val="24"/>
        </w:rPr>
        <w:t>知，类比线路工频磁感应强度为</w:t>
      </w:r>
      <w:r>
        <w:rPr>
          <w:rFonts w:eastAsia="宋体"/>
          <w:sz w:val="24"/>
        </w:rPr>
        <w:t>0.0571</w:t>
      </w:r>
      <w:r>
        <w:rPr>
          <w:rFonts w:hAnsi="宋体" w:eastAsia="宋体"/>
          <w:sz w:val="24"/>
        </w:rPr>
        <w:t>～</w:t>
      </w:r>
      <w:r>
        <w:rPr>
          <w:rFonts w:eastAsia="宋体"/>
          <w:sz w:val="24"/>
        </w:rPr>
        <w:t>0.1875μT</w:t>
      </w:r>
      <w:r>
        <w:rPr>
          <w:rFonts w:hAnsi="宋体" w:eastAsia="宋体"/>
          <w:sz w:val="24"/>
        </w:rPr>
        <w:t>。最大值出现在线下，最大值为</w:t>
      </w:r>
      <w:r>
        <w:rPr>
          <w:rFonts w:eastAsia="宋体"/>
          <w:sz w:val="24"/>
        </w:rPr>
        <w:t>0.1875μT</w:t>
      </w:r>
      <w:r>
        <w:rPr>
          <w:rFonts w:hAnsi="宋体" w:eastAsia="宋体"/>
          <w:sz w:val="24"/>
        </w:rPr>
        <w:t>。各点测值均满足</w:t>
      </w:r>
      <w:r>
        <w:rPr>
          <w:rFonts w:eastAsia="宋体"/>
          <w:sz w:val="24"/>
        </w:rPr>
        <w:t>0.1mT</w:t>
      </w:r>
      <w:r>
        <w:rPr>
          <w:rFonts w:hAnsi="宋体" w:eastAsia="宋体"/>
          <w:sz w:val="24"/>
        </w:rPr>
        <w:t>的评价标准。</w:t>
      </w:r>
    </w:p>
    <w:p>
      <w:pPr>
        <w:adjustRightInd w:val="0"/>
        <w:snapToGrid w:val="0"/>
        <w:spacing w:line="520" w:lineRule="exact"/>
        <w:rPr>
          <w:rFonts w:eastAsia="宋体"/>
          <w:b/>
          <w:spacing w:val="-2"/>
          <w:kern w:val="16"/>
          <w:sz w:val="24"/>
        </w:rPr>
      </w:pPr>
      <w:r>
        <w:rPr>
          <w:rFonts w:hint="eastAsia" w:eastAsia="宋体"/>
          <w:b/>
          <w:spacing w:val="-2"/>
          <w:kern w:val="16"/>
          <w:sz w:val="24"/>
        </w:rPr>
        <w:t>5.3架空</w:t>
      </w:r>
      <w:r>
        <w:rPr>
          <w:rFonts w:eastAsia="宋体"/>
          <w:b/>
          <w:spacing w:val="-2"/>
          <w:kern w:val="16"/>
          <w:sz w:val="24"/>
        </w:rPr>
        <w:t>输电线路电磁环境影响模式预测</w:t>
      </w:r>
    </w:p>
    <w:p>
      <w:pPr>
        <w:spacing w:line="520" w:lineRule="exact"/>
        <w:ind w:firstLine="480" w:firstLineChars="200"/>
        <w:jc w:val="left"/>
        <w:rPr>
          <w:rFonts w:eastAsia="宋体"/>
          <w:sz w:val="24"/>
        </w:rPr>
      </w:pPr>
      <w:r>
        <w:rPr>
          <w:rFonts w:eastAsia="宋体"/>
          <w:sz w:val="24"/>
        </w:rPr>
        <w:t>参照HJ 24-2014《环境影响评价技术导则  输变电工程》推荐的方法，根据线路的杆塔型式、导线排列方式，导线对地距离、线间距、导线结构和运行工况，预测计算本工程配套线路运行时产生的工频电场、工频磁场，分析线路投运后的电磁环境影响程度及范围。</w:t>
      </w:r>
    </w:p>
    <w:p>
      <w:pPr>
        <w:adjustRightInd w:val="0"/>
        <w:snapToGrid w:val="0"/>
        <w:spacing w:line="520" w:lineRule="exact"/>
        <w:rPr>
          <w:rFonts w:eastAsia="宋体"/>
          <w:b/>
          <w:spacing w:val="-2"/>
          <w:kern w:val="16"/>
          <w:sz w:val="24"/>
        </w:rPr>
      </w:pPr>
      <w:r>
        <w:rPr>
          <w:rFonts w:hint="eastAsia" w:eastAsia="宋体"/>
          <w:b/>
          <w:spacing w:val="-2"/>
          <w:kern w:val="16"/>
          <w:sz w:val="24"/>
        </w:rPr>
        <w:t>5.3.1</w:t>
      </w:r>
      <w:r>
        <w:rPr>
          <w:rFonts w:eastAsia="宋体"/>
          <w:b/>
          <w:spacing w:val="-2"/>
          <w:kern w:val="16"/>
          <w:sz w:val="24"/>
        </w:rPr>
        <w:t>计算模式</w:t>
      </w:r>
    </w:p>
    <w:p>
      <w:pPr>
        <w:adjustRightInd w:val="0"/>
        <w:snapToGrid w:val="0"/>
        <w:spacing w:line="520" w:lineRule="exact"/>
        <w:ind w:firstLine="472" w:firstLineChars="200"/>
        <w:rPr>
          <w:rFonts w:eastAsia="宋体"/>
          <w:sz w:val="24"/>
        </w:rPr>
      </w:pPr>
      <w:r>
        <w:rPr>
          <w:rFonts w:eastAsia="宋体"/>
          <w:spacing w:val="-2"/>
          <w:kern w:val="16"/>
          <w:sz w:val="24"/>
        </w:rPr>
        <w:t>（1）计算由</w:t>
      </w:r>
      <w:r>
        <w:rPr>
          <w:rFonts w:eastAsia="宋体"/>
          <w:sz w:val="24"/>
        </w:rPr>
        <w:t>等效电荷产生的电场</w:t>
      </w:r>
    </w:p>
    <w:p>
      <w:pPr>
        <w:adjustRightInd w:val="0"/>
        <w:snapToGrid w:val="0"/>
        <w:spacing w:line="520" w:lineRule="exact"/>
        <w:ind w:firstLine="480" w:firstLineChars="200"/>
        <w:rPr>
          <w:rFonts w:eastAsia="宋体"/>
          <w:sz w:val="24"/>
        </w:rPr>
      </w:pPr>
      <w:r>
        <w:rPr>
          <w:rFonts w:eastAsia="宋体"/>
          <w:sz w:val="24"/>
        </w:rPr>
        <w:t>为计算地面电场强度的最大值，通常取设计最大弧垂时导线的最小对地高度。因此，所计算的地面场强仅对档距中央一段（该处场强最大）是符合的，其他段的地面场强小于该段。当各导线单位长度的等效电荷量求出后，空间任意一点的电场强度可根据叠加原理计算得出，在（x，y）点的电场强度分量E</w:t>
      </w:r>
      <w:r>
        <w:rPr>
          <w:rFonts w:eastAsia="宋体"/>
          <w:sz w:val="24"/>
          <w:vertAlign w:val="subscript"/>
        </w:rPr>
        <w:t>x</w:t>
      </w:r>
      <w:r>
        <w:rPr>
          <w:rFonts w:eastAsia="宋体"/>
          <w:sz w:val="24"/>
        </w:rPr>
        <w:t>和E</w:t>
      </w:r>
      <w:r>
        <w:rPr>
          <w:rFonts w:eastAsia="宋体"/>
          <w:sz w:val="24"/>
          <w:vertAlign w:val="subscript"/>
        </w:rPr>
        <w:t>y</w:t>
      </w:r>
      <w:r>
        <w:rPr>
          <w:rFonts w:eastAsia="宋体"/>
          <w:sz w:val="24"/>
        </w:rPr>
        <w:t>可表示为：</w:t>
      </w:r>
    </w:p>
    <w:p>
      <w:pPr>
        <w:pStyle w:val="7"/>
        <w:tabs>
          <w:tab w:val="left" w:pos="720"/>
          <w:tab w:val="left" w:pos="1200"/>
        </w:tabs>
        <w:adjustRightInd w:val="0"/>
        <w:snapToGrid w:val="0"/>
        <w:spacing w:line="520" w:lineRule="exact"/>
        <w:ind w:left="560" w:firstLine="1320" w:firstLineChars="550"/>
        <w:rPr>
          <w:rFonts w:eastAsia="宋体"/>
          <w:sz w:val="24"/>
        </w:rPr>
      </w:pPr>
      <w:r>
        <w:rPr>
          <w:rFonts w:eastAsia="宋体"/>
          <w:position w:val="-12"/>
          <w:sz w:val="24"/>
        </w:rPr>
        <w:object>
          <v:shape id="_x0000_i1026" o:spt="75" type="#_x0000_t75" style="height:24pt;width:12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eastAsia="宋体"/>
          <w:sz w:val="24"/>
        </w:rPr>
        <w:t>＝</w:t>
      </w:r>
      <w:r>
        <w:rPr>
          <w:rFonts w:eastAsia="宋体"/>
          <w:position w:val="-36"/>
          <w:sz w:val="24"/>
        </w:rPr>
        <w:object>
          <v:shape id="_x0000_i1027" o:spt="75" type="#_x0000_t75" style="height:43.5pt;width:136.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p>
    <w:p>
      <w:pPr>
        <w:pStyle w:val="7"/>
        <w:tabs>
          <w:tab w:val="left" w:pos="720"/>
          <w:tab w:val="left" w:pos="1200"/>
        </w:tabs>
        <w:adjustRightInd w:val="0"/>
        <w:snapToGrid w:val="0"/>
        <w:spacing w:line="520" w:lineRule="exact"/>
        <w:ind w:left="560" w:firstLine="1320" w:firstLineChars="550"/>
        <w:rPr>
          <w:rFonts w:eastAsia="宋体"/>
          <w:sz w:val="24"/>
        </w:rPr>
      </w:pPr>
      <w:r>
        <w:rPr>
          <w:rFonts w:eastAsia="宋体"/>
          <w:position w:val="-30"/>
          <w:sz w:val="24"/>
        </w:rPr>
        <w:object>
          <v:shape id="_x0000_i1028" o:spt="75" type="#_x0000_t75" style="height:37.5pt;width:174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p>
    <w:p>
      <w:pPr>
        <w:adjustRightInd w:val="0"/>
        <w:snapToGrid w:val="0"/>
        <w:spacing w:line="520" w:lineRule="exact"/>
        <w:ind w:firstLine="480" w:firstLineChars="200"/>
        <w:rPr>
          <w:rFonts w:eastAsia="宋体"/>
          <w:sz w:val="24"/>
        </w:rPr>
      </w:pPr>
      <w:r>
        <w:rPr>
          <w:rFonts w:eastAsia="宋体"/>
          <w:sz w:val="24"/>
        </w:rPr>
        <w:t>式中：</w:t>
      </w:r>
    </w:p>
    <w:p>
      <w:pPr>
        <w:adjustRightInd w:val="0"/>
        <w:snapToGrid w:val="0"/>
        <w:spacing w:line="520" w:lineRule="exact"/>
        <w:ind w:firstLine="480" w:firstLineChars="200"/>
        <w:rPr>
          <w:rFonts w:eastAsia="宋体"/>
          <w:sz w:val="24"/>
        </w:rPr>
      </w:pPr>
      <w:r>
        <w:rPr>
          <w:rFonts w:eastAsia="宋体"/>
          <w:sz w:val="24"/>
        </w:rPr>
        <w:t>x</w:t>
      </w:r>
      <w:r>
        <w:rPr>
          <w:rFonts w:eastAsia="宋体"/>
          <w:sz w:val="24"/>
          <w:vertAlign w:val="subscript"/>
        </w:rPr>
        <w:t>i</w:t>
      </w:r>
      <w:r>
        <w:rPr>
          <w:rFonts w:eastAsia="宋体"/>
          <w:sz w:val="24"/>
        </w:rPr>
        <w:t>，y</w:t>
      </w:r>
      <w:r>
        <w:rPr>
          <w:rFonts w:eastAsia="宋体"/>
          <w:sz w:val="24"/>
          <w:vertAlign w:val="subscript"/>
        </w:rPr>
        <w:t>i</w:t>
      </w:r>
      <w:r>
        <w:rPr>
          <w:rFonts w:eastAsia="宋体"/>
          <w:sz w:val="24"/>
        </w:rPr>
        <w:t>—导线i的坐标（i＝1、2、…m）；</w:t>
      </w:r>
    </w:p>
    <w:p>
      <w:pPr>
        <w:adjustRightInd w:val="0"/>
        <w:snapToGrid w:val="0"/>
        <w:spacing w:line="520" w:lineRule="exact"/>
        <w:ind w:firstLine="480" w:firstLineChars="200"/>
        <w:rPr>
          <w:rFonts w:eastAsia="宋体"/>
          <w:sz w:val="24"/>
        </w:rPr>
      </w:pPr>
      <w:r>
        <w:rPr>
          <w:rFonts w:eastAsia="宋体"/>
          <w:sz w:val="24"/>
        </w:rPr>
        <w:t>m—导线数目；</w:t>
      </w:r>
    </w:p>
    <w:p>
      <w:pPr>
        <w:adjustRightInd w:val="0"/>
        <w:snapToGrid w:val="0"/>
        <w:spacing w:line="520" w:lineRule="exact"/>
        <w:ind w:firstLine="480" w:firstLineChars="200"/>
        <w:rPr>
          <w:rFonts w:eastAsia="宋体"/>
          <w:sz w:val="24"/>
        </w:rPr>
      </w:pPr>
      <w:r>
        <w:rPr>
          <w:rFonts w:eastAsia="宋体"/>
          <w:sz w:val="24"/>
        </w:rPr>
        <w:t>L</w:t>
      </w:r>
      <w:r>
        <w:rPr>
          <w:rFonts w:eastAsia="宋体"/>
          <w:sz w:val="24"/>
          <w:vertAlign w:val="subscript"/>
        </w:rPr>
        <w:t>i</w:t>
      </w:r>
      <w:r>
        <w:rPr>
          <w:rFonts w:eastAsia="宋体"/>
          <w:sz w:val="24"/>
        </w:rPr>
        <w:t>、L</w:t>
      </w:r>
      <w:r>
        <w:rPr>
          <w:rFonts w:eastAsia="宋体"/>
          <w:sz w:val="24"/>
          <w:vertAlign w:val="subscript"/>
        </w:rPr>
        <w:t>i</w:t>
      </w:r>
      <w:r>
        <w:rPr>
          <w:rFonts w:eastAsia="宋体"/>
          <w:sz w:val="24"/>
        </w:rPr>
        <w:t>'—分别为导线ｉ及其镜像至计算点的距离。</w:t>
      </w:r>
    </w:p>
    <w:p>
      <w:pPr>
        <w:adjustRightInd w:val="0"/>
        <w:snapToGrid w:val="0"/>
        <w:spacing w:line="520" w:lineRule="exact"/>
        <w:ind w:firstLine="480" w:firstLineChars="200"/>
        <w:rPr>
          <w:rFonts w:eastAsia="宋体"/>
          <w:sz w:val="24"/>
        </w:rPr>
      </w:pPr>
      <w:r>
        <w:rPr>
          <w:rFonts w:eastAsia="宋体"/>
          <w:sz w:val="24"/>
        </w:rPr>
        <w:t>对于三相交流线路，可根据求得的电荷计算空间任一点电场强度的水平和垂直分量为：</w:t>
      </w:r>
    </w:p>
    <w:p>
      <w:pPr>
        <w:adjustRightInd w:val="0"/>
        <w:snapToGrid w:val="0"/>
        <w:spacing w:line="520" w:lineRule="exact"/>
        <w:ind w:firstLine="2056" w:firstLineChars="857"/>
        <w:rPr>
          <w:rFonts w:eastAsia="宋体"/>
          <w:sz w:val="24"/>
        </w:rPr>
      </w:pPr>
      <w:r>
        <w:rPr>
          <w:rFonts w:eastAsia="宋体"/>
          <w:position w:val="-28"/>
          <w:sz w:val="24"/>
        </w:rPr>
        <w:object>
          <v:shape id="_x0000_i1029" o:spt="75" type="#_x0000_t75" style="height:37.5pt;width:182.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p>
    <w:p>
      <w:pPr>
        <w:adjustRightInd w:val="0"/>
        <w:snapToGrid w:val="0"/>
        <w:spacing w:line="520" w:lineRule="exact"/>
        <w:ind w:firstLine="2040" w:firstLineChars="850"/>
        <w:rPr>
          <w:rFonts w:eastAsia="宋体"/>
          <w:sz w:val="24"/>
        </w:rPr>
      </w:pPr>
      <w:r>
        <w:rPr>
          <w:rFonts w:eastAsia="宋体"/>
          <w:position w:val="-28"/>
          <w:sz w:val="24"/>
        </w:rPr>
        <w:object>
          <v:shape id="_x0000_i1030" o:spt="75" type="#_x0000_t75" style="height:37.5pt;width:178.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p>
    <w:p>
      <w:pPr>
        <w:adjustRightInd w:val="0"/>
        <w:snapToGrid w:val="0"/>
        <w:spacing w:line="520" w:lineRule="exact"/>
        <w:ind w:firstLine="560"/>
        <w:rPr>
          <w:rFonts w:eastAsia="宋体"/>
          <w:sz w:val="24"/>
        </w:rPr>
      </w:pPr>
      <w:r>
        <w:rPr>
          <w:rFonts w:eastAsia="宋体"/>
          <w:sz w:val="24"/>
        </w:rPr>
        <w:t>式中：E</w:t>
      </w:r>
      <w:r>
        <w:rPr>
          <w:rFonts w:eastAsia="宋体"/>
          <w:sz w:val="24"/>
          <w:vertAlign w:val="subscript"/>
        </w:rPr>
        <w:t>xR</w:t>
      </w:r>
      <w:r>
        <w:rPr>
          <w:rFonts w:eastAsia="宋体"/>
          <w:sz w:val="24"/>
        </w:rPr>
        <w:t>—由各导线的实部电荷在该点产生场强的水平分量；</w:t>
      </w:r>
    </w:p>
    <w:p>
      <w:pPr>
        <w:adjustRightInd w:val="0"/>
        <w:snapToGrid w:val="0"/>
        <w:spacing w:line="520" w:lineRule="exact"/>
        <w:ind w:firstLine="1200" w:firstLineChars="500"/>
        <w:rPr>
          <w:rFonts w:eastAsia="宋体"/>
          <w:sz w:val="24"/>
        </w:rPr>
      </w:pPr>
      <w:r>
        <w:rPr>
          <w:rFonts w:eastAsia="宋体"/>
          <w:sz w:val="24"/>
        </w:rPr>
        <w:t>E</w:t>
      </w:r>
      <w:r>
        <w:rPr>
          <w:rFonts w:eastAsia="宋体"/>
          <w:sz w:val="24"/>
          <w:vertAlign w:val="subscript"/>
        </w:rPr>
        <w:t>xI</w:t>
      </w:r>
      <w:r>
        <w:rPr>
          <w:rFonts w:eastAsia="宋体"/>
          <w:sz w:val="24"/>
        </w:rPr>
        <w:t>—由各导线的虚部电荷在该点产生场强的水平分量；</w:t>
      </w:r>
    </w:p>
    <w:p>
      <w:pPr>
        <w:adjustRightInd w:val="0"/>
        <w:snapToGrid w:val="0"/>
        <w:spacing w:line="520" w:lineRule="exact"/>
        <w:ind w:firstLine="1200" w:firstLineChars="500"/>
        <w:rPr>
          <w:rFonts w:eastAsia="宋体"/>
          <w:sz w:val="24"/>
        </w:rPr>
      </w:pPr>
      <w:r>
        <w:rPr>
          <w:rFonts w:eastAsia="宋体"/>
          <w:sz w:val="24"/>
        </w:rPr>
        <w:t>E</w:t>
      </w:r>
      <w:r>
        <w:rPr>
          <w:rFonts w:eastAsia="宋体"/>
          <w:sz w:val="24"/>
          <w:vertAlign w:val="subscript"/>
        </w:rPr>
        <w:t>yR</w:t>
      </w:r>
      <w:r>
        <w:rPr>
          <w:rFonts w:eastAsia="宋体"/>
          <w:sz w:val="24"/>
        </w:rPr>
        <w:t>—由各导线的实部电荷在该点产生场强的垂直分量；</w:t>
      </w:r>
    </w:p>
    <w:p>
      <w:pPr>
        <w:adjustRightInd w:val="0"/>
        <w:snapToGrid w:val="0"/>
        <w:spacing w:line="520" w:lineRule="exact"/>
        <w:ind w:firstLine="1200" w:firstLineChars="500"/>
        <w:rPr>
          <w:rFonts w:eastAsia="宋体"/>
          <w:b/>
          <w:bCs/>
          <w:sz w:val="24"/>
        </w:rPr>
      </w:pPr>
      <w:r>
        <w:rPr>
          <w:rFonts w:eastAsia="宋体"/>
          <w:sz w:val="24"/>
        </w:rPr>
        <w:t>E</w:t>
      </w:r>
      <w:r>
        <w:rPr>
          <w:rFonts w:eastAsia="宋体"/>
          <w:sz w:val="24"/>
          <w:vertAlign w:val="subscript"/>
        </w:rPr>
        <w:t>yI</w:t>
      </w:r>
      <w:r>
        <w:rPr>
          <w:rFonts w:eastAsia="宋体"/>
          <w:sz w:val="24"/>
        </w:rPr>
        <w:t>—由各导线的虚部电荷在该点产生场强的垂直分量；</w:t>
      </w:r>
    </w:p>
    <w:p>
      <w:pPr>
        <w:adjustRightInd w:val="0"/>
        <w:snapToGrid w:val="0"/>
        <w:spacing w:line="520" w:lineRule="exact"/>
        <w:ind w:firstLine="480" w:firstLineChars="200"/>
        <w:rPr>
          <w:rFonts w:eastAsia="宋体"/>
          <w:sz w:val="24"/>
        </w:rPr>
      </w:pPr>
      <w:r>
        <w:rPr>
          <w:rFonts w:eastAsia="宋体"/>
          <w:sz w:val="24"/>
        </w:rPr>
        <w:t>该点的合成场强为：</w:t>
      </w:r>
    </w:p>
    <w:p>
      <w:pPr>
        <w:adjustRightInd w:val="0"/>
        <w:snapToGrid w:val="0"/>
        <w:spacing w:line="520" w:lineRule="exact"/>
        <w:jc w:val="center"/>
        <w:rPr>
          <w:rFonts w:eastAsia="宋体"/>
          <w:sz w:val="24"/>
        </w:rPr>
      </w:pPr>
      <w:r>
        <w:rPr>
          <w:rFonts w:eastAsia="宋体"/>
          <w:position w:val="-14"/>
          <w:sz w:val="24"/>
        </w:rPr>
        <w:object>
          <v:shape id="_x0000_i1031" o:spt="75" type="#_x0000_t75" style="height:28.5pt;width:216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p>
    <w:p>
      <w:pPr>
        <w:adjustRightInd w:val="0"/>
        <w:snapToGrid w:val="0"/>
        <w:spacing w:line="520" w:lineRule="exact"/>
        <w:ind w:firstLine="480" w:firstLineChars="200"/>
        <w:rPr>
          <w:rFonts w:eastAsia="宋体"/>
          <w:sz w:val="24"/>
        </w:rPr>
      </w:pPr>
      <w:r>
        <w:rPr>
          <w:rFonts w:eastAsia="宋体"/>
          <w:sz w:val="24"/>
        </w:rPr>
        <w:t xml:space="preserve">式中：     </w:t>
      </w:r>
      <w:r>
        <w:rPr>
          <w:rFonts w:eastAsia="宋体"/>
          <w:position w:val="-14"/>
          <w:sz w:val="24"/>
        </w:rPr>
        <w:object>
          <v:shape id="_x0000_i1032" o:spt="75" type="#_x0000_t75" style="height:24pt;width:84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p>
    <w:p>
      <w:pPr>
        <w:adjustRightInd w:val="0"/>
        <w:snapToGrid w:val="0"/>
        <w:spacing w:line="520" w:lineRule="exact"/>
        <w:rPr>
          <w:rFonts w:eastAsia="宋体"/>
          <w:sz w:val="24"/>
        </w:rPr>
      </w:pPr>
      <w:r>
        <w:rPr>
          <w:rFonts w:eastAsia="宋体"/>
          <w:sz w:val="24"/>
        </w:rPr>
        <w:t xml:space="preserve">               </w:t>
      </w:r>
      <w:r>
        <w:rPr>
          <w:rFonts w:eastAsia="宋体"/>
          <w:position w:val="-16"/>
          <w:sz w:val="24"/>
        </w:rPr>
        <w:object>
          <v:shape id="_x0000_i1033" o:spt="75" type="#_x0000_t75" style="height:24.75pt;width:84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p>
    <w:p>
      <w:pPr>
        <w:adjustRightInd w:val="0"/>
        <w:snapToGrid w:val="0"/>
        <w:spacing w:line="520" w:lineRule="exact"/>
        <w:ind w:firstLine="480" w:firstLineChars="200"/>
        <w:rPr>
          <w:rFonts w:eastAsia="宋体"/>
          <w:sz w:val="24"/>
        </w:rPr>
      </w:pPr>
      <w:r>
        <w:rPr>
          <w:rFonts w:eastAsia="宋体"/>
          <w:sz w:val="24"/>
        </w:rPr>
        <w:t>在地面处（y=0）电场强度的水平分量，即E</w:t>
      </w:r>
      <w:r>
        <w:rPr>
          <w:rFonts w:eastAsia="宋体"/>
          <w:sz w:val="24"/>
          <w:vertAlign w:val="subscript"/>
        </w:rPr>
        <w:t>x</w:t>
      </w:r>
      <w:r>
        <w:rPr>
          <w:rFonts w:eastAsia="宋体"/>
          <w:sz w:val="24"/>
        </w:rPr>
        <w:t>=0。在离地面1m～3m的范围，场强的垂直分量和最大场强很接近，可以用场强的垂直分量表征其电场强度总量。因此只需要计算电场的垂直分量。</w:t>
      </w:r>
    </w:p>
    <w:p>
      <w:pPr>
        <w:tabs>
          <w:tab w:val="left" w:pos="720"/>
        </w:tabs>
        <w:adjustRightInd w:val="0"/>
        <w:snapToGrid w:val="0"/>
        <w:spacing w:line="520" w:lineRule="exact"/>
        <w:ind w:firstLine="480" w:firstLineChars="200"/>
        <w:rPr>
          <w:rFonts w:eastAsia="宋体"/>
          <w:sz w:val="24"/>
        </w:rPr>
      </w:pPr>
      <w:r>
        <w:rPr>
          <w:rFonts w:eastAsia="宋体"/>
          <w:sz w:val="24"/>
        </w:rPr>
        <w:t>（2）磁场强度值的计算公式</w:t>
      </w:r>
    </w:p>
    <w:p>
      <w:pPr>
        <w:adjustRightInd w:val="0"/>
        <w:snapToGrid w:val="0"/>
        <w:spacing w:line="520" w:lineRule="exact"/>
        <w:ind w:firstLine="480" w:firstLineChars="200"/>
        <w:rPr>
          <w:rFonts w:eastAsia="宋体"/>
          <w:sz w:val="24"/>
        </w:rPr>
      </w:pPr>
      <w:r>
        <w:rPr>
          <w:rFonts w:eastAsia="宋体"/>
          <w:sz w:val="24"/>
        </w:rPr>
        <w:t>根据《环境影响评价技术导则 输变电工程》（HJ 24-2014）中的推荐方法计算高压送电线下空间工频磁场强度。</w:t>
      </w:r>
    </w:p>
    <w:p>
      <w:pPr>
        <w:adjustRightInd w:val="0"/>
        <w:snapToGrid w:val="0"/>
        <w:spacing w:line="520" w:lineRule="exact"/>
        <w:ind w:firstLine="480" w:firstLineChars="200"/>
        <w:rPr>
          <w:rFonts w:eastAsia="宋体"/>
          <w:sz w:val="24"/>
        </w:rPr>
      </w:pPr>
      <w:r>
        <w:rPr>
          <w:rFonts w:eastAsia="宋体"/>
          <w:sz w:val="24"/>
        </w:rPr>
        <w:t>导线下方A点处的磁场强度：</w:t>
      </w:r>
    </w:p>
    <w:p>
      <w:pPr>
        <w:adjustRightInd w:val="0"/>
        <w:snapToGrid w:val="0"/>
        <w:spacing w:line="520" w:lineRule="exact"/>
        <w:ind w:firstLine="1440" w:firstLineChars="600"/>
        <w:rPr>
          <w:rFonts w:eastAsia="宋体"/>
          <w:sz w:val="24"/>
        </w:rPr>
      </w:pPr>
      <w:r>
        <w:rPr>
          <w:rFonts w:eastAsia="宋体"/>
          <w:position w:val="-4"/>
          <w:sz w:val="24"/>
        </w:rPr>
        <w:object>
          <v:shape id="_x0000_i1034" o:spt="75" type="#_x0000_t75" style="height:12pt;width:12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r>
        <w:rPr>
          <w:rFonts w:eastAsia="宋体"/>
          <w:sz w:val="24"/>
        </w:rPr>
        <w:t>＝</w:t>
      </w:r>
      <w:r>
        <w:rPr>
          <w:rFonts w:eastAsia="宋体"/>
          <w:position w:val="-30"/>
          <w:sz w:val="24"/>
        </w:rPr>
        <w:object>
          <v:shape id="_x0000_i1035" o:spt="75" type="#_x0000_t75" style="height:37.5pt;width:64.5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5" r:id="rId37">
            <o:LockedField>false</o:LockedField>
          </o:OLEObject>
        </w:object>
      </w:r>
    </w:p>
    <w:p>
      <w:pPr>
        <w:adjustRightInd w:val="0"/>
        <w:snapToGrid w:val="0"/>
        <w:spacing w:line="520" w:lineRule="exact"/>
        <w:ind w:firstLine="480" w:firstLineChars="200"/>
        <w:rPr>
          <w:rFonts w:eastAsia="宋体"/>
          <w:sz w:val="24"/>
        </w:rPr>
      </w:pPr>
      <w:r>
        <w:rPr>
          <w:rFonts w:eastAsia="宋体"/>
          <w:sz w:val="24"/>
        </w:rPr>
        <w:t>式中：I－导线I中的电流值；</w:t>
      </w:r>
    </w:p>
    <w:p>
      <w:pPr>
        <w:adjustRightInd w:val="0"/>
        <w:snapToGrid w:val="0"/>
        <w:spacing w:line="520" w:lineRule="exact"/>
        <w:ind w:firstLine="1250" w:firstLineChars="521"/>
        <w:rPr>
          <w:rFonts w:eastAsia="宋体"/>
          <w:sz w:val="24"/>
        </w:rPr>
      </w:pPr>
      <w:r>
        <w:rPr>
          <w:rFonts w:eastAsia="宋体"/>
          <w:sz w:val="24"/>
        </w:rPr>
        <w:t>h－计算A点距导线的垂直高度；</w:t>
      </w:r>
    </w:p>
    <w:p>
      <w:pPr>
        <w:adjustRightInd w:val="0"/>
        <w:snapToGrid w:val="0"/>
        <w:spacing w:line="520" w:lineRule="exact"/>
        <w:ind w:firstLine="1250" w:firstLineChars="521"/>
        <w:rPr>
          <w:rFonts w:eastAsia="宋体"/>
          <w:sz w:val="24"/>
        </w:rPr>
      </w:pPr>
      <w:r>
        <w:rPr>
          <w:rFonts w:eastAsia="宋体"/>
          <w:sz w:val="24"/>
        </w:rPr>
        <w:t>L－计算A点距导线的水平距离。</w:t>
      </w:r>
    </w:p>
    <w:p>
      <w:pPr>
        <w:adjustRightInd w:val="0"/>
        <w:snapToGrid w:val="0"/>
        <w:spacing w:line="360" w:lineRule="auto"/>
        <w:rPr>
          <w:rFonts w:eastAsia="宋体"/>
          <w:b/>
          <w:snapToGrid w:val="0"/>
          <w:sz w:val="24"/>
        </w:rPr>
      </w:pPr>
      <w:r>
        <w:rPr>
          <w:rFonts w:hint="eastAsia" w:eastAsia="宋体"/>
          <w:b/>
          <w:snapToGrid w:val="0"/>
          <w:sz w:val="24"/>
        </w:rPr>
        <w:t>5.3</w:t>
      </w:r>
      <w:r>
        <w:rPr>
          <w:rFonts w:eastAsia="宋体"/>
          <w:b/>
          <w:snapToGrid w:val="0"/>
          <w:sz w:val="24"/>
        </w:rPr>
        <w:t>.2计算参数</w:t>
      </w:r>
    </w:p>
    <w:p>
      <w:pPr>
        <w:spacing w:line="360" w:lineRule="auto"/>
        <w:ind w:firstLine="480" w:firstLineChars="200"/>
        <w:jc w:val="left"/>
        <w:rPr>
          <w:rFonts w:eastAsia="宋体"/>
          <w:sz w:val="24"/>
        </w:rPr>
      </w:pPr>
      <w:r>
        <w:rPr>
          <w:rFonts w:eastAsia="宋体"/>
          <w:sz w:val="24"/>
        </w:rPr>
        <w:t>（1）预测参数</w:t>
      </w:r>
    </w:p>
    <w:p>
      <w:pPr>
        <w:adjustRightInd w:val="0"/>
        <w:snapToGrid w:val="0"/>
        <w:spacing w:line="360" w:lineRule="auto"/>
        <w:ind w:firstLine="480" w:firstLineChars="200"/>
        <w:rPr>
          <w:rFonts w:eastAsia="宋体"/>
          <w:sz w:val="24"/>
        </w:rPr>
      </w:pPr>
      <w:r>
        <w:rPr>
          <w:rFonts w:eastAsia="宋体"/>
          <w:sz w:val="24"/>
        </w:rPr>
        <w:t>本工程输电线路</w:t>
      </w:r>
      <w:r>
        <w:rPr>
          <w:rFonts w:hint="eastAsia" w:eastAsia="宋体"/>
          <w:sz w:val="24"/>
        </w:rPr>
        <w:t>一般山地</w:t>
      </w:r>
      <w:r>
        <w:rPr>
          <w:rFonts w:eastAsia="宋体"/>
          <w:sz w:val="24"/>
        </w:rPr>
        <w:t>丘陵段主要采用</w:t>
      </w:r>
      <w:r>
        <w:rPr>
          <w:rFonts w:hint="eastAsia" w:eastAsia="宋体"/>
          <w:sz w:val="24"/>
        </w:rPr>
        <w:t>110GT-ZB2</w:t>
      </w:r>
      <w:r>
        <w:rPr>
          <w:rFonts w:eastAsia="宋体"/>
          <w:sz w:val="24"/>
        </w:rPr>
        <w:t>型直线塔</w:t>
      </w:r>
      <w:r>
        <w:rPr>
          <w:rFonts w:hint="eastAsia" w:eastAsia="宋体"/>
          <w:sz w:val="24"/>
        </w:rPr>
        <w:t>，导线型号</w:t>
      </w:r>
      <w:r>
        <w:rPr>
          <w:rFonts w:eastAsia="宋体"/>
          <w:szCs w:val="21"/>
        </w:rPr>
        <w:t>JL/GIA-240/30</w:t>
      </w:r>
      <w:r>
        <w:rPr>
          <w:rFonts w:hint="eastAsia" w:eastAsia="宋体"/>
          <w:sz w:val="24"/>
        </w:rPr>
        <w:t>钢芯铝绞线，本工程110kV输变电线路导线参数见表12，预测杆塔图见图3-1。</w:t>
      </w:r>
      <w:bookmarkStart w:id="71" w:name="_Ref208112459"/>
    </w:p>
    <w:p>
      <w:pPr>
        <w:pStyle w:val="4"/>
        <w:adjustRightInd w:val="0"/>
        <w:snapToGrid w:val="0"/>
        <w:ind w:firstLine="480" w:firstLineChars="200"/>
        <w:rPr>
          <w:rFonts w:ascii="Times New Roman" w:hAnsi="黑体"/>
          <w:sz w:val="24"/>
          <w:szCs w:val="21"/>
        </w:rPr>
      </w:pPr>
    </w:p>
    <w:p>
      <w:pPr>
        <w:pStyle w:val="4"/>
        <w:adjustRightInd w:val="0"/>
        <w:snapToGrid w:val="0"/>
        <w:ind w:firstLine="480" w:firstLineChars="200"/>
        <w:rPr>
          <w:rFonts w:ascii="Times New Roman" w:hAnsi="黑体"/>
          <w:sz w:val="24"/>
          <w:szCs w:val="21"/>
        </w:rPr>
      </w:pPr>
    </w:p>
    <w:p>
      <w:pPr>
        <w:pStyle w:val="4"/>
        <w:adjustRightInd w:val="0"/>
        <w:snapToGrid w:val="0"/>
        <w:ind w:firstLine="480" w:firstLineChars="200"/>
        <w:rPr>
          <w:rFonts w:ascii="Times New Roman" w:hAnsi="Times New Roman"/>
          <w:sz w:val="24"/>
          <w:szCs w:val="21"/>
        </w:rPr>
      </w:pPr>
      <w:r>
        <w:rPr>
          <w:rFonts w:ascii="Times New Roman" w:hAnsi="黑体"/>
          <w:sz w:val="24"/>
          <w:szCs w:val="21"/>
        </w:rPr>
        <w:t>表</w:t>
      </w:r>
      <w:r>
        <w:rPr>
          <w:rFonts w:ascii="Times New Roman" w:hAnsi="Times New Roman"/>
          <w:sz w:val="24"/>
          <w:szCs w:val="21"/>
        </w:rPr>
        <w:t xml:space="preserve"> </w:t>
      </w:r>
      <w:bookmarkEnd w:id="71"/>
      <w:r>
        <w:rPr>
          <w:rFonts w:ascii="Times New Roman" w:hAnsi="Times New Roman"/>
          <w:sz w:val="24"/>
          <w:szCs w:val="21"/>
        </w:rPr>
        <w:t xml:space="preserve">13             </w:t>
      </w:r>
      <w:r>
        <w:rPr>
          <w:rFonts w:ascii="Times New Roman" w:hAnsi="黑体"/>
          <w:sz w:val="24"/>
          <w:szCs w:val="21"/>
        </w:rPr>
        <w:t>输电线路导线参数及预测参数</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589"/>
        <w:gridCol w:w="42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bCs/>
                <w:szCs w:val="21"/>
              </w:rPr>
            </w:pPr>
            <w:r>
              <w:rPr>
                <w:rFonts w:ascii="Times New Roman"/>
                <w:szCs w:val="21"/>
              </w:rPr>
              <w:t>电压等级</w:t>
            </w: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110kV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bCs/>
                <w:szCs w:val="21"/>
              </w:rPr>
            </w:pPr>
            <w:r>
              <w:rPr>
                <w:rFonts w:ascii="Times New Roman"/>
                <w:szCs w:val="21"/>
              </w:rPr>
              <w:t>线路回路数</w:t>
            </w:r>
          </w:p>
        </w:tc>
        <w:tc>
          <w:tcPr>
            <w:tcW w:w="2483" w:type="pct"/>
            <w:vAlign w:val="center"/>
          </w:tcPr>
          <w:p>
            <w:pPr>
              <w:pStyle w:val="25"/>
              <w:spacing w:line="360" w:lineRule="exact"/>
              <w:rPr>
                <w:rFonts w:ascii="Times New Roman" w:hAnsi="Times New Roman"/>
                <w:szCs w:val="21"/>
              </w:rPr>
            </w:pPr>
            <w:r>
              <w:rPr>
                <w:rFonts w:ascii="Times New Roman"/>
                <w:szCs w:val="21"/>
              </w:rPr>
              <w:t>单回路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szCs w:val="21"/>
              </w:rPr>
            </w:pPr>
            <w:r>
              <w:rPr>
                <w:rFonts w:ascii="Times New Roman"/>
                <w:szCs w:val="21"/>
              </w:rPr>
              <w:t>杆塔型式</w:t>
            </w: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110GT-</w:t>
            </w:r>
            <w:r>
              <w:rPr>
                <w:rFonts w:hint="eastAsia" w:ascii="Times New Roman" w:hAnsi="Times New Roman"/>
                <w:szCs w:val="21"/>
              </w:rPr>
              <w:t>ZB2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bCs/>
                <w:szCs w:val="21"/>
              </w:rPr>
            </w:pPr>
            <w:r>
              <w:rPr>
                <w:rFonts w:ascii="Times New Roman"/>
                <w:szCs w:val="21"/>
              </w:rPr>
              <w:t>导线类型</w:t>
            </w: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JL/GIA-240/30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szCs w:val="21"/>
              </w:rPr>
            </w:pPr>
            <w:r>
              <w:rPr>
                <w:rFonts w:ascii="Times New Roman"/>
                <w:szCs w:val="21"/>
              </w:rPr>
              <w:t>导线截面（</w:t>
            </w:r>
            <w:r>
              <w:rPr>
                <w:rFonts w:ascii="Times New Roman" w:hAnsi="Times New Roman"/>
                <w:szCs w:val="21"/>
              </w:rPr>
              <w:t>mm</w:t>
            </w:r>
            <w:r>
              <w:rPr>
                <w:rFonts w:ascii="Times New Roman" w:hAnsi="Times New Roman"/>
                <w:szCs w:val="21"/>
                <w:vertAlign w:val="superscript"/>
              </w:rPr>
              <w:t>2</w:t>
            </w:r>
            <w:r>
              <w:rPr>
                <w:rFonts w:ascii="Times New Roman"/>
                <w:szCs w:val="21"/>
              </w:rPr>
              <w:t>）</w:t>
            </w: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275.96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szCs w:val="21"/>
              </w:rPr>
            </w:pPr>
            <w:r>
              <w:rPr>
                <w:rFonts w:ascii="Times New Roman"/>
                <w:szCs w:val="21"/>
              </w:rPr>
              <w:t>导线外径（</w:t>
            </w:r>
            <w:r>
              <w:rPr>
                <w:rFonts w:ascii="Times New Roman" w:hAnsi="Times New Roman"/>
                <w:szCs w:val="21"/>
              </w:rPr>
              <w:t>mm</w:t>
            </w:r>
            <w:r>
              <w:rPr>
                <w:rFonts w:ascii="Times New Roman"/>
                <w:szCs w:val="21"/>
              </w:rPr>
              <w:t>）</w:t>
            </w: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21.60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bCs/>
                <w:color w:val="000000" w:themeColor="text1"/>
                <w:szCs w:val="21"/>
              </w:rPr>
            </w:pPr>
            <w:r>
              <w:rPr>
                <w:rFonts w:ascii="Times New Roman"/>
                <w:color w:val="000000" w:themeColor="text1"/>
                <w:szCs w:val="21"/>
              </w:rPr>
              <w:t>电流（</w:t>
            </w:r>
            <w:r>
              <w:rPr>
                <w:rFonts w:ascii="Times New Roman" w:hAnsi="Times New Roman"/>
                <w:color w:val="000000" w:themeColor="text1"/>
                <w:szCs w:val="21"/>
              </w:rPr>
              <w:t>A</w:t>
            </w:r>
            <w:r>
              <w:rPr>
                <w:rFonts w:ascii="Times New Roman"/>
                <w:color w:val="000000" w:themeColor="text1"/>
                <w:szCs w:val="21"/>
              </w:rPr>
              <w:t>）</w:t>
            </w:r>
          </w:p>
        </w:tc>
        <w:tc>
          <w:tcPr>
            <w:tcW w:w="2483" w:type="pct"/>
            <w:vAlign w:val="center"/>
          </w:tcPr>
          <w:p>
            <w:pPr>
              <w:pStyle w:val="25"/>
              <w:spacing w:line="360" w:lineRule="exact"/>
              <w:rPr>
                <w:rFonts w:ascii="Times New Roman" w:hAnsi="Times New Roman"/>
                <w:color w:val="000000" w:themeColor="text1"/>
                <w:szCs w:val="21"/>
              </w:rPr>
            </w:pPr>
            <w:r>
              <w:rPr>
                <w:rFonts w:ascii="Times New Roman" w:hAnsi="Times New Roman"/>
                <w:color w:val="000000" w:themeColor="text1"/>
                <w:szCs w:val="21"/>
              </w:rPr>
              <w:t>6</w:t>
            </w:r>
            <w:r>
              <w:rPr>
                <w:rFonts w:hint="eastAsia" w:ascii="Times New Roman" w:hAnsi="Times New Roman"/>
                <w:color w:val="000000" w:themeColor="text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517" w:type="pct"/>
            <w:gridSpan w:val="2"/>
            <w:vAlign w:val="center"/>
          </w:tcPr>
          <w:p>
            <w:pPr>
              <w:pStyle w:val="25"/>
              <w:spacing w:line="360" w:lineRule="exact"/>
              <w:rPr>
                <w:rFonts w:ascii="Times New Roman" w:hAnsi="Times New Roman"/>
                <w:szCs w:val="21"/>
              </w:rPr>
            </w:pPr>
            <w:r>
              <w:rPr>
                <w:rFonts w:ascii="Times New Roman"/>
                <w:szCs w:val="21"/>
              </w:rPr>
              <w:t>相序排列</w:t>
            </w:r>
          </w:p>
        </w:tc>
        <w:tc>
          <w:tcPr>
            <w:tcW w:w="2483" w:type="pct"/>
            <w:vAlign w:val="center"/>
          </w:tcPr>
          <w:p>
            <w:pPr>
              <w:widowControl/>
              <w:spacing w:line="360" w:lineRule="exact"/>
              <w:jc w:val="center"/>
              <w:rPr>
                <w:rFonts w:eastAsia="宋体"/>
                <w:kern w:val="0"/>
                <w:sz w:val="21"/>
                <w:szCs w:val="21"/>
              </w:rPr>
            </w:pPr>
            <w:r>
              <w:rPr>
                <w:rFonts w:eastAsia="宋体"/>
                <w:kern w:val="0"/>
                <w:sz w:val="21"/>
                <w:szCs w:val="21"/>
              </w:rPr>
              <w:t>B</w:t>
            </w:r>
          </w:p>
          <w:p>
            <w:pPr>
              <w:widowControl/>
              <w:spacing w:line="360" w:lineRule="exact"/>
              <w:jc w:val="center"/>
              <w:rPr>
                <w:rFonts w:eastAsia="宋体"/>
                <w:kern w:val="0"/>
                <w:sz w:val="21"/>
                <w:szCs w:val="21"/>
              </w:rPr>
            </w:pPr>
            <w:r>
              <w:rPr>
                <w:rFonts w:eastAsia="宋体"/>
                <w:kern w:val="0"/>
                <w:sz w:val="21"/>
                <w:szCs w:val="21"/>
              </w:rPr>
              <w:t>A       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98" w:type="pct"/>
            <w:vMerge w:val="restart"/>
            <w:vAlign w:val="center"/>
          </w:tcPr>
          <w:p>
            <w:pPr>
              <w:pStyle w:val="25"/>
              <w:spacing w:line="360" w:lineRule="exact"/>
              <w:rPr>
                <w:rFonts w:ascii="Times New Roman" w:hAnsi="Times New Roman"/>
                <w:color w:val="000000" w:themeColor="text1"/>
                <w:szCs w:val="21"/>
              </w:rPr>
            </w:pPr>
            <w:r>
              <w:rPr>
                <w:rFonts w:ascii="Times New Roman"/>
                <w:color w:val="000000" w:themeColor="text1"/>
                <w:szCs w:val="21"/>
              </w:rPr>
              <w:t>线间距</w:t>
            </w:r>
          </w:p>
        </w:tc>
        <w:tc>
          <w:tcPr>
            <w:tcW w:w="1519" w:type="pct"/>
            <w:vAlign w:val="center"/>
          </w:tcPr>
          <w:p>
            <w:pPr>
              <w:pStyle w:val="25"/>
              <w:spacing w:line="360" w:lineRule="exact"/>
              <w:rPr>
                <w:rFonts w:ascii="Times New Roman" w:hAnsi="Times New Roman"/>
                <w:color w:val="000000" w:themeColor="text1"/>
                <w:szCs w:val="21"/>
              </w:rPr>
            </w:pPr>
            <w:r>
              <w:rPr>
                <w:rFonts w:ascii="Times New Roman"/>
                <w:color w:val="000000" w:themeColor="text1"/>
                <w:szCs w:val="21"/>
              </w:rPr>
              <w:t>水平间距</w:t>
            </w:r>
          </w:p>
        </w:tc>
        <w:tc>
          <w:tcPr>
            <w:tcW w:w="2483" w:type="pct"/>
            <w:vAlign w:val="center"/>
          </w:tcPr>
          <w:p>
            <w:pPr>
              <w:widowControl/>
              <w:spacing w:line="360" w:lineRule="exact"/>
              <w:jc w:val="center"/>
              <w:rPr>
                <w:rFonts w:eastAsia="宋体"/>
                <w:color w:val="000000" w:themeColor="text1"/>
                <w:kern w:val="0"/>
                <w:sz w:val="21"/>
                <w:szCs w:val="21"/>
              </w:rPr>
            </w:pPr>
            <w:r>
              <w:rPr>
                <w:rFonts w:hint="eastAsia" w:eastAsia="宋体"/>
                <w:color w:val="000000" w:themeColor="text1"/>
                <w:kern w:val="0"/>
                <w:sz w:val="21"/>
                <w:szCs w:val="21"/>
              </w:rPr>
              <w:t>5.0</w:t>
            </w:r>
            <w:r>
              <w:rPr>
                <w:rFonts w:eastAsia="宋体"/>
                <w:color w:val="000000" w:themeColor="text1"/>
                <w:kern w:val="0"/>
                <w:sz w:val="21"/>
                <w:szCs w:val="21"/>
              </w:rPr>
              <w:t>/</w:t>
            </w:r>
            <w:r>
              <w:rPr>
                <w:rFonts w:hint="eastAsia" w:eastAsia="宋体"/>
                <w:color w:val="000000" w:themeColor="text1"/>
                <w:kern w:val="0"/>
                <w:sz w:val="21"/>
                <w:szCs w:val="21"/>
              </w:rPr>
              <w:t>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8" w:type="pct"/>
            <w:vMerge w:val="continue"/>
            <w:vAlign w:val="center"/>
          </w:tcPr>
          <w:p>
            <w:pPr>
              <w:pStyle w:val="25"/>
              <w:spacing w:line="360" w:lineRule="exact"/>
              <w:rPr>
                <w:rFonts w:ascii="Times New Roman" w:hAnsi="Times New Roman"/>
                <w:color w:val="000000" w:themeColor="text1"/>
                <w:szCs w:val="21"/>
              </w:rPr>
            </w:pPr>
          </w:p>
        </w:tc>
        <w:tc>
          <w:tcPr>
            <w:tcW w:w="1519" w:type="pct"/>
            <w:vAlign w:val="center"/>
          </w:tcPr>
          <w:p>
            <w:pPr>
              <w:pStyle w:val="25"/>
              <w:spacing w:line="360" w:lineRule="exact"/>
              <w:rPr>
                <w:rFonts w:ascii="Times New Roman" w:hAnsi="Times New Roman"/>
                <w:color w:val="000000" w:themeColor="text1"/>
                <w:szCs w:val="21"/>
              </w:rPr>
            </w:pPr>
            <w:r>
              <w:rPr>
                <w:rFonts w:ascii="Times New Roman"/>
                <w:color w:val="000000" w:themeColor="text1"/>
                <w:szCs w:val="21"/>
              </w:rPr>
              <w:t>垂直间距</w:t>
            </w:r>
          </w:p>
        </w:tc>
        <w:tc>
          <w:tcPr>
            <w:tcW w:w="2483" w:type="pct"/>
            <w:vAlign w:val="center"/>
          </w:tcPr>
          <w:p>
            <w:pPr>
              <w:widowControl/>
              <w:spacing w:line="360" w:lineRule="exact"/>
              <w:jc w:val="center"/>
              <w:rPr>
                <w:rFonts w:eastAsia="宋体"/>
                <w:color w:val="000000" w:themeColor="text1"/>
                <w:kern w:val="0"/>
                <w:sz w:val="21"/>
                <w:szCs w:val="21"/>
              </w:rPr>
            </w:pPr>
            <w:r>
              <w:rPr>
                <w:rFonts w:hint="eastAsia" w:eastAsia="宋体"/>
                <w:color w:val="000000" w:themeColor="text1"/>
                <w:kern w:val="0"/>
                <w:sz w:val="21"/>
                <w:szCs w:val="21"/>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17" w:type="pct"/>
            <w:gridSpan w:val="2"/>
            <w:vMerge w:val="restart"/>
            <w:vAlign w:val="center"/>
          </w:tcPr>
          <w:p>
            <w:pPr>
              <w:pStyle w:val="25"/>
              <w:spacing w:line="360" w:lineRule="exact"/>
              <w:rPr>
                <w:rFonts w:ascii="Times New Roman" w:hAnsi="Times New Roman"/>
                <w:szCs w:val="21"/>
              </w:rPr>
            </w:pPr>
            <w:r>
              <w:rPr>
                <w:rFonts w:ascii="Times New Roman"/>
                <w:szCs w:val="21"/>
              </w:rPr>
              <w:t>底层导线对地距离（</w:t>
            </w:r>
            <w:r>
              <w:rPr>
                <w:rFonts w:ascii="Times New Roman" w:hAnsi="Times New Roman"/>
                <w:szCs w:val="21"/>
              </w:rPr>
              <w:t>m</w:t>
            </w:r>
            <w:r>
              <w:rPr>
                <w:rFonts w:ascii="Times New Roman"/>
                <w:szCs w:val="21"/>
              </w:rPr>
              <w:t>）</w:t>
            </w: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6m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17" w:type="pct"/>
            <w:gridSpan w:val="2"/>
            <w:vMerge w:val="continue"/>
            <w:vAlign w:val="center"/>
          </w:tcPr>
          <w:p>
            <w:pPr>
              <w:pStyle w:val="25"/>
              <w:spacing w:line="360" w:lineRule="exact"/>
              <w:rPr>
                <w:rFonts w:ascii="Times New Roman" w:hAnsi="Times New Roman"/>
                <w:szCs w:val="21"/>
              </w:rPr>
            </w:pP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7m</w:t>
            </w:r>
            <w:r>
              <w:rPr>
                <w:rFonts w:ascii="Times New Roman"/>
                <w:szCs w:val="21"/>
              </w:rPr>
              <w:t>（线路不跨越房屋）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17" w:type="pct"/>
            <w:gridSpan w:val="2"/>
            <w:vMerge w:val="continue"/>
            <w:vAlign w:val="center"/>
          </w:tcPr>
          <w:p>
            <w:pPr>
              <w:pStyle w:val="25"/>
              <w:spacing w:line="360" w:lineRule="exact"/>
              <w:rPr>
                <w:rFonts w:ascii="Times New Roman" w:hAnsi="Times New Roman"/>
                <w:szCs w:val="21"/>
              </w:rPr>
            </w:pPr>
          </w:p>
        </w:tc>
        <w:tc>
          <w:tcPr>
            <w:tcW w:w="2483" w:type="pct"/>
            <w:vAlign w:val="center"/>
          </w:tcPr>
          <w:p>
            <w:pPr>
              <w:pStyle w:val="25"/>
              <w:spacing w:line="360" w:lineRule="exact"/>
              <w:rPr>
                <w:rFonts w:ascii="Times New Roman" w:hAnsi="Times New Roman"/>
                <w:szCs w:val="21"/>
              </w:rPr>
            </w:pPr>
            <w:r>
              <w:rPr>
                <w:rFonts w:ascii="Times New Roman" w:hAnsi="Times New Roman"/>
                <w:szCs w:val="21"/>
              </w:rPr>
              <w:t>10m</w:t>
            </w:r>
            <w:r>
              <w:rPr>
                <w:rFonts w:ascii="Times New Roman"/>
                <w:szCs w:val="21"/>
              </w:rPr>
              <w:t>（设计最低塔高）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17" w:type="pct"/>
            <w:gridSpan w:val="2"/>
            <w:vAlign w:val="center"/>
          </w:tcPr>
          <w:p>
            <w:pPr>
              <w:pStyle w:val="19"/>
              <w:spacing w:before="0" w:beforeAutospacing="0" w:after="0" w:afterAutospacing="0" w:line="360" w:lineRule="exact"/>
              <w:rPr>
                <w:rFonts w:ascii="Times New Roman" w:hAnsi="Times New Roman"/>
              </w:rPr>
            </w:pPr>
            <w:r>
              <w:rPr>
                <w:rFonts w:ascii="Times New Roman" w:hAnsi="宋体"/>
              </w:rPr>
              <w:t>预测点位高度</w:t>
            </w:r>
          </w:p>
        </w:tc>
        <w:tc>
          <w:tcPr>
            <w:tcW w:w="2483" w:type="pct"/>
            <w:vAlign w:val="center"/>
          </w:tcPr>
          <w:p>
            <w:pPr>
              <w:pStyle w:val="25"/>
              <w:spacing w:line="360" w:lineRule="exact"/>
              <w:rPr>
                <w:rFonts w:ascii="Times New Roman" w:hAnsi="Times New Roman"/>
                <w:szCs w:val="21"/>
              </w:rPr>
            </w:pPr>
            <w:r>
              <w:rPr>
                <w:rFonts w:ascii="Times New Roman"/>
                <w:szCs w:val="21"/>
              </w:rPr>
              <w:t>距离地面</w:t>
            </w:r>
            <w:r>
              <w:rPr>
                <w:rFonts w:ascii="Times New Roman" w:hAnsi="Times New Roman"/>
                <w:szCs w:val="21"/>
              </w:rPr>
              <w:t>1.5m</w:t>
            </w:r>
            <w:r>
              <w:rPr>
                <w:rFonts w:ascii="Times New Roman"/>
                <w:szCs w:val="21"/>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17" w:type="pct"/>
            <w:gridSpan w:val="2"/>
            <w:vAlign w:val="center"/>
          </w:tcPr>
          <w:p>
            <w:pPr>
              <w:pStyle w:val="19"/>
              <w:spacing w:before="0" w:beforeAutospacing="0" w:after="0" w:afterAutospacing="0" w:line="360" w:lineRule="exact"/>
              <w:rPr>
                <w:rFonts w:ascii="Times New Roman" w:hAnsi="Times New Roman"/>
              </w:rPr>
            </w:pPr>
            <w:r>
              <w:rPr>
                <w:rFonts w:ascii="Times New Roman" w:hAnsi="宋体"/>
              </w:rPr>
              <w:t>适用类型</w:t>
            </w:r>
          </w:p>
        </w:tc>
        <w:tc>
          <w:tcPr>
            <w:tcW w:w="2483" w:type="pct"/>
            <w:vAlign w:val="center"/>
          </w:tcPr>
          <w:p>
            <w:pPr>
              <w:pStyle w:val="25"/>
              <w:spacing w:line="360" w:lineRule="exact"/>
              <w:rPr>
                <w:rFonts w:ascii="Times New Roman" w:hAnsi="Times New Roman"/>
                <w:szCs w:val="21"/>
              </w:rPr>
            </w:pPr>
            <w:r>
              <w:rPr>
                <w:rFonts w:ascii="Times New Roman"/>
                <w:szCs w:val="21"/>
              </w:rPr>
              <w:t>一般山地丘陵段</w:t>
            </w:r>
          </w:p>
        </w:tc>
      </w:tr>
    </w:tbl>
    <w:p>
      <w:pPr>
        <w:adjustRightInd w:val="0"/>
        <w:snapToGrid w:val="0"/>
        <w:spacing w:line="520" w:lineRule="exact"/>
        <w:rPr>
          <w:rFonts w:eastAsia="宋体"/>
          <w:b/>
          <w:snapToGrid w:val="0"/>
          <w:sz w:val="24"/>
        </w:rPr>
      </w:pPr>
      <w:r>
        <w:rPr>
          <w:rFonts w:hint="eastAsia" w:eastAsia="宋体"/>
          <w:b/>
          <w:snapToGrid w:val="0"/>
          <w:sz w:val="24"/>
        </w:rPr>
        <w:t>5.3.3</w:t>
      </w:r>
      <w:r>
        <w:rPr>
          <w:rFonts w:eastAsia="宋体"/>
          <w:b/>
          <w:snapToGrid w:val="0"/>
          <w:sz w:val="24"/>
        </w:rPr>
        <w:t>理论计算结果</w:t>
      </w:r>
    </w:p>
    <w:p>
      <w:pPr>
        <w:spacing w:line="520" w:lineRule="exact"/>
        <w:ind w:firstLine="480" w:firstLineChars="200"/>
        <w:rPr>
          <w:rFonts w:eastAsia="宋体"/>
          <w:sz w:val="24"/>
        </w:rPr>
      </w:pPr>
      <w:r>
        <w:rPr>
          <w:rFonts w:eastAsia="宋体"/>
          <w:sz w:val="24"/>
        </w:rPr>
        <w:t>（1）本工程110kV输电线路典型杆塔110GT-ZB2型杆塔工频电场、工频磁场预测计算结果表14工频电场相应变化趋势见图6，频磁场相应变化趋势见图7。</w:t>
      </w:r>
    </w:p>
    <w:p>
      <w:pPr>
        <w:pStyle w:val="4"/>
        <w:adjustRightInd w:val="0"/>
        <w:snapToGrid w:val="0"/>
        <w:spacing w:line="520" w:lineRule="exact"/>
        <w:ind w:firstLine="480" w:firstLineChars="200"/>
        <w:rPr>
          <w:rFonts w:ascii="Times New Roman" w:hAnsi="Times New Roman"/>
          <w:sz w:val="24"/>
          <w:szCs w:val="21"/>
        </w:rPr>
      </w:pPr>
      <w:r>
        <w:rPr>
          <w:rFonts w:ascii="Times New Roman" w:hAnsi="黑体"/>
          <w:sz w:val="24"/>
          <w:szCs w:val="21"/>
        </w:rPr>
        <w:t>表</w:t>
      </w:r>
      <w:r>
        <w:rPr>
          <w:rFonts w:ascii="Times New Roman" w:hAnsi="Times New Roman"/>
          <w:sz w:val="24"/>
          <w:szCs w:val="21"/>
        </w:rPr>
        <w:t xml:space="preserve"> 14      110kV</w:t>
      </w:r>
      <w:r>
        <w:rPr>
          <w:rFonts w:ascii="Times New Roman" w:hAnsi="黑体"/>
          <w:sz w:val="24"/>
          <w:szCs w:val="21"/>
        </w:rPr>
        <w:t>单回路线路工频电场、工频磁场预测结果</w:t>
      </w:r>
      <w:r>
        <w:rPr>
          <w:rFonts w:ascii="Times New Roman" w:hAnsi="Times New Roman"/>
          <w:sz w:val="24"/>
          <w:szCs w:val="21"/>
        </w:rPr>
        <w:t xml:space="preserve"> </w:t>
      </w:r>
    </w:p>
    <w:tbl>
      <w:tblPr>
        <w:tblStyle w:val="15"/>
        <w:tblW w:w="5000" w:type="pct"/>
        <w:jc w:val="center"/>
        <w:tblLayout w:type="autofit"/>
        <w:tblCellMar>
          <w:top w:w="0" w:type="dxa"/>
          <w:left w:w="108" w:type="dxa"/>
          <w:bottom w:w="0" w:type="dxa"/>
          <w:right w:w="108" w:type="dxa"/>
        </w:tblCellMar>
      </w:tblPr>
      <w:tblGrid>
        <w:gridCol w:w="804"/>
        <w:gridCol w:w="2448"/>
        <w:gridCol w:w="1370"/>
        <w:gridCol w:w="1171"/>
        <w:gridCol w:w="1364"/>
        <w:gridCol w:w="1365"/>
      </w:tblGrid>
      <w:tr>
        <w:tblPrEx>
          <w:tblCellMar>
            <w:top w:w="0" w:type="dxa"/>
            <w:left w:w="108" w:type="dxa"/>
            <w:bottom w:w="0" w:type="dxa"/>
            <w:right w:w="108" w:type="dxa"/>
          </w:tblCellMar>
        </w:tblPrEx>
        <w:trPr>
          <w:trHeight w:val="340" w:hRule="atLeast"/>
          <w:jc w:val="center"/>
        </w:trPr>
        <w:tc>
          <w:tcPr>
            <w:tcW w:w="472" w:type="pct"/>
            <w:vMerge w:val="restart"/>
            <w:tcBorders>
              <w:top w:val="single" w:color="auto" w:sz="8" w:space="0"/>
              <w:left w:val="single" w:color="auto" w:sz="8" w:space="0"/>
              <w:right w:val="single" w:color="auto" w:sz="8" w:space="0"/>
            </w:tcBorders>
            <w:shd w:val="clear" w:color="auto" w:fill="auto"/>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距线路中心距离</w:t>
            </w:r>
          </w:p>
        </w:tc>
        <w:tc>
          <w:tcPr>
            <w:tcW w:w="1436" w:type="pct"/>
            <w:vMerge w:val="restart"/>
            <w:tcBorders>
              <w:top w:val="single" w:color="auto" w:sz="8" w:space="0"/>
              <w:left w:val="nil"/>
              <w:right w:val="single" w:color="auto" w:sz="8" w:space="0"/>
            </w:tcBorders>
            <w:shd w:val="clear" w:color="auto" w:fill="auto"/>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距边相导线距离（m）</w:t>
            </w:r>
          </w:p>
        </w:tc>
        <w:tc>
          <w:tcPr>
            <w:tcW w:w="1491" w:type="pct"/>
            <w:gridSpan w:val="2"/>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电场强度(kV/m)</w:t>
            </w:r>
          </w:p>
        </w:tc>
        <w:tc>
          <w:tcPr>
            <w:tcW w:w="1601" w:type="pct"/>
            <w:gridSpan w:val="2"/>
            <w:tcBorders>
              <w:top w:val="single" w:color="auto" w:sz="8" w:space="0"/>
              <w:left w:val="nil"/>
              <w:bottom w:val="single" w:color="auto" w:sz="8" w:space="0"/>
              <w:right w:val="single" w:color="auto" w:sz="8" w:space="0"/>
            </w:tcBorders>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磁感应强度(</w:t>
            </w:r>
            <w:r>
              <w:rPr>
                <w:rFonts w:hint="eastAsia" w:eastAsia="宋体"/>
                <w:color w:val="000000"/>
                <w:kern w:val="0"/>
                <w:sz w:val="21"/>
                <w:szCs w:val="21"/>
              </w:rPr>
              <w:t>m</w:t>
            </w:r>
            <w:r>
              <w:rPr>
                <w:rFonts w:eastAsia="宋体"/>
                <w:color w:val="000000"/>
                <w:kern w:val="0"/>
                <w:sz w:val="21"/>
                <w:szCs w:val="21"/>
              </w:rPr>
              <w:t>T)</w:t>
            </w:r>
          </w:p>
        </w:tc>
      </w:tr>
      <w:tr>
        <w:tblPrEx>
          <w:tblCellMar>
            <w:top w:w="0" w:type="dxa"/>
            <w:left w:w="108" w:type="dxa"/>
            <w:bottom w:w="0" w:type="dxa"/>
            <w:right w:w="108" w:type="dxa"/>
          </w:tblCellMar>
        </w:tblPrEx>
        <w:trPr>
          <w:trHeight w:val="340" w:hRule="atLeast"/>
          <w:jc w:val="center"/>
        </w:trPr>
        <w:tc>
          <w:tcPr>
            <w:tcW w:w="472" w:type="pct"/>
            <w:vMerge w:val="continue"/>
            <w:tcBorders>
              <w:left w:val="single" w:color="auto" w:sz="8" w:space="0"/>
              <w:bottom w:val="single" w:color="auto" w:sz="8" w:space="0"/>
              <w:right w:val="single" w:color="auto" w:sz="8" w:space="0"/>
            </w:tcBorders>
            <w:shd w:val="clear" w:color="auto" w:fill="auto"/>
            <w:vAlign w:val="center"/>
          </w:tcPr>
          <w:p>
            <w:pPr>
              <w:widowControl/>
              <w:spacing w:line="360" w:lineRule="exact"/>
              <w:jc w:val="left"/>
              <w:rPr>
                <w:rFonts w:eastAsia="宋体"/>
                <w:color w:val="000000"/>
                <w:kern w:val="0"/>
                <w:sz w:val="21"/>
                <w:szCs w:val="21"/>
              </w:rPr>
            </w:pPr>
          </w:p>
        </w:tc>
        <w:tc>
          <w:tcPr>
            <w:tcW w:w="1436" w:type="pct"/>
            <w:vMerge w:val="continue"/>
            <w:tcBorders>
              <w:left w:val="nil"/>
              <w:bottom w:val="single" w:color="auto" w:sz="8" w:space="0"/>
              <w:right w:val="single" w:color="auto" w:sz="8" w:space="0"/>
            </w:tcBorders>
            <w:shd w:val="clear" w:color="auto" w:fill="auto"/>
            <w:vAlign w:val="center"/>
          </w:tcPr>
          <w:p>
            <w:pPr>
              <w:widowControl/>
              <w:spacing w:line="360" w:lineRule="exact"/>
              <w:jc w:val="left"/>
              <w:rPr>
                <w:rFonts w:eastAsia="宋体"/>
                <w:color w:val="000000"/>
                <w:kern w:val="0"/>
                <w:sz w:val="21"/>
                <w:szCs w:val="21"/>
              </w:rPr>
            </w:pPr>
          </w:p>
        </w:tc>
        <w:tc>
          <w:tcPr>
            <w:tcW w:w="804" w:type="pct"/>
            <w:tcBorders>
              <w:top w:val="single" w:color="auto" w:sz="8" w:space="0"/>
              <w:left w:val="nil"/>
              <w:bottom w:val="single" w:color="auto" w:sz="8" w:space="0"/>
              <w:right w:val="single" w:color="auto" w:sz="8" w:space="0"/>
            </w:tcBorders>
            <w:shd w:val="clear" w:color="auto" w:fill="auto"/>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导线对地6.0m，距离地面1.5m</w:t>
            </w:r>
          </w:p>
        </w:tc>
        <w:tc>
          <w:tcPr>
            <w:tcW w:w="687" w:type="pct"/>
            <w:tcBorders>
              <w:top w:val="single" w:color="auto" w:sz="8" w:space="0"/>
              <w:left w:val="nil"/>
              <w:bottom w:val="single" w:color="auto" w:sz="8" w:space="0"/>
              <w:right w:val="single" w:color="auto" w:sz="8" w:space="0"/>
            </w:tcBorders>
            <w:shd w:val="clear" w:color="auto" w:fill="auto"/>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导线对地7.0m，距离地面1.5m</w:t>
            </w:r>
          </w:p>
        </w:tc>
        <w:tc>
          <w:tcPr>
            <w:tcW w:w="800" w:type="pct"/>
            <w:tcBorders>
              <w:top w:val="single" w:color="auto" w:sz="8" w:space="0"/>
              <w:left w:val="nil"/>
              <w:bottom w:val="single" w:color="auto" w:sz="8" w:space="0"/>
              <w:right w:val="single" w:color="auto" w:sz="8" w:space="0"/>
            </w:tcBorders>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导线对地6.0m，距离地面1.5m</w:t>
            </w:r>
          </w:p>
        </w:tc>
        <w:tc>
          <w:tcPr>
            <w:tcW w:w="801" w:type="pct"/>
            <w:tcBorders>
              <w:top w:val="single" w:color="auto" w:sz="8" w:space="0"/>
              <w:left w:val="nil"/>
              <w:bottom w:val="single" w:color="auto" w:sz="8" w:space="0"/>
              <w:right w:val="single" w:color="auto" w:sz="8" w:space="0"/>
            </w:tcBorders>
            <w:vAlign w:val="center"/>
          </w:tcPr>
          <w:p>
            <w:pPr>
              <w:widowControl/>
              <w:spacing w:line="360" w:lineRule="exact"/>
              <w:jc w:val="center"/>
              <w:rPr>
                <w:rFonts w:eastAsia="宋体"/>
                <w:color w:val="000000"/>
                <w:kern w:val="0"/>
                <w:sz w:val="21"/>
                <w:szCs w:val="21"/>
              </w:rPr>
            </w:pPr>
            <w:r>
              <w:rPr>
                <w:rFonts w:eastAsia="宋体"/>
                <w:color w:val="000000"/>
                <w:kern w:val="0"/>
                <w:sz w:val="21"/>
                <w:szCs w:val="21"/>
              </w:rPr>
              <w:t>导线对地7.0m，距离地面1.5m</w:t>
            </w:r>
          </w:p>
        </w:tc>
      </w:tr>
      <w:tr>
        <w:tblPrEx>
          <w:tblCellMar>
            <w:top w:w="0" w:type="dxa"/>
            <w:left w:w="108" w:type="dxa"/>
            <w:bottom w:w="0" w:type="dxa"/>
            <w:right w:w="108" w:type="dxa"/>
          </w:tblCellMar>
        </w:tblPrEx>
        <w:trPr>
          <w:trHeight w:val="340" w:hRule="atLeast"/>
          <w:jc w:val="center"/>
        </w:trPr>
        <w:tc>
          <w:tcPr>
            <w:tcW w:w="472"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0</w:t>
            </w:r>
          </w:p>
        </w:tc>
        <w:tc>
          <w:tcPr>
            <w:tcW w:w="1436" w:type="pct"/>
            <w:tcBorders>
              <w:top w:val="single" w:color="auto" w:sz="8" w:space="0"/>
              <w:left w:val="nil"/>
              <w:bottom w:val="single" w:color="auto" w:sz="8" w:space="0"/>
              <w:right w:val="single" w:color="auto" w:sz="8" w:space="0"/>
            </w:tcBorders>
            <w:shd w:val="clear" w:color="auto" w:fill="auto"/>
            <w:vAlign w:val="center"/>
          </w:tcPr>
          <w:p>
            <w:pPr>
              <w:widowControl/>
              <w:spacing w:line="360" w:lineRule="exact"/>
              <w:jc w:val="center"/>
              <w:rPr>
                <w:rFonts w:eastAsia="宋体"/>
                <w:color w:val="000000"/>
                <w:kern w:val="0"/>
                <w:sz w:val="21"/>
                <w:szCs w:val="21"/>
              </w:rPr>
            </w:pPr>
            <w:r>
              <w:rPr>
                <w:rFonts w:eastAsia="宋体"/>
                <w:color w:val="000000"/>
                <w:sz w:val="21"/>
                <w:szCs w:val="21"/>
              </w:rPr>
              <w:t>边导线内</w:t>
            </w:r>
          </w:p>
        </w:tc>
        <w:tc>
          <w:tcPr>
            <w:tcW w:w="804" w:type="pct"/>
            <w:tcBorders>
              <w:top w:val="single" w:color="auto" w:sz="8" w:space="0"/>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2.14</w:t>
            </w:r>
          </w:p>
        </w:tc>
        <w:tc>
          <w:tcPr>
            <w:tcW w:w="687" w:type="pct"/>
            <w:tcBorders>
              <w:top w:val="single" w:color="auto" w:sz="8" w:space="0"/>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1.5</w:t>
            </w:r>
          </w:p>
        </w:tc>
        <w:tc>
          <w:tcPr>
            <w:tcW w:w="800" w:type="pct"/>
            <w:tcBorders>
              <w:top w:val="single" w:color="auto" w:sz="8" w:space="0"/>
              <w:left w:val="nil"/>
              <w:bottom w:val="single" w:color="auto" w:sz="8" w:space="0"/>
              <w:right w:val="single" w:color="auto" w:sz="8" w:space="0"/>
            </w:tcBorders>
          </w:tcPr>
          <w:p>
            <w:pPr>
              <w:jc w:val="center"/>
              <w:rPr>
                <w:rFonts w:eastAsia="宋体"/>
                <w:color w:val="000000"/>
                <w:sz w:val="21"/>
                <w:szCs w:val="21"/>
              </w:rPr>
            </w:pPr>
            <w:r>
              <w:rPr>
                <w:color w:val="000000"/>
                <w:sz w:val="21"/>
                <w:szCs w:val="21"/>
              </w:rPr>
              <w:t>18.54</w:t>
            </w:r>
          </w:p>
        </w:tc>
        <w:tc>
          <w:tcPr>
            <w:tcW w:w="801" w:type="pct"/>
            <w:tcBorders>
              <w:top w:val="single" w:color="auto" w:sz="8" w:space="0"/>
              <w:left w:val="nil"/>
              <w:bottom w:val="single" w:color="auto" w:sz="8" w:space="0"/>
              <w:right w:val="single" w:color="auto" w:sz="8" w:space="0"/>
            </w:tcBorders>
          </w:tcPr>
          <w:p>
            <w:pPr>
              <w:jc w:val="center"/>
              <w:rPr>
                <w:rFonts w:eastAsia="宋体"/>
                <w:color w:val="000000"/>
                <w:sz w:val="21"/>
                <w:szCs w:val="21"/>
              </w:rPr>
            </w:pPr>
            <w:r>
              <w:rPr>
                <w:color w:val="000000"/>
                <w:sz w:val="21"/>
                <w:szCs w:val="21"/>
              </w:rPr>
              <w:t>18.91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w:t>
            </w:r>
          </w:p>
        </w:tc>
        <w:tc>
          <w:tcPr>
            <w:tcW w:w="1436" w:type="pct"/>
            <w:tcBorders>
              <w:top w:val="nil"/>
              <w:left w:val="nil"/>
              <w:bottom w:val="single" w:color="auto" w:sz="8" w:space="0"/>
              <w:right w:val="single" w:color="auto" w:sz="8" w:space="0"/>
            </w:tcBorders>
            <w:shd w:val="clear" w:color="auto" w:fill="auto"/>
            <w:vAlign w:val="center"/>
          </w:tcPr>
          <w:p>
            <w:pPr>
              <w:spacing w:line="360" w:lineRule="exact"/>
              <w:jc w:val="center"/>
              <w:rPr>
                <w:rFonts w:eastAsia="宋体"/>
                <w:color w:val="000000"/>
                <w:sz w:val="21"/>
                <w:szCs w:val="21"/>
              </w:rPr>
            </w:pPr>
            <w:r>
              <w:rPr>
                <w:rFonts w:eastAsia="宋体"/>
                <w:color w:val="000000"/>
                <w:sz w:val="21"/>
                <w:szCs w:val="21"/>
              </w:rPr>
              <w:t>边导线内</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2.05</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1.46</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18.44</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18.84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w:t>
            </w:r>
          </w:p>
        </w:tc>
        <w:tc>
          <w:tcPr>
            <w:tcW w:w="1436" w:type="pct"/>
            <w:tcBorders>
              <w:top w:val="nil"/>
              <w:left w:val="nil"/>
              <w:bottom w:val="single" w:color="auto" w:sz="8" w:space="0"/>
              <w:right w:val="single" w:color="auto" w:sz="8" w:space="0"/>
            </w:tcBorders>
            <w:shd w:val="clear" w:color="auto" w:fill="auto"/>
            <w:vAlign w:val="center"/>
          </w:tcPr>
          <w:p>
            <w:pPr>
              <w:spacing w:line="360" w:lineRule="exact"/>
              <w:jc w:val="center"/>
              <w:rPr>
                <w:rFonts w:eastAsia="宋体"/>
                <w:color w:val="000000"/>
                <w:sz w:val="21"/>
                <w:szCs w:val="21"/>
              </w:rPr>
            </w:pPr>
            <w:r>
              <w:rPr>
                <w:rFonts w:eastAsia="宋体"/>
                <w:color w:val="000000"/>
                <w:sz w:val="21"/>
                <w:szCs w:val="21"/>
              </w:rPr>
              <w:t>边导线内</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1.91</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1.42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19.37</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19.4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3</w:t>
            </w:r>
          </w:p>
        </w:tc>
        <w:tc>
          <w:tcPr>
            <w:tcW w:w="1436" w:type="pct"/>
            <w:tcBorders>
              <w:top w:val="nil"/>
              <w:left w:val="nil"/>
              <w:bottom w:val="single" w:color="auto" w:sz="8" w:space="0"/>
              <w:right w:val="single" w:color="auto" w:sz="8" w:space="0"/>
            </w:tcBorders>
            <w:shd w:val="clear" w:color="auto" w:fill="auto"/>
            <w:vAlign w:val="center"/>
          </w:tcPr>
          <w:p>
            <w:pPr>
              <w:spacing w:line="360" w:lineRule="exact"/>
              <w:jc w:val="center"/>
              <w:rPr>
                <w:rFonts w:eastAsia="宋体"/>
                <w:color w:val="000000"/>
                <w:sz w:val="21"/>
                <w:szCs w:val="21"/>
              </w:rPr>
            </w:pPr>
            <w:r>
              <w:rPr>
                <w:rFonts w:eastAsia="宋体"/>
                <w:color w:val="000000"/>
                <w:sz w:val="21"/>
                <w:szCs w:val="21"/>
              </w:rPr>
              <w:t>边导线内</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1.89</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1.46</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21.19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20.46</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4</w:t>
            </w:r>
          </w:p>
        </w:tc>
        <w:tc>
          <w:tcPr>
            <w:tcW w:w="1436" w:type="pct"/>
            <w:tcBorders>
              <w:top w:val="nil"/>
              <w:left w:val="nil"/>
              <w:bottom w:val="single" w:color="auto" w:sz="8" w:space="0"/>
              <w:right w:val="single" w:color="auto" w:sz="8" w:space="0"/>
            </w:tcBorders>
            <w:shd w:val="clear" w:color="auto" w:fill="auto"/>
            <w:vAlign w:val="center"/>
          </w:tcPr>
          <w:p>
            <w:pPr>
              <w:spacing w:line="360" w:lineRule="exact"/>
              <w:jc w:val="center"/>
              <w:rPr>
                <w:rFonts w:eastAsia="宋体"/>
                <w:color w:val="000000"/>
                <w:sz w:val="21"/>
                <w:szCs w:val="21"/>
              </w:rPr>
            </w:pPr>
            <w:r>
              <w:rPr>
                <w:rFonts w:eastAsia="宋体"/>
                <w:color w:val="000000"/>
                <w:sz w:val="21"/>
                <w:szCs w:val="21"/>
              </w:rPr>
              <w:t>边导线内</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2.08</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1.62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23.57</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21.8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5</w:t>
            </w:r>
          </w:p>
        </w:tc>
        <w:tc>
          <w:tcPr>
            <w:tcW w:w="1436" w:type="pct"/>
            <w:tcBorders>
              <w:top w:val="nil"/>
              <w:left w:val="nil"/>
              <w:bottom w:val="single" w:color="auto" w:sz="8" w:space="0"/>
              <w:right w:val="single" w:color="auto" w:sz="8" w:space="0"/>
            </w:tcBorders>
            <w:shd w:val="clear" w:color="auto" w:fill="auto"/>
            <w:vAlign w:val="center"/>
          </w:tcPr>
          <w:p>
            <w:pPr>
              <w:spacing w:line="360" w:lineRule="exact"/>
              <w:jc w:val="center"/>
              <w:rPr>
                <w:rFonts w:eastAsia="宋体"/>
                <w:color w:val="000000"/>
                <w:sz w:val="21"/>
                <w:szCs w:val="21"/>
              </w:rPr>
            </w:pPr>
            <w:r>
              <w:rPr>
                <w:rFonts w:eastAsia="宋体"/>
                <w:color w:val="000000"/>
                <w:sz w:val="21"/>
                <w:szCs w:val="21"/>
              </w:rPr>
              <w:t>边导线内</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2.38</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1.82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25.97</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23.1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6</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边导线内</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2.61</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1.98</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27.68</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23.99</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7</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0.8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2.64</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2.03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28.16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24.24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8</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w:t>
            </w:r>
            <w:r>
              <w:rPr>
                <w:rFonts w:hint="eastAsia" w:eastAsia="宋体"/>
                <w:color w:val="000000"/>
                <w:sz w:val="21"/>
                <w:szCs w:val="21"/>
              </w:rPr>
              <w:t>1.8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2.46</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1.96</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27.39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23.79</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9</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2.16</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1.8</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25.78</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22.8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10</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1.83</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1.59</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23.83</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21.5</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11</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4.8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1.52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1.37</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21.86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20.08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12</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5.8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1.24</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1.16</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20.02</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18.69</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13</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6.8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1.02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0.98</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18.39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17.38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14</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7.8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0.84</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0.83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16.96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16.18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15</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8.8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0.69</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0.7</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15.71</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15.1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16</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9.8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0.58</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0.59</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14.61</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14.14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17</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10.8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0.48</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0.5</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13.66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13.27</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18</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11.8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0.41</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0.43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12.81</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12.5</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19</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边导线外1</w:t>
            </w:r>
            <w:r>
              <w:rPr>
                <w:rFonts w:hint="eastAsia" w:eastAsia="宋体"/>
                <w:color w:val="000000"/>
                <w:sz w:val="21"/>
                <w:szCs w:val="21"/>
              </w:rPr>
              <w:t>2.8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0.35</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0.37</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12.06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11.81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20</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边导线外1</w:t>
            </w:r>
            <w:r>
              <w:rPr>
                <w:rFonts w:hint="eastAsia" w:eastAsia="宋体"/>
                <w:color w:val="000000"/>
                <w:sz w:val="21"/>
                <w:szCs w:val="21"/>
              </w:rPr>
              <w:t>3.8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0.3</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0.32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11.4</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11.18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21</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边导线外1</w:t>
            </w:r>
            <w:r>
              <w:rPr>
                <w:rFonts w:hint="eastAsia" w:eastAsia="宋体"/>
                <w:color w:val="000000"/>
                <w:sz w:val="21"/>
                <w:szCs w:val="21"/>
              </w:rPr>
              <w:t>4.8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0.26</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0.28</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10.8</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10.62</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22</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边导线外1</w:t>
            </w:r>
            <w:r>
              <w:rPr>
                <w:rFonts w:hint="eastAsia" w:eastAsia="宋体"/>
                <w:color w:val="000000"/>
                <w:sz w:val="21"/>
                <w:szCs w:val="21"/>
              </w:rPr>
              <w:t>5.8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0.22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0.24</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10.26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10.11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23</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边导线外1</w:t>
            </w:r>
            <w:r>
              <w:rPr>
                <w:rFonts w:hint="eastAsia" w:eastAsia="宋体"/>
                <w:color w:val="000000"/>
                <w:sz w:val="21"/>
                <w:szCs w:val="21"/>
              </w:rPr>
              <w:t>6.8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0.19</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0.21</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9.77</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9.64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24</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17.8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0.17</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0.19</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9.33</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9.22</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25</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18.8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0.15</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0.17</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8.93</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8.83</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26</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19.8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0.13</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0.15</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8.56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8.47</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27</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20.8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8.22</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8.14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28</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边导线外2</w:t>
            </w:r>
            <w:r>
              <w:rPr>
                <w:rFonts w:hint="eastAsia" w:eastAsia="宋体"/>
                <w:color w:val="000000"/>
                <w:sz w:val="21"/>
                <w:szCs w:val="21"/>
              </w:rPr>
              <w:t>1.8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0.11</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7.84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29</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边导线外2</w:t>
            </w:r>
            <w:r>
              <w:rPr>
                <w:rFonts w:hint="eastAsia" w:eastAsia="宋体"/>
                <w:color w:val="000000"/>
                <w:sz w:val="21"/>
                <w:szCs w:val="21"/>
              </w:rPr>
              <w:t>2.8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0.09</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0.11</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7.61</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7.55</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kern w:val="0"/>
                <w:sz w:val="21"/>
                <w:szCs w:val="21"/>
              </w:rPr>
              <w:t>30</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边导线外2</w:t>
            </w:r>
            <w:r>
              <w:rPr>
                <w:rFonts w:hint="eastAsia" w:eastAsia="宋体"/>
                <w:color w:val="000000"/>
                <w:sz w:val="21"/>
                <w:szCs w:val="21"/>
              </w:rPr>
              <w:t>3.8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0.09</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0.1</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7.34</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7.29</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31</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24.8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0.08</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0.09</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7.09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7.04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32</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25.8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0.07</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0.08</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6.86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6.81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33</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26.8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0.06</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0.07</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6.64</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6.6</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34</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27.8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0.06</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0.07</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6.43</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35</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28.8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0.05</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0.06</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6.24</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6.21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36</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29.8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0.05</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0.06</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6.06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6.03</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37</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30.8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0.05</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0.05</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5.89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5.86</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38</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31.8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0.04</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0.05</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5.72</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5.7</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39</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32.8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0.04</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0.04</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5.57</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5.55</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40</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边导线外3</w:t>
            </w:r>
            <w:r>
              <w:rPr>
                <w:rFonts w:hint="eastAsia" w:eastAsia="宋体"/>
                <w:color w:val="000000"/>
                <w:sz w:val="21"/>
                <w:szCs w:val="21"/>
              </w:rPr>
              <w:t>3.8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0.04</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0.04</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5.43</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5.41</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41</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34.8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0.04</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5.29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5.27</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42</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w:t>
            </w:r>
            <w:r>
              <w:rPr>
                <w:rFonts w:hint="eastAsia" w:eastAsia="宋体"/>
                <w:color w:val="000000"/>
                <w:sz w:val="21"/>
                <w:szCs w:val="21"/>
              </w:rPr>
              <w:t>外35.8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0.04</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5.16</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5.14</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43</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36.8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5.03</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5.02</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44</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37.8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4.92</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4.9</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45</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38.8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4.8</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4.79</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46</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39.8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4.7</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4.68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47</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40.8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0.03</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4.59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4.58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color w:val="000000"/>
                <w:sz w:val="20"/>
                <w:szCs w:val="20"/>
              </w:rPr>
              <w:t>48</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41.8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4.49</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4.48</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color w:val="000000"/>
                <w:sz w:val="20"/>
                <w:szCs w:val="20"/>
              </w:rPr>
            </w:pPr>
            <w:r>
              <w:rPr>
                <w:rFonts w:hint="eastAsia"/>
                <w:color w:val="000000"/>
                <w:sz w:val="20"/>
                <w:szCs w:val="20"/>
              </w:rPr>
              <w:t>49</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42.8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4.4</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4.39</w:t>
            </w:r>
          </w:p>
        </w:tc>
      </w:tr>
      <w:tr>
        <w:tblPrEx>
          <w:tblCellMar>
            <w:top w:w="0" w:type="dxa"/>
            <w:left w:w="108" w:type="dxa"/>
            <w:bottom w:w="0" w:type="dxa"/>
            <w:right w:w="108" w:type="dxa"/>
          </w:tblCellMar>
        </w:tblPrEx>
        <w:trPr>
          <w:trHeight w:val="340" w:hRule="atLeast"/>
          <w:jc w:val="center"/>
        </w:trPr>
        <w:tc>
          <w:tcPr>
            <w:tcW w:w="472" w:type="pct"/>
            <w:tcBorders>
              <w:top w:val="nil"/>
              <w:left w:val="single" w:color="auto" w:sz="8" w:space="0"/>
              <w:bottom w:val="single" w:color="auto" w:sz="8" w:space="0"/>
              <w:right w:val="single" w:color="auto" w:sz="8" w:space="0"/>
            </w:tcBorders>
            <w:shd w:val="clear" w:color="auto" w:fill="auto"/>
            <w:vAlign w:val="center"/>
          </w:tcPr>
          <w:p>
            <w:pPr>
              <w:jc w:val="center"/>
              <w:rPr>
                <w:rFonts w:eastAsia="宋体"/>
                <w:color w:val="000000"/>
                <w:sz w:val="20"/>
                <w:szCs w:val="20"/>
              </w:rPr>
            </w:pPr>
            <w:r>
              <w:rPr>
                <w:rFonts w:hint="eastAsia"/>
                <w:color w:val="000000"/>
                <w:sz w:val="20"/>
                <w:szCs w:val="20"/>
              </w:rPr>
              <w:t>50</w:t>
            </w:r>
          </w:p>
        </w:tc>
        <w:tc>
          <w:tcPr>
            <w:tcW w:w="1436" w:type="pct"/>
            <w:tcBorders>
              <w:top w:val="nil"/>
              <w:left w:val="nil"/>
              <w:bottom w:val="single" w:color="auto" w:sz="8" w:space="0"/>
              <w:right w:val="single" w:color="auto" w:sz="8" w:space="0"/>
            </w:tcBorders>
            <w:shd w:val="clear" w:color="auto" w:fill="auto"/>
            <w:vAlign w:val="center"/>
          </w:tcPr>
          <w:p>
            <w:pPr>
              <w:widowControl/>
              <w:jc w:val="center"/>
              <w:rPr>
                <w:rFonts w:eastAsia="宋体"/>
                <w:color w:val="000000"/>
                <w:kern w:val="0"/>
                <w:sz w:val="21"/>
                <w:szCs w:val="21"/>
              </w:rPr>
            </w:pPr>
            <w:r>
              <w:rPr>
                <w:rFonts w:eastAsia="宋体"/>
                <w:color w:val="000000"/>
                <w:sz w:val="21"/>
                <w:szCs w:val="21"/>
              </w:rPr>
              <w:t>边导线外</w:t>
            </w:r>
            <w:r>
              <w:rPr>
                <w:rFonts w:hint="eastAsia" w:eastAsia="宋体"/>
                <w:color w:val="000000"/>
                <w:sz w:val="21"/>
                <w:szCs w:val="21"/>
              </w:rPr>
              <w:t>43.8</w:t>
            </w:r>
            <w:r>
              <w:rPr>
                <w:rFonts w:eastAsia="宋体"/>
                <w:color w:val="000000"/>
                <w:sz w:val="21"/>
                <w:szCs w:val="21"/>
              </w:rPr>
              <w:t>m</w:t>
            </w:r>
          </w:p>
        </w:tc>
        <w:tc>
          <w:tcPr>
            <w:tcW w:w="804"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687" w:type="pct"/>
            <w:tcBorders>
              <w:top w:val="nil"/>
              <w:left w:val="nil"/>
              <w:bottom w:val="single" w:color="auto" w:sz="8" w:space="0"/>
              <w:right w:val="single" w:color="auto" w:sz="8" w:space="0"/>
            </w:tcBorders>
            <w:shd w:val="clear" w:color="auto" w:fill="auto"/>
          </w:tcPr>
          <w:p>
            <w:pPr>
              <w:jc w:val="center"/>
              <w:rPr>
                <w:rFonts w:eastAsia="宋体"/>
                <w:color w:val="000000"/>
                <w:sz w:val="21"/>
                <w:szCs w:val="21"/>
              </w:rPr>
            </w:pPr>
            <w:r>
              <w:rPr>
                <w:color w:val="000000"/>
                <w:sz w:val="21"/>
                <w:szCs w:val="21"/>
              </w:rPr>
              <w:t>0.02</w:t>
            </w:r>
          </w:p>
        </w:tc>
        <w:tc>
          <w:tcPr>
            <w:tcW w:w="800"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4.31</w:t>
            </w:r>
          </w:p>
        </w:tc>
        <w:tc>
          <w:tcPr>
            <w:tcW w:w="801" w:type="pct"/>
            <w:tcBorders>
              <w:top w:val="nil"/>
              <w:left w:val="nil"/>
              <w:bottom w:val="single" w:color="auto" w:sz="8" w:space="0"/>
              <w:right w:val="single" w:color="auto" w:sz="8" w:space="0"/>
            </w:tcBorders>
          </w:tcPr>
          <w:p>
            <w:pPr>
              <w:jc w:val="center"/>
              <w:rPr>
                <w:rFonts w:eastAsia="宋体"/>
                <w:color w:val="000000"/>
                <w:sz w:val="21"/>
                <w:szCs w:val="21"/>
              </w:rPr>
            </w:pPr>
            <w:r>
              <w:rPr>
                <w:color w:val="000000"/>
                <w:sz w:val="21"/>
                <w:szCs w:val="21"/>
              </w:rPr>
              <w:t>4.3</w:t>
            </w:r>
          </w:p>
        </w:tc>
      </w:tr>
    </w:tbl>
    <w:p>
      <w:pPr>
        <w:ind w:firstLine="480"/>
        <w:rPr>
          <w:rFonts w:hAnsi="宋体"/>
        </w:rPr>
      </w:pPr>
      <w:r>
        <w:rPr>
          <w:rFonts w:hAnsi="宋体"/>
        </w:rPr>
        <w:drawing>
          <wp:anchor distT="0" distB="0" distL="114300" distR="114300" simplePos="0" relativeHeight="251702272" behindDoc="0" locked="0" layoutInCell="1" allowOverlap="1">
            <wp:simplePos x="0" y="0"/>
            <wp:positionH relativeFrom="column">
              <wp:posOffset>28575</wp:posOffset>
            </wp:positionH>
            <wp:positionV relativeFrom="paragraph">
              <wp:posOffset>142875</wp:posOffset>
            </wp:positionV>
            <wp:extent cx="5334000" cy="3048000"/>
            <wp:effectExtent l="19050" t="0" r="19050" b="0"/>
            <wp:wrapNone/>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pPr>
        <w:ind w:firstLine="480"/>
        <w:rPr>
          <w:rFonts w:hAnsi="宋体"/>
        </w:rPr>
      </w:pPr>
      <w:r>
        <w:rPr>
          <w:rFonts w:hAnsi="宋体" w:eastAsia="宋体"/>
          <w:kern w:val="0"/>
          <w:sz w:val="24"/>
          <w:szCs w:val="22"/>
        </w:rPr>
        <w:pict>
          <v:shape id="_x0000_s2512" o:spid="_x0000_s2512" o:spt="202" type="#_x0000_t202" style="position:absolute;left:0pt;margin-left:25.9pt;margin-top:31.8pt;height:146.15pt;width:37.1pt;z-index:251700224;mso-width-relative:page;mso-height-relative:page;" filled="f" stroked="f" coordsize="21600,21600">
            <v:path/>
            <v:fill on="f" focussize="0,0"/>
            <v:stroke on="f" joinstyle="miter"/>
            <v:imagedata o:title=""/>
            <o:lock v:ext="edit"/>
            <v:textbox style="layout-flow:vertical-ideographic;">
              <w:txbxContent>
                <w:p>
                  <w:pPr>
                    <w:rPr>
                      <w:rFonts w:eastAsia="宋体"/>
                      <w:sz w:val="24"/>
                    </w:rPr>
                  </w:pPr>
                  <w:r>
                    <w:rPr>
                      <w:rFonts w:hAnsi="宋体" w:eastAsia="宋体"/>
                      <w:bCs/>
                      <w:sz w:val="24"/>
                    </w:rPr>
                    <w:t>工频电场强度（</w:t>
                  </w:r>
                  <w:r>
                    <w:rPr>
                      <w:rFonts w:eastAsia="宋体"/>
                      <w:bCs/>
                      <w:sz w:val="24"/>
                    </w:rPr>
                    <w:t>V/m</w:t>
                  </w:r>
                  <w:r>
                    <w:rPr>
                      <w:rFonts w:hAnsi="宋体" w:eastAsia="宋体"/>
                      <w:sz w:val="24"/>
                    </w:rPr>
                    <w:t>）</w:t>
                  </w:r>
                  <w:r>
                    <w:rPr>
                      <w:rFonts w:eastAsia="宋体"/>
                      <w:sz w:val="24"/>
                    </w:rPr>
                    <w:t xml:space="preserve"> </w:t>
                  </w:r>
                </w:p>
                <w:p/>
              </w:txbxContent>
            </v:textbox>
          </v:shape>
        </w:pict>
      </w:r>
    </w:p>
    <w:p>
      <w:pPr>
        <w:ind w:firstLine="480"/>
        <w:rPr>
          <w:rFonts w:hAnsi="宋体"/>
        </w:rPr>
      </w:pPr>
    </w:p>
    <w:p>
      <w:pPr>
        <w:ind w:firstLine="480"/>
        <w:rPr>
          <w:rFonts w:hAnsi="宋体"/>
        </w:rPr>
      </w:pPr>
    </w:p>
    <w:p>
      <w:pPr>
        <w:ind w:firstLine="480"/>
        <w:rPr>
          <w:rFonts w:hAnsi="宋体"/>
        </w:rPr>
      </w:pPr>
    </w:p>
    <w:p>
      <w:pPr>
        <w:ind w:firstLine="480"/>
        <w:rPr>
          <w:rFonts w:hAnsi="宋体"/>
        </w:rPr>
      </w:pPr>
    </w:p>
    <w:p>
      <w:pPr>
        <w:ind w:firstLine="480"/>
        <w:rPr>
          <w:rFonts w:hAnsi="宋体"/>
        </w:rPr>
      </w:pPr>
    </w:p>
    <w:p>
      <w:pPr>
        <w:ind w:firstLine="480"/>
        <w:rPr>
          <w:rFonts w:hAnsi="宋体"/>
        </w:rPr>
      </w:pPr>
      <w:r>
        <w:rPr>
          <w:rFonts w:hAnsi="宋体" w:eastAsia="宋体"/>
          <w:kern w:val="0"/>
          <w:sz w:val="24"/>
          <w:szCs w:val="22"/>
        </w:rPr>
        <w:pict>
          <v:shape id="_x0000_s2527" o:spid="_x0000_s2527" o:spt="202" type="#_x0000_t202" style="position:absolute;left:0pt;margin-left:103.5pt;margin-top:13.35pt;height:26.25pt;width:228pt;z-index:251703296;mso-width-relative:page;mso-height-relative:page;" filled="f" stroked="f" coordsize="21600,21600">
            <v:path/>
            <v:fill on="f" focussize="0,0"/>
            <v:stroke on="f" joinstyle="miter"/>
            <v:imagedata o:title=""/>
            <o:lock v:ext="edit"/>
            <v:textbox>
              <w:txbxContent>
                <w:p>
                  <w:pPr>
                    <w:jc w:val="center"/>
                    <w:rPr>
                      <w:rFonts w:eastAsia="宋体"/>
                      <w:sz w:val="24"/>
                    </w:rPr>
                  </w:pPr>
                  <w:r>
                    <w:rPr>
                      <w:rFonts w:hAnsi="宋体" w:eastAsia="宋体"/>
                      <w:sz w:val="24"/>
                    </w:rPr>
                    <w:t>距线路中心距离（</w:t>
                  </w:r>
                  <w:r>
                    <w:rPr>
                      <w:rFonts w:eastAsia="宋体"/>
                      <w:sz w:val="24"/>
                    </w:rPr>
                    <w:t>m</w:t>
                  </w:r>
                  <w:r>
                    <w:rPr>
                      <w:rFonts w:hAnsi="宋体" w:eastAsia="宋体"/>
                      <w:sz w:val="24"/>
                    </w:rPr>
                    <w:t>）</w:t>
                  </w:r>
                </w:p>
                <w:p>
                  <w:pPr>
                    <w:jc w:val="center"/>
                  </w:pPr>
                </w:p>
              </w:txbxContent>
            </v:textbox>
          </v:shape>
        </w:pict>
      </w:r>
      <w:r>
        <w:rPr>
          <w:rFonts w:hAnsi="宋体" w:eastAsia="宋体"/>
          <w:kern w:val="0"/>
          <w:sz w:val="24"/>
          <w:szCs w:val="22"/>
        </w:rPr>
        <w:tab/>
      </w:r>
    </w:p>
    <w:p>
      <w:pPr>
        <w:jc w:val="center"/>
        <w:rPr>
          <w:rFonts w:hAnsi="黑体" w:eastAsia="黑体"/>
          <w:sz w:val="24"/>
        </w:rPr>
      </w:pPr>
    </w:p>
    <w:p>
      <w:pPr>
        <w:jc w:val="center"/>
        <w:rPr>
          <w:rFonts w:hAnsi="黑体" w:eastAsia="黑体"/>
          <w:sz w:val="24"/>
        </w:rPr>
      </w:pPr>
      <w:r>
        <w:rPr>
          <w:rFonts w:hAnsi="黑体" w:eastAsia="黑体"/>
          <w:sz w:val="24"/>
        </w:rPr>
        <w:t>图</w:t>
      </w:r>
      <w:r>
        <w:rPr>
          <w:rFonts w:hint="eastAsia" w:eastAsia="黑体"/>
          <w:sz w:val="24"/>
        </w:rPr>
        <w:t>9</w:t>
      </w:r>
      <w:r>
        <w:rPr>
          <w:rFonts w:eastAsia="黑体"/>
          <w:sz w:val="24"/>
        </w:rPr>
        <w:t xml:space="preserve">   110kV</w:t>
      </w:r>
      <w:r>
        <w:rPr>
          <w:rFonts w:hAnsi="黑体" w:eastAsia="黑体"/>
          <w:sz w:val="24"/>
        </w:rPr>
        <w:t>单回路线路</w:t>
      </w:r>
      <w:r>
        <w:rPr>
          <w:rFonts w:eastAsia="黑体"/>
          <w:sz w:val="24"/>
        </w:rPr>
        <w:t>110GT-ZB2</w:t>
      </w:r>
      <w:r>
        <w:rPr>
          <w:rFonts w:hAnsi="黑体" w:eastAsia="黑体"/>
          <w:sz w:val="24"/>
        </w:rPr>
        <w:t>型杆塔工频电场强度分布图</w:t>
      </w:r>
    </w:p>
    <w:p>
      <w:pPr>
        <w:jc w:val="center"/>
        <w:rPr>
          <w:rFonts w:eastAsia="黑体"/>
          <w:kern w:val="0"/>
          <w:sz w:val="24"/>
          <w:szCs w:val="22"/>
        </w:rPr>
      </w:pPr>
      <w:r>
        <w:rPr>
          <w:rFonts w:eastAsia="黑体"/>
          <w:kern w:val="0"/>
          <w:sz w:val="24"/>
          <w:szCs w:val="22"/>
        </w:rPr>
        <w:drawing>
          <wp:anchor distT="0" distB="0" distL="114300" distR="114300" simplePos="0" relativeHeight="251706368" behindDoc="0" locked="0" layoutInCell="1" allowOverlap="1">
            <wp:simplePos x="0" y="0"/>
            <wp:positionH relativeFrom="column">
              <wp:posOffset>76200</wp:posOffset>
            </wp:positionH>
            <wp:positionV relativeFrom="paragraph">
              <wp:posOffset>15240</wp:posOffset>
            </wp:positionV>
            <wp:extent cx="5162550" cy="3286125"/>
            <wp:effectExtent l="19050" t="0" r="19050" b="0"/>
            <wp:wrapNone/>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pPr>
        <w:jc w:val="center"/>
        <w:rPr>
          <w:rFonts w:hAnsi="黑体" w:eastAsia="黑体"/>
          <w:sz w:val="24"/>
        </w:rPr>
      </w:pPr>
    </w:p>
    <w:p>
      <w:pPr>
        <w:jc w:val="center"/>
        <w:rPr>
          <w:rFonts w:hAnsi="黑体" w:eastAsia="黑体"/>
          <w:sz w:val="24"/>
        </w:rPr>
      </w:pPr>
      <w:r>
        <w:rPr>
          <w:rFonts w:hAnsi="宋体" w:eastAsia="宋体"/>
          <w:kern w:val="0"/>
          <w:sz w:val="24"/>
          <w:szCs w:val="22"/>
        </w:rPr>
        <w:pict>
          <v:shape id="_x0000_s2526" o:spid="_x0000_s2526" o:spt="202" type="#_x0000_t202" style="position:absolute;left:0pt;margin-left:-2.25pt;margin-top:14.7pt;height:136.5pt;width:41.25pt;z-index:251707392;mso-width-relative:page;mso-height-relative:page;" filled="f" stroked="f" coordsize="21600,21600">
            <v:path/>
            <v:fill on="f" focussize="0,0"/>
            <v:stroke on="f" joinstyle="miter"/>
            <v:imagedata o:title=""/>
            <o:lock v:ext="edit"/>
            <v:textbox style="layout-flow:vertical-ideographic;">
              <w:txbxContent>
                <w:p>
                  <w:pPr>
                    <w:rPr>
                      <w:rFonts w:eastAsia="宋体"/>
                      <w:sz w:val="24"/>
                    </w:rPr>
                  </w:pPr>
                  <w:r>
                    <w:rPr>
                      <w:rFonts w:hAnsi="宋体" w:eastAsia="宋体"/>
                      <w:sz w:val="24"/>
                    </w:rPr>
                    <w:t>磁感应强度（</w:t>
                  </w:r>
                  <w:r>
                    <w:rPr>
                      <w:rFonts w:eastAsia="宋体"/>
                      <w:sz w:val="24"/>
                    </w:rPr>
                    <w:t>μT</w:t>
                  </w:r>
                  <w:r>
                    <w:rPr>
                      <w:rFonts w:hAnsi="宋体" w:eastAsia="宋体"/>
                      <w:sz w:val="24"/>
                    </w:rPr>
                    <w:t>）</w:t>
                  </w:r>
                  <w:r>
                    <w:rPr>
                      <w:rFonts w:eastAsia="宋体"/>
                      <w:sz w:val="24"/>
                    </w:rPr>
                    <w:t xml:space="preserve"> </w:t>
                  </w:r>
                </w:p>
                <w:p/>
              </w:txbxContent>
            </v:textbox>
          </v:shape>
        </w:pict>
      </w: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p>
    <w:p>
      <w:pPr>
        <w:jc w:val="center"/>
        <w:rPr>
          <w:rFonts w:hAnsi="黑体" w:eastAsia="黑体"/>
          <w:sz w:val="24"/>
        </w:rPr>
      </w:pPr>
      <w:r>
        <w:rPr>
          <w:rFonts w:hAnsi="宋体" w:eastAsia="宋体"/>
          <w:kern w:val="0"/>
          <w:sz w:val="24"/>
          <w:szCs w:val="22"/>
        </w:rPr>
        <w:pict>
          <v:shape id="_x0000_s2525" o:spid="_x0000_s2525" o:spt="202" type="#_x0000_t202" style="position:absolute;left:0pt;margin-left:131.25pt;margin-top:1.2pt;height:29.25pt;width:150.75pt;z-index:251708416;mso-width-relative:page;mso-height-relative:page;" filled="f" stroked="f" coordsize="21600,21600">
            <v:path/>
            <v:fill on="f" focussize="0,0"/>
            <v:stroke on="f" joinstyle="miter"/>
            <v:imagedata o:title=""/>
            <o:lock v:ext="edit"/>
            <v:textbox>
              <w:txbxContent>
                <w:p>
                  <w:pPr>
                    <w:rPr>
                      <w:rFonts w:eastAsia="宋体"/>
                      <w:sz w:val="24"/>
                    </w:rPr>
                  </w:pPr>
                  <w:r>
                    <w:rPr>
                      <w:rFonts w:hAnsi="宋体" w:eastAsia="宋体"/>
                      <w:sz w:val="24"/>
                    </w:rPr>
                    <w:t>距线路中心距离（</w:t>
                  </w:r>
                  <w:r>
                    <w:rPr>
                      <w:rFonts w:eastAsia="宋体"/>
                      <w:sz w:val="24"/>
                    </w:rPr>
                    <w:t>m</w:t>
                  </w:r>
                  <w:r>
                    <w:rPr>
                      <w:rFonts w:hAnsi="宋体" w:eastAsia="宋体"/>
                      <w:sz w:val="24"/>
                    </w:rPr>
                    <w:t>）</w:t>
                  </w:r>
                </w:p>
                <w:p/>
              </w:txbxContent>
            </v:textbox>
          </v:shape>
        </w:pict>
      </w:r>
    </w:p>
    <w:p>
      <w:pPr>
        <w:jc w:val="center"/>
        <w:rPr>
          <w:rFonts w:hAnsi="黑体" w:eastAsia="黑体"/>
          <w:sz w:val="24"/>
        </w:rPr>
      </w:pPr>
    </w:p>
    <w:p>
      <w:pPr>
        <w:jc w:val="center"/>
        <w:rPr>
          <w:rFonts w:eastAsia="黑体"/>
          <w:kern w:val="0"/>
          <w:sz w:val="24"/>
          <w:szCs w:val="22"/>
        </w:rPr>
      </w:pPr>
      <w:r>
        <w:rPr>
          <w:rFonts w:hAnsi="黑体" w:eastAsia="黑体"/>
          <w:sz w:val="24"/>
        </w:rPr>
        <w:t>图</w:t>
      </w:r>
      <w:r>
        <w:rPr>
          <w:rFonts w:hint="eastAsia" w:eastAsia="黑体"/>
          <w:sz w:val="24"/>
        </w:rPr>
        <w:t>10</w:t>
      </w:r>
      <w:r>
        <w:rPr>
          <w:rFonts w:eastAsia="黑体"/>
          <w:sz w:val="24"/>
        </w:rPr>
        <w:t xml:space="preserve">   110kV</w:t>
      </w:r>
      <w:r>
        <w:rPr>
          <w:rFonts w:hAnsi="黑体" w:eastAsia="黑体"/>
          <w:sz w:val="24"/>
        </w:rPr>
        <w:t>单回路线路</w:t>
      </w:r>
      <w:r>
        <w:rPr>
          <w:rFonts w:eastAsia="黑体"/>
          <w:sz w:val="24"/>
        </w:rPr>
        <w:t>110GT-ZB2</w:t>
      </w:r>
      <w:r>
        <w:rPr>
          <w:rFonts w:hAnsi="黑体" w:eastAsia="黑体"/>
          <w:sz w:val="24"/>
        </w:rPr>
        <w:t>型杆塔</w:t>
      </w:r>
      <w:r>
        <w:rPr>
          <w:rFonts w:hint="eastAsia" w:hAnsi="黑体" w:eastAsia="黑体"/>
          <w:sz w:val="24"/>
        </w:rPr>
        <w:t>磁感应</w:t>
      </w:r>
      <w:r>
        <w:rPr>
          <w:rFonts w:hAnsi="黑体" w:eastAsia="黑体"/>
          <w:sz w:val="24"/>
        </w:rPr>
        <w:t>强度分布图</w:t>
      </w:r>
    </w:p>
    <w:p>
      <w:pPr>
        <w:adjustRightInd w:val="0"/>
        <w:snapToGrid w:val="0"/>
        <w:spacing w:line="520" w:lineRule="exact"/>
        <w:rPr>
          <w:rFonts w:eastAsia="宋体"/>
          <w:b/>
          <w:snapToGrid w:val="0"/>
          <w:sz w:val="24"/>
        </w:rPr>
      </w:pPr>
      <w:r>
        <w:rPr>
          <w:rFonts w:hint="eastAsia" w:eastAsia="宋体"/>
          <w:b/>
          <w:snapToGrid w:val="0"/>
          <w:sz w:val="24"/>
        </w:rPr>
        <w:t>5.3.</w:t>
      </w:r>
      <w:r>
        <w:rPr>
          <w:rFonts w:eastAsia="宋体"/>
          <w:b/>
          <w:snapToGrid w:val="0"/>
          <w:sz w:val="24"/>
        </w:rPr>
        <w:t>4理论计算结果分析</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工频电场</w:t>
      </w:r>
      <w:r>
        <w:rPr>
          <w:rFonts w:hint="eastAsia" w:eastAsia="宋体"/>
          <w:snapToGrid w:val="0"/>
          <w:kern w:val="16"/>
          <w:sz w:val="24"/>
          <w:szCs w:val="20"/>
        </w:rPr>
        <w:t>、工频电场：</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1）导线对地最小距离为6m（非居民区）时：</w:t>
      </w:r>
    </w:p>
    <w:p>
      <w:pPr>
        <w:spacing w:line="520" w:lineRule="exact"/>
        <w:ind w:firstLine="480" w:firstLineChars="200"/>
        <w:rPr>
          <w:rFonts w:eastAsia="宋体"/>
          <w:color w:val="000000" w:themeColor="text1"/>
          <w:spacing w:val="-2"/>
          <w:kern w:val="16"/>
          <w:sz w:val="24"/>
        </w:rPr>
      </w:pPr>
      <w:r>
        <w:rPr>
          <w:rFonts w:hAnsi="宋体" w:eastAsia="宋体"/>
          <w:snapToGrid w:val="0"/>
          <w:color w:val="000000" w:themeColor="text1"/>
          <w:kern w:val="16"/>
          <w:sz w:val="24"/>
        </w:rPr>
        <w:t>由表</w:t>
      </w:r>
      <w:r>
        <w:rPr>
          <w:rFonts w:eastAsia="宋体"/>
          <w:snapToGrid w:val="0"/>
          <w:color w:val="000000" w:themeColor="text1"/>
          <w:kern w:val="16"/>
          <w:sz w:val="24"/>
        </w:rPr>
        <w:t>14</w:t>
      </w:r>
      <w:r>
        <w:rPr>
          <w:rFonts w:hAnsi="宋体" w:eastAsia="宋体"/>
          <w:snapToGrid w:val="0"/>
          <w:color w:val="000000" w:themeColor="text1"/>
          <w:kern w:val="16"/>
          <w:sz w:val="24"/>
        </w:rPr>
        <w:t>预测结果可知，本工程</w:t>
      </w:r>
      <w:r>
        <w:rPr>
          <w:rFonts w:eastAsia="宋体"/>
          <w:snapToGrid w:val="0"/>
          <w:color w:val="000000" w:themeColor="text1"/>
          <w:kern w:val="16"/>
          <w:sz w:val="24"/>
        </w:rPr>
        <w:t>110kV</w:t>
      </w:r>
      <w:r>
        <w:rPr>
          <w:rFonts w:hAnsi="宋体" w:eastAsia="宋体"/>
          <w:snapToGrid w:val="0"/>
          <w:color w:val="000000" w:themeColor="text1"/>
          <w:kern w:val="16"/>
          <w:sz w:val="24"/>
        </w:rPr>
        <w:t>输电线路经过非居民区线下道路等场所线路段，导线对地最小距离为</w:t>
      </w:r>
      <w:r>
        <w:rPr>
          <w:rFonts w:eastAsia="宋体"/>
          <w:snapToGrid w:val="0"/>
          <w:color w:val="000000" w:themeColor="text1"/>
          <w:kern w:val="16"/>
          <w:sz w:val="24"/>
        </w:rPr>
        <w:t>6m</w:t>
      </w:r>
      <w:r>
        <w:rPr>
          <w:rFonts w:hAnsi="宋体" w:eastAsia="宋体"/>
          <w:snapToGrid w:val="0"/>
          <w:color w:val="000000" w:themeColor="text1"/>
          <w:kern w:val="16"/>
          <w:sz w:val="24"/>
        </w:rPr>
        <w:t>，距地面</w:t>
      </w:r>
      <w:r>
        <w:rPr>
          <w:rFonts w:eastAsia="宋体"/>
          <w:snapToGrid w:val="0"/>
          <w:color w:val="000000" w:themeColor="text1"/>
          <w:kern w:val="16"/>
          <w:sz w:val="24"/>
        </w:rPr>
        <w:t>1.5m</w:t>
      </w:r>
      <w:r>
        <w:rPr>
          <w:rFonts w:hAnsi="宋体" w:eastAsia="宋体"/>
          <w:snapToGrid w:val="0"/>
          <w:color w:val="000000" w:themeColor="text1"/>
          <w:kern w:val="16"/>
          <w:sz w:val="24"/>
        </w:rPr>
        <w:t>高度处，</w:t>
      </w:r>
      <w:r>
        <w:rPr>
          <w:rFonts w:hAnsi="宋体" w:eastAsia="宋体"/>
          <w:color w:val="000000" w:themeColor="text1"/>
          <w:sz w:val="24"/>
        </w:rPr>
        <w:t>工频电场强度最大预测值为</w:t>
      </w:r>
      <w:r>
        <w:rPr>
          <w:rFonts w:hint="eastAsia" w:eastAsia="宋体"/>
          <w:color w:val="000000" w:themeColor="text1"/>
          <w:kern w:val="0"/>
          <w:sz w:val="24"/>
        </w:rPr>
        <w:t>2.64</w:t>
      </w:r>
      <w:r>
        <w:rPr>
          <w:rFonts w:eastAsia="宋体"/>
          <w:color w:val="000000" w:themeColor="text1"/>
          <w:kern w:val="0"/>
          <w:sz w:val="24"/>
        </w:rPr>
        <w:t xml:space="preserve"> kV/m</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w:t>
      </w:r>
      <w:r>
        <w:rPr>
          <w:rFonts w:hAnsi="宋体" w:eastAsia="宋体"/>
          <w:color w:val="000000" w:themeColor="text1"/>
          <w:kern w:val="0"/>
          <w:sz w:val="24"/>
        </w:rPr>
        <w:t>，</w:t>
      </w:r>
      <w:r>
        <w:rPr>
          <w:rFonts w:hAnsi="宋体" w:eastAsia="宋体"/>
          <w:color w:val="000000" w:themeColor="text1"/>
          <w:sz w:val="24"/>
        </w:rPr>
        <w:t>磁感应强度最大预测值为</w:t>
      </w:r>
      <w:r>
        <w:rPr>
          <w:rFonts w:hint="eastAsia" w:eastAsia="宋体"/>
          <w:color w:val="000000" w:themeColor="text1"/>
          <w:sz w:val="24"/>
        </w:rPr>
        <w:t>28.16</w:t>
      </w:r>
      <w:r>
        <w:rPr>
          <w:rFonts w:eastAsia="宋体"/>
          <w:color w:val="000000" w:themeColor="text1"/>
          <w:kern w:val="0"/>
          <w:sz w:val="24"/>
        </w:rPr>
        <w:t>μT</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处，满足</w:t>
      </w:r>
      <w:r>
        <w:rPr>
          <w:rFonts w:hAnsi="宋体" w:eastAsia="宋体"/>
          <w:color w:val="000000" w:themeColor="text1"/>
          <w:spacing w:val="-2"/>
          <w:kern w:val="16"/>
          <w:sz w:val="24"/>
        </w:rPr>
        <w:t>《电磁环境控制限值》（</w:t>
      </w:r>
      <w:r>
        <w:rPr>
          <w:rFonts w:eastAsia="宋体"/>
          <w:color w:val="000000" w:themeColor="text1"/>
          <w:spacing w:val="-2"/>
          <w:kern w:val="16"/>
          <w:sz w:val="24"/>
        </w:rPr>
        <w:t>GB8702-2014</w:t>
      </w:r>
      <w:r>
        <w:rPr>
          <w:rFonts w:hAnsi="宋体" w:eastAsia="宋体"/>
          <w:color w:val="000000" w:themeColor="text1"/>
          <w:spacing w:val="-2"/>
          <w:kern w:val="16"/>
          <w:sz w:val="24"/>
        </w:rPr>
        <w:t>）中</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hAnsi="宋体" w:eastAsia="宋体"/>
          <w:color w:val="000000" w:themeColor="text1"/>
          <w:spacing w:val="-2"/>
          <w:kern w:val="16"/>
          <w:sz w:val="24"/>
        </w:rPr>
        <w:t>的公众曝露控制限值的评价标准。</w:t>
      </w:r>
    </w:p>
    <w:p>
      <w:pPr>
        <w:adjustRightInd w:val="0"/>
        <w:snapToGrid w:val="0"/>
        <w:spacing w:line="520" w:lineRule="exact"/>
        <w:ind w:firstLine="480" w:firstLineChars="200"/>
        <w:rPr>
          <w:rFonts w:eastAsia="宋体"/>
          <w:snapToGrid w:val="0"/>
          <w:kern w:val="16"/>
          <w:sz w:val="24"/>
          <w:szCs w:val="20"/>
        </w:rPr>
      </w:pPr>
      <w:r>
        <w:rPr>
          <w:rFonts w:hint="eastAsia" w:eastAsia="宋体"/>
          <w:snapToGrid w:val="0"/>
          <w:kern w:val="16"/>
          <w:sz w:val="24"/>
          <w:szCs w:val="20"/>
        </w:rPr>
        <w:t>2</w:t>
      </w:r>
      <w:r>
        <w:rPr>
          <w:rFonts w:eastAsia="宋体"/>
          <w:snapToGrid w:val="0"/>
          <w:kern w:val="16"/>
          <w:sz w:val="24"/>
          <w:szCs w:val="20"/>
        </w:rPr>
        <w:t>）导线对地最小距离为</w:t>
      </w:r>
      <w:r>
        <w:rPr>
          <w:rFonts w:hint="eastAsia" w:eastAsia="宋体"/>
          <w:snapToGrid w:val="0"/>
          <w:kern w:val="16"/>
          <w:sz w:val="24"/>
          <w:szCs w:val="20"/>
        </w:rPr>
        <w:t>7</w:t>
      </w:r>
      <w:r>
        <w:rPr>
          <w:rFonts w:eastAsia="宋体"/>
          <w:snapToGrid w:val="0"/>
          <w:kern w:val="16"/>
          <w:sz w:val="24"/>
          <w:szCs w:val="20"/>
        </w:rPr>
        <w:t>m（居民区</w:t>
      </w:r>
      <w:r>
        <w:rPr>
          <w:rFonts w:hint="eastAsia" w:eastAsia="宋体"/>
          <w:snapToGrid w:val="0"/>
          <w:kern w:val="16"/>
          <w:sz w:val="24"/>
          <w:szCs w:val="20"/>
        </w:rPr>
        <w:t>、</w:t>
      </w:r>
      <w:r>
        <w:rPr>
          <w:rFonts w:eastAsia="宋体"/>
          <w:snapToGrid w:val="0"/>
          <w:kern w:val="16"/>
          <w:sz w:val="24"/>
          <w:szCs w:val="20"/>
        </w:rPr>
        <w:t>不跨越房屋）时：</w:t>
      </w:r>
    </w:p>
    <w:p>
      <w:pPr>
        <w:spacing w:line="520" w:lineRule="exact"/>
        <w:ind w:firstLine="480" w:firstLineChars="200"/>
        <w:rPr>
          <w:rFonts w:eastAsia="宋体"/>
          <w:color w:val="000000" w:themeColor="text1"/>
          <w:spacing w:val="-2"/>
          <w:kern w:val="16"/>
          <w:sz w:val="24"/>
        </w:rPr>
      </w:pPr>
      <w:r>
        <w:rPr>
          <w:rFonts w:hAnsi="宋体" w:eastAsia="宋体"/>
          <w:snapToGrid w:val="0"/>
          <w:color w:val="000000" w:themeColor="text1"/>
          <w:kern w:val="16"/>
          <w:sz w:val="24"/>
        </w:rPr>
        <w:t>由表</w:t>
      </w:r>
      <w:r>
        <w:rPr>
          <w:rFonts w:eastAsia="宋体"/>
          <w:snapToGrid w:val="0"/>
          <w:color w:val="000000" w:themeColor="text1"/>
          <w:kern w:val="16"/>
          <w:sz w:val="24"/>
        </w:rPr>
        <w:t>14</w:t>
      </w:r>
      <w:r>
        <w:rPr>
          <w:rFonts w:hAnsi="宋体" w:eastAsia="宋体"/>
          <w:snapToGrid w:val="0"/>
          <w:color w:val="000000" w:themeColor="text1"/>
          <w:kern w:val="16"/>
          <w:sz w:val="24"/>
        </w:rPr>
        <w:t>预测结果可知，本工程</w:t>
      </w:r>
      <w:r>
        <w:rPr>
          <w:rFonts w:eastAsia="宋体"/>
          <w:snapToGrid w:val="0"/>
          <w:color w:val="000000" w:themeColor="text1"/>
          <w:kern w:val="16"/>
          <w:sz w:val="24"/>
        </w:rPr>
        <w:t>110kV</w:t>
      </w:r>
      <w:r>
        <w:rPr>
          <w:rFonts w:hAnsi="宋体" w:eastAsia="宋体"/>
          <w:snapToGrid w:val="0"/>
          <w:color w:val="000000" w:themeColor="text1"/>
          <w:kern w:val="16"/>
          <w:sz w:val="24"/>
        </w:rPr>
        <w:t>输电线路经过居民区</w:t>
      </w:r>
      <w:r>
        <w:rPr>
          <w:rFonts w:hint="eastAsia" w:hAnsi="宋体" w:eastAsia="宋体"/>
          <w:snapToGrid w:val="0"/>
          <w:color w:val="000000" w:themeColor="text1"/>
          <w:kern w:val="16"/>
          <w:sz w:val="24"/>
        </w:rPr>
        <w:t>且</w:t>
      </w:r>
      <w:r>
        <w:rPr>
          <w:rFonts w:eastAsia="宋体"/>
          <w:snapToGrid w:val="0"/>
          <w:kern w:val="16"/>
          <w:sz w:val="24"/>
          <w:szCs w:val="20"/>
        </w:rPr>
        <w:t>不跨越房屋</w:t>
      </w:r>
      <w:r>
        <w:rPr>
          <w:rFonts w:hAnsi="宋体" w:eastAsia="宋体"/>
          <w:snapToGrid w:val="0"/>
          <w:color w:val="000000" w:themeColor="text1"/>
          <w:kern w:val="16"/>
          <w:sz w:val="24"/>
        </w:rPr>
        <w:t>等场所线路段，导线对地最小距离为</w:t>
      </w:r>
      <w:r>
        <w:rPr>
          <w:rFonts w:hint="eastAsia" w:eastAsia="宋体"/>
          <w:snapToGrid w:val="0"/>
          <w:color w:val="000000" w:themeColor="text1"/>
          <w:kern w:val="16"/>
          <w:sz w:val="24"/>
        </w:rPr>
        <w:t>7</w:t>
      </w:r>
      <w:r>
        <w:rPr>
          <w:rFonts w:eastAsia="宋体"/>
          <w:snapToGrid w:val="0"/>
          <w:color w:val="000000" w:themeColor="text1"/>
          <w:kern w:val="16"/>
          <w:sz w:val="24"/>
        </w:rPr>
        <w:t>m</w:t>
      </w:r>
      <w:r>
        <w:rPr>
          <w:rFonts w:hAnsi="宋体" w:eastAsia="宋体"/>
          <w:snapToGrid w:val="0"/>
          <w:color w:val="000000" w:themeColor="text1"/>
          <w:kern w:val="16"/>
          <w:sz w:val="24"/>
        </w:rPr>
        <w:t>，距地面</w:t>
      </w:r>
      <w:r>
        <w:rPr>
          <w:rFonts w:eastAsia="宋体"/>
          <w:snapToGrid w:val="0"/>
          <w:color w:val="000000" w:themeColor="text1"/>
          <w:kern w:val="16"/>
          <w:sz w:val="24"/>
        </w:rPr>
        <w:t>1.5m</w:t>
      </w:r>
      <w:r>
        <w:rPr>
          <w:rFonts w:hAnsi="宋体" w:eastAsia="宋体"/>
          <w:snapToGrid w:val="0"/>
          <w:color w:val="000000" w:themeColor="text1"/>
          <w:kern w:val="16"/>
          <w:sz w:val="24"/>
        </w:rPr>
        <w:t>高度处，</w:t>
      </w:r>
      <w:r>
        <w:rPr>
          <w:rFonts w:hAnsi="宋体" w:eastAsia="宋体"/>
          <w:color w:val="000000" w:themeColor="text1"/>
          <w:sz w:val="24"/>
        </w:rPr>
        <w:t>工频电场强度最大预测值为</w:t>
      </w:r>
      <w:r>
        <w:rPr>
          <w:rFonts w:eastAsia="宋体"/>
          <w:color w:val="000000" w:themeColor="text1"/>
          <w:kern w:val="0"/>
          <w:sz w:val="24"/>
        </w:rPr>
        <w:t>1.</w:t>
      </w:r>
      <w:r>
        <w:rPr>
          <w:rFonts w:hint="eastAsia" w:eastAsia="宋体"/>
          <w:color w:val="000000" w:themeColor="text1"/>
          <w:kern w:val="0"/>
          <w:sz w:val="24"/>
        </w:rPr>
        <w:t>67</w:t>
      </w:r>
      <w:r>
        <w:rPr>
          <w:rFonts w:eastAsia="宋体"/>
          <w:color w:val="000000" w:themeColor="text1"/>
          <w:kern w:val="0"/>
          <w:sz w:val="24"/>
        </w:rPr>
        <w:t>kV/m</w:t>
      </w:r>
      <w:r>
        <w:rPr>
          <w:rFonts w:hAnsi="宋体" w:eastAsia="宋体"/>
          <w:color w:val="000000" w:themeColor="text1"/>
          <w:kern w:val="0"/>
          <w:sz w:val="24"/>
        </w:rPr>
        <w:t>，位于边导线内，线路中心</w:t>
      </w:r>
      <w:r>
        <w:rPr>
          <w:rFonts w:hAnsi="宋体" w:eastAsia="宋体"/>
          <w:color w:val="000000" w:themeColor="text1"/>
          <w:sz w:val="24"/>
        </w:rPr>
        <w:t>处</w:t>
      </w:r>
      <w:r>
        <w:rPr>
          <w:rFonts w:hAnsi="宋体" w:eastAsia="宋体"/>
          <w:color w:val="000000" w:themeColor="text1"/>
          <w:kern w:val="0"/>
          <w:sz w:val="24"/>
        </w:rPr>
        <w:t>，</w:t>
      </w:r>
      <w:r>
        <w:rPr>
          <w:rFonts w:hAnsi="宋体" w:eastAsia="宋体"/>
          <w:color w:val="000000" w:themeColor="text1"/>
          <w:sz w:val="24"/>
        </w:rPr>
        <w:t>磁感应强度最大预测值为</w:t>
      </w:r>
      <w:r>
        <w:rPr>
          <w:rFonts w:eastAsia="宋体"/>
          <w:color w:val="000000" w:themeColor="text1"/>
          <w:sz w:val="24"/>
        </w:rPr>
        <w:t>2</w:t>
      </w:r>
      <w:r>
        <w:rPr>
          <w:rFonts w:hint="eastAsia" w:eastAsia="宋体"/>
          <w:color w:val="000000" w:themeColor="text1"/>
          <w:sz w:val="24"/>
        </w:rPr>
        <w:t>4.24</w:t>
      </w:r>
      <w:r>
        <w:rPr>
          <w:rFonts w:eastAsia="宋体"/>
          <w:color w:val="000000" w:themeColor="text1"/>
          <w:kern w:val="0"/>
          <w:sz w:val="24"/>
        </w:rPr>
        <w:t>μT</w:t>
      </w:r>
      <w:r>
        <w:rPr>
          <w:rFonts w:hAnsi="宋体" w:eastAsia="宋体"/>
          <w:color w:val="000000" w:themeColor="text1"/>
          <w:kern w:val="0"/>
          <w:sz w:val="24"/>
        </w:rPr>
        <w:t>，位于</w:t>
      </w:r>
      <w:r>
        <w:rPr>
          <w:rFonts w:hAnsi="宋体" w:eastAsia="宋体"/>
          <w:color w:val="000000" w:themeColor="text1"/>
          <w:sz w:val="24"/>
        </w:rPr>
        <w:t>边导线外</w:t>
      </w:r>
      <w:r>
        <w:rPr>
          <w:rFonts w:eastAsia="宋体"/>
          <w:color w:val="000000" w:themeColor="text1"/>
          <w:sz w:val="24"/>
        </w:rPr>
        <w:t>0.</w:t>
      </w:r>
      <w:r>
        <w:rPr>
          <w:rFonts w:hint="eastAsia" w:eastAsia="宋体"/>
          <w:color w:val="000000" w:themeColor="text1"/>
          <w:sz w:val="24"/>
        </w:rPr>
        <w:t>8</w:t>
      </w:r>
      <w:r>
        <w:rPr>
          <w:rFonts w:eastAsia="宋体"/>
          <w:color w:val="000000" w:themeColor="text1"/>
          <w:sz w:val="24"/>
        </w:rPr>
        <w:t>m</w:t>
      </w:r>
      <w:r>
        <w:rPr>
          <w:rFonts w:hAnsi="宋体" w:eastAsia="宋体"/>
          <w:color w:val="000000" w:themeColor="text1"/>
          <w:sz w:val="24"/>
        </w:rPr>
        <w:t>处，满足</w:t>
      </w:r>
      <w:r>
        <w:rPr>
          <w:rFonts w:hAnsi="宋体" w:eastAsia="宋体"/>
          <w:color w:val="000000" w:themeColor="text1"/>
          <w:spacing w:val="-2"/>
          <w:kern w:val="16"/>
          <w:sz w:val="24"/>
        </w:rPr>
        <w:t>《电磁环境控制限值》（</w:t>
      </w:r>
      <w:r>
        <w:rPr>
          <w:rFonts w:eastAsia="宋体"/>
          <w:color w:val="000000" w:themeColor="text1"/>
          <w:spacing w:val="-2"/>
          <w:kern w:val="16"/>
          <w:sz w:val="24"/>
        </w:rPr>
        <w:t>GB8702-2014</w:t>
      </w:r>
      <w:r>
        <w:rPr>
          <w:rFonts w:hAnsi="宋体" w:eastAsia="宋体"/>
          <w:color w:val="000000" w:themeColor="text1"/>
          <w:spacing w:val="-2"/>
          <w:kern w:val="16"/>
          <w:sz w:val="24"/>
        </w:rPr>
        <w:t>）中</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hAnsi="宋体" w:eastAsia="宋体"/>
          <w:color w:val="000000" w:themeColor="text1"/>
          <w:spacing w:val="-2"/>
          <w:kern w:val="16"/>
          <w:sz w:val="24"/>
        </w:rPr>
        <w:t>的公众曝露控制限值的评价标准。</w:t>
      </w:r>
    </w:p>
    <w:p>
      <w:pPr>
        <w:adjustRightInd w:val="0"/>
        <w:snapToGrid w:val="0"/>
        <w:spacing w:line="520" w:lineRule="exact"/>
        <w:ind w:firstLine="480" w:firstLineChars="200"/>
        <w:rPr>
          <w:rFonts w:eastAsia="宋体"/>
          <w:snapToGrid w:val="0"/>
          <w:kern w:val="16"/>
          <w:sz w:val="24"/>
          <w:szCs w:val="20"/>
        </w:rPr>
      </w:pPr>
      <w:r>
        <w:rPr>
          <w:rFonts w:hint="eastAsia" w:eastAsia="宋体"/>
          <w:snapToGrid w:val="0"/>
          <w:kern w:val="16"/>
          <w:sz w:val="24"/>
          <w:szCs w:val="20"/>
        </w:rPr>
        <w:t>3）</w:t>
      </w:r>
      <w:r>
        <w:rPr>
          <w:rFonts w:eastAsia="宋体"/>
          <w:snapToGrid w:val="0"/>
          <w:kern w:val="16"/>
          <w:sz w:val="24"/>
          <w:szCs w:val="20"/>
        </w:rPr>
        <w:t>线路</w:t>
      </w:r>
      <w:r>
        <w:rPr>
          <w:rFonts w:hint="eastAsia" w:eastAsia="宋体"/>
          <w:snapToGrid w:val="0"/>
          <w:kern w:val="16"/>
          <w:sz w:val="24"/>
          <w:szCs w:val="20"/>
        </w:rPr>
        <w:t>环境</w:t>
      </w:r>
      <w:r>
        <w:rPr>
          <w:rFonts w:eastAsia="宋体"/>
          <w:snapToGrid w:val="0"/>
          <w:kern w:val="16"/>
          <w:sz w:val="24"/>
          <w:szCs w:val="20"/>
        </w:rPr>
        <w:t>保护目标处预测</w:t>
      </w:r>
    </w:p>
    <w:p>
      <w:pPr>
        <w:adjustRightInd w:val="0"/>
        <w:snapToGrid w:val="0"/>
        <w:spacing w:line="520" w:lineRule="exact"/>
        <w:ind w:firstLine="480" w:firstLineChars="200"/>
        <w:rPr>
          <w:rFonts w:eastAsia="宋体"/>
          <w:snapToGrid w:val="0"/>
          <w:kern w:val="16"/>
          <w:sz w:val="24"/>
          <w:szCs w:val="20"/>
        </w:rPr>
      </w:pPr>
      <w:r>
        <w:rPr>
          <w:rFonts w:hint="eastAsia" w:eastAsia="宋体"/>
          <w:snapToGrid w:val="0"/>
          <w:kern w:val="16"/>
          <w:sz w:val="24"/>
          <w:szCs w:val="20"/>
        </w:rPr>
        <w:t>本项目环境保护</w:t>
      </w:r>
      <w:r>
        <w:rPr>
          <w:rFonts w:eastAsia="宋体"/>
          <w:snapToGrid w:val="0"/>
          <w:kern w:val="16"/>
          <w:sz w:val="24"/>
          <w:szCs w:val="20"/>
        </w:rPr>
        <w:t>目标处的预测值见下表。</w:t>
      </w:r>
    </w:p>
    <w:p>
      <w:pPr>
        <w:adjustRightInd w:val="0"/>
        <w:snapToGrid w:val="0"/>
        <w:spacing w:line="520" w:lineRule="exact"/>
        <w:ind w:firstLine="480" w:firstLineChars="200"/>
        <w:rPr>
          <w:rFonts w:hAnsi="黑体" w:eastAsia="黑体"/>
          <w:snapToGrid w:val="0"/>
          <w:kern w:val="16"/>
          <w:sz w:val="24"/>
          <w:szCs w:val="20"/>
        </w:rPr>
      </w:pPr>
      <w:r>
        <w:rPr>
          <w:rFonts w:hAnsi="黑体" w:eastAsia="黑体"/>
          <w:snapToGrid w:val="0"/>
          <w:kern w:val="16"/>
          <w:sz w:val="24"/>
          <w:szCs w:val="20"/>
        </w:rPr>
        <w:t>表</w:t>
      </w:r>
      <w:r>
        <w:rPr>
          <w:rFonts w:eastAsia="黑体"/>
          <w:snapToGrid w:val="0"/>
          <w:kern w:val="16"/>
          <w:sz w:val="24"/>
          <w:szCs w:val="20"/>
        </w:rPr>
        <w:t>1</w:t>
      </w:r>
      <w:r>
        <w:rPr>
          <w:rFonts w:hint="eastAsia" w:eastAsia="黑体"/>
          <w:snapToGrid w:val="0"/>
          <w:kern w:val="16"/>
          <w:sz w:val="24"/>
          <w:szCs w:val="20"/>
        </w:rPr>
        <w:t>5</w:t>
      </w:r>
      <w:r>
        <w:rPr>
          <w:rFonts w:eastAsia="黑体"/>
          <w:snapToGrid w:val="0"/>
          <w:kern w:val="16"/>
          <w:sz w:val="24"/>
          <w:szCs w:val="20"/>
        </w:rPr>
        <w:t xml:space="preserve">             </w:t>
      </w:r>
      <w:r>
        <w:rPr>
          <w:rFonts w:hAnsi="黑体" w:eastAsia="黑体"/>
          <w:snapToGrid w:val="0"/>
          <w:kern w:val="16"/>
          <w:sz w:val="24"/>
          <w:szCs w:val="20"/>
        </w:rPr>
        <w:t>环境保护目标处工频电场预测值</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1795"/>
        <w:gridCol w:w="1701"/>
        <w:gridCol w:w="1559"/>
        <w:gridCol w:w="1418"/>
        <w:gridCol w:w="12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序号</w:t>
            </w:r>
          </w:p>
        </w:tc>
        <w:tc>
          <w:tcPr>
            <w:tcW w:w="1795" w:type="dxa"/>
            <w:vAlign w:val="center"/>
          </w:tcPr>
          <w:p>
            <w:pPr>
              <w:spacing w:line="360" w:lineRule="exact"/>
              <w:jc w:val="center"/>
              <w:rPr>
                <w:rFonts w:eastAsia="宋体"/>
                <w:sz w:val="21"/>
                <w:szCs w:val="21"/>
              </w:rPr>
            </w:pPr>
            <w:r>
              <w:rPr>
                <w:rFonts w:eastAsia="宋体"/>
                <w:sz w:val="21"/>
                <w:szCs w:val="21"/>
              </w:rPr>
              <w:t>敏感点名称</w:t>
            </w:r>
          </w:p>
        </w:tc>
        <w:tc>
          <w:tcPr>
            <w:tcW w:w="1701" w:type="dxa"/>
            <w:vAlign w:val="center"/>
          </w:tcPr>
          <w:p>
            <w:pPr>
              <w:spacing w:line="360" w:lineRule="exact"/>
              <w:jc w:val="center"/>
              <w:rPr>
                <w:rFonts w:eastAsia="宋体"/>
                <w:sz w:val="21"/>
                <w:szCs w:val="21"/>
              </w:rPr>
            </w:pPr>
            <w:r>
              <w:rPr>
                <w:rFonts w:eastAsia="宋体"/>
                <w:sz w:val="21"/>
                <w:szCs w:val="21"/>
              </w:rPr>
              <w:t>现状方位及距离</w:t>
            </w:r>
          </w:p>
        </w:tc>
        <w:tc>
          <w:tcPr>
            <w:tcW w:w="1559" w:type="dxa"/>
            <w:vAlign w:val="center"/>
          </w:tcPr>
          <w:p>
            <w:pPr>
              <w:spacing w:line="360" w:lineRule="exact"/>
              <w:jc w:val="center"/>
              <w:rPr>
                <w:rFonts w:eastAsia="宋体"/>
                <w:sz w:val="21"/>
                <w:szCs w:val="21"/>
              </w:rPr>
            </w:pPr>
            <w:r>
              <w:rPr>
                <w:rFonts w:hint="eastAsia" w:eastAsia="宋体"/>
                <w:sz w:val="21"/>
                <w:szCs w:val="21"/>
              </w:rPr>
              <w:t>导线垂直距离</w:t>
            </w:r>
          </w:p>
        </w:tc>
        <w:tc>
          <w:tcPr>
            <w:tcW w:w="1418" w:type="dxa"/>
            <w:vAlign w:val="center"/>
          </w:tcPr>
          <w:p>
            <w:pPr>
              <w:spacing w:line="360" w:lineRule="exact"/>
              <w:jc w:val="center"/>
              <w:rPr>
                <w:rFonts w:eastAsia="宋体"/>
                <w:sz w:val="21"/>
                <w:szCs w:val="21"/>
              </w:rPr>
            </w:pPr>
            <w:r>
              <w:rPr>
                <w:rFonts w:hint="eastAsia" w:eastAsia="宋体"/>
                <w:sz w:val="21"/>
                <w:szCs w:val="21"/>
              </w:rPr>
              <w:t>预测值（kV/m</w:t>
            </w:r>
            <w:r>
              <w:rPr>
                <w:rFonts w:eastAsia="宋体"/>
                <w:sz w:val="21"/>
                <w:szCs w:val="21"/>
              </w:rPr>
              <w:t>）</w:t>
            </w:r>
          </w:p>
        </w:tc>
        <w:tc>
          <w:tcPr>
            <w:tcW w:w="1218" w:type="dxa"/>
            <w:vAlign w:val="center"/>
          </w:tcPr>
          <w:p>
            <w:pPr>
              <w:spacing w:line="360" w:lineRule="exact"/>
              <w:jc w:val="center"/>
              <w:rPr>
                <w:rFonts w:eastAsia="宋体"/>
                <w:sz w:val="21"/>
                <w:szCs w:val="21"/>
              </w:rPr>
            </w:pPr>
            <w:r>
              <w:rPr>
                <w:rFonts w:hint="eastAsia" w:eastAsia="宋体"/>
                <w:sz w:val="21"/>
                <w:szCs w:val="21"/>
              </w:rPr>
              <w:t>预测值（</w:t>
            </w:r>
            <w:r>
              <w:rPr>
                <w:rFonts w:eastAsia="宋体"/>
                <w:snapToGrid w:val="0"/>
                <w:kern w:val="16"/>
                <w:sz w:val="24"/>
              </w:rPr>
              <w:t>μT</w:t>
            </w:r>
            <w:r>
              <w:rPr>
                <w:rFonts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1</w:t>
            </w:r>
          </w:p>
        </w:tc>
        <w:tc>
          <w:tcPr>
            <w:tcW w:w="1795" w:type="dxa"/>
            <w:vAlign w:val="center"/>
          </w:tcPr>
          <w:p>
            <w:pPr>
              <w:widowControl/>
              <w:spacing w:line="360" w:lineRule="exact"/>
              <w:jc w:val="center"/>
              <w:rPr>
                <w:rFonts w:eastAsia="宋体"/>
                <w:color w:val="000000" w:themeColor="text1"/>
                <w:kern w:val="0"/>
                <w:sz w:val="21"/>
                <w:szCs w:val="21"/>
              </w:rPr>
            </w:pPr>
            <w:r>
              <w:rPr>
                <w:rFonts w:eastAsia="宋体"/>
                <w:color w:val="000000" w:themeColor="text1"/>
                <w:kern w:val="0"/>
                <w:sz w:val="21"/>
                <w:szCs w:val="21"/>
              </w:rPr>
              <w:t>杨桥村常海超家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线北侧</w:t>
            </w:r>
            <w:r>
              <w:rPr>
                <w:rFonts w:ascii="Times New Roman" w:hAnsi="Times New Roman" w:eastAsia="宋体"/>
                <w:sz w:val="21"/>
                <w:szCs w:val="21"/>
              </w:rPr>
              <w:t>2</w:t>
            </w:r>
            <w:r>
              <w:rPr>
                <w:rFonts w:hint="eastAsia" w:ascii="Times New Roman" w:hAnsi="Times New Roman" w:eastAsia="宋体"/>
                <w:sz w:val="21"/>
                <w:szCs w:val="21"/>
              </w:rPr>
              <w:t>3</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31</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0.11</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5.09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2</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张垌村王娟家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南</w:t>
            </w:r>
            <w:r>
              <w:rPr>
                <w:rFonts w:ascii="Times New Roman" w:hAnsi="宋体" w:eastAsia="宋体"/>
                <w:sz w:val="21"/>
                <w:szCs w:val="21"/>
              </w:rPr>
              <w:t>侧</w:t>
            </w:r>
            <w:r>
              <w:rPr>
                <w:rFonts w:hint="eastAsia" w:ascii="Times New Roman" w:hAnsi="Times New Roman" w:eastAsia="宋体"/>
                <w:sz w:val="21"/>
                <w:szCs w:val="21"/>
              </w:rPr>
              <w:t>12</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32</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0.12</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5.86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3</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张垌村范国明家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东北侧30m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30</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0.09</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4.60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4</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黑龙沟于发海家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21</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0.20</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5</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黑龙沟于保成家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21</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0.20</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7.06</w:t>
            </w:r>
          </w:p>
        </w:tc>
      </w:tr>
    </w:tbl>
    <w:p>
      <w:pPr>
        <w:adjustRightInd w:val="0"/>
        <w:snapToGrid w:val="0"/>
        <w:spacing w:line="520" w:lineRule="exact"/>
        <w:ind w:firstLine="480" w:firstLineChars="200"/>
        <w:rPr>
          <w:rFonts w:eastAsia="宋体"/>
          <w:snapToGrid w:val="0"/>
          <w:kern w:val="16"/>
          <w:sz w:val="24"/>
        </w:rPr>
      </w:pPr>
      <w:r>
        <w:rPr>
          <w:rFonts w:hint="eastAsia" w:hAnsi="宋体" w:eastAsia="宋体"/>
          <w:kern w:val="0"/>
          <w:sz w:val="24"/>
        </w:rPr>
        <w:t>由预测结果显示，</w:t>
      </w:r>
      <w:r>
        <w:rPr>
          <w:rFonts w:eastAsia="宋体"/>
          <w:snapToGrid w:val="0"/>
          <w:kern w:val="16"/>
          <w:sz w:val="24"/>
        </w:rPr>
        <w:t>本项目环境保护目标</w:t>
      </w:r>
      <w:r>
        <w:rPr>
          <w:rFonts w:eastAsia="宋体"/>
          <w:sz w:val="24"/>
        </w:rPr>
        <w:t>处的预测值</w:t>
      </w:r>
      <w:r>
        <w:rPr>
          <w:rFonts w:hint="eastAsia" w:eastAsia="宋体"/>
          <w:sz w:val="24"/>
        </w:rPr>
        <w:t>最大</w:t>
      </w:r>
      <w:r>
        <w:rPr>
          <w:rFonts w:eastAsia="宋体"/>
          <w:sz w:val="24"/>
        </w:rPr>
        <w:t>为</w:t>
      </w:r>
      <w:r>
        <w:rPr>
          <w:rFonts w:hint="eastAsia" w:eastAsia="宋体"/>
          <w:color w:val="000000" w:themeColor="text1"/>
          <w:spacing w:val="-2"/>
          <w:kern w:val="16"/>
          <w:sz w:val="24"/>
        </w:rPr>
        <w:t>0.20</w:t>
      </w:r>
      <w:r>
        <w:rPr>
          <w:rFonts w:hint="eastAsia" w:eastAsia="宋体"/>
          <w:sz w:val="24"/>
        </w:rPr>
        <w:t xml:space="preserve"> kV/m和 7.06</w:t>
      </w:r>
      <w:r>
        <w:rPr>
          <w:rFonts w:eastAsia="宋体"/>
          <w:snapToGrid w:val="0"/>
          <w:kern w:val="16"/>
          <w:sz w:val="24"/>
        </w:rPr>
        <w:t>μT，低于</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eastAsia="宋体"/>
          <w:snapToGrid w:val="0"/>
          <w:kern w:val="16"/>
          <w:sz w:val="24"/>
        </w:rPr>
        <w:t>的标准要求</w:t>
      </w:r>
      <w:r>
        <w:rPr>
          <w:rFonts w:hint="eastAsia" w:eastAsia="宋体"/>
          <w:snapToGrid w:val="0"/>
          <w:kern w:val="16"/>
          <w:sz w:val="24"/>
        </w:rPr>
        <w:t>。因此预测</w:t>
      </w:r>
      <w:r>
        <w:rPr>
          <w:rFonts w:eastAsia="宋体"/>
          <w:snapToGrid w:val="0"/>
          <w:kern w:val="16"/>
          <w:sz w:val="24"/>
        </w:rPr>
        <w:t>本项目运行后敏感点</w:t>
      </w:r>
      <w:r>
        <w:rPr>
          <w:rFonts w:hint="eastAsia" w:eastAsia="宋体"/>
          <w:snapToGrid w:val="0"/>
          <w:kern w:val="16"/>
          <w:sz w:val="24"/>
        </w:rPr>
        <w:t>处</w:t>
      </w:r>
      <w:r>
        <w:rPr>
          <w:rFonts w:eastAsia="宋体"/>
          <w:snapToGrid w:val="0"/>
          <w:kern w:val="16"/>
          <w:sz w:val="24"/>
        </w:rPr>
        <w:t>的</w:t>
      </w:r>
      <w:r>
        <w:rPr>
          <w:rFonts w:hint="eastAsia" w:eastAsia="宋体"/>
          <w:snapToGrid w:val="0"/>
          <w:kern w:val="16"/>
          <w:sz w:val="24"/>
        </w:rPr>
        <w:t>工频磁感应</w:t>
      </w:r>
      <w:r>
        <w:rPr>
          <w:rFonts w:eastAsia="宋体"/>
          <w:snapToGrid w:val="0"/>
          <w:kern w:val="16"/>
          <w:sz w:val="24"/>
        </w:rPr>
        <w:t>强度能够满足标准要求。</w:t>
      </w:r>
    </w:p>
    <w:p>
      <w:pPr>
        <w:adjustRightInd w:val="0"/>
        <w:snapToGrid w:val="0"/>
        <w:spacing w:line="520" w:lineRule="exact"/>
        <w:ind w:firstLine="480" w:firstLineChars="200"/>
        <w:rPr>
          <w:rFonts w:eastAsia="宋体"/>
          <w:snapToGrid w:val="0"/>
          <w:kern w:val="16"/>
          <w:sz w:val="24"/>
        </w:rPr>
      </w:pPr>
      <w:r>
        <w:rPr>
          <w:rFonts w:hint="eastAsia" w:eastAsia="宋体"/>
          <w:snapToGrid w:val="0"/>
          <w:kern w:val="16"/>
          <w:sz w:val="24"/>
        </w:rPr>
        <w:t>由于本项目敏感目标的房屋均为一层平顶结构，房屋顶层可能存在人为活动，根据现场调查，房屋层高为4.5m。因此现对敏感目标的房屋屋顶处4.5m处进行电磁辐射预测，预测值见下表。</w:t>
      </w:r>
    </w:p>
    <w:p>
      <w:pPr>
        <w:adjustRightInd w:val="0"/>
        <w:snapToGrid w:val="0"/>
        <w:spacing w:line="520" w:lineRule="exact"/>
        <w:ind w:firstLine="480" w:firstLineChars="200"/>
        <w:rPr>
          <w:rFonts w:hAnsi="黑体" w:eastAsia="黑体"/>
          <w:snapToGrid w:val="0"/>
          <w:kern w:val="16"/>
          <w:sz w:val="24"/>
          <w:szCs w:val="20"/>
        </w:rPr>
      </w:pPr>
    </w:p>
    <w:p>
      <w:pPr>
        <w:adjustRightInd w:val="0"/>
        <w:snapToGrid w:val="0"/>
        <w:spacing w:line="520" w:lineRule="exact"/>
        <w:ind w:firstLine="480" w:firstLineChars="200"/>
        <w:rPr>
          <w:rFonts w:hAnsi="黑体" w:eastAsia="黑体"/>
          <w:snapToGrid w:val="0"/>
          <w:kern w:val="16"/>
          <w:sz w:val="24"/>
          <w:szCs w:val="20"/>
        </w:rPr>
      </w:pPr>
      <w:r>
        <w:rPr>
          <w:rFonts w:hAnsi="黑体" w:eastAsia="黑体"/>
          <w:snapToGrid w:val="0"/>
          <w:kern w:val="16"/>
          <w:sz w:val="24"/>
          <w:szCs w:val="20"/>
        </w:rPr>
        <w:t>表</w:t>
      </w:r>
      <w:r>
        <w:rPr>
          <w:rFonts w:eastAsia="黑体"/>
          <w:snapToGrid w:val="0"/>
          <w:kern w:val="16"/>
          <w:sz w:val="24"/>
          <w:szCs w:val="20"/>
        </w:rPr>
        <w:t>1</w:t>
      </w:r>
      <w:r>
        <w:rPr>
          <w:rFonts w:hint="eastAsia" w:eastAsia="黑体"/>
          <w:snapToGrid w:val="0"/>
          <w:kern w:val="16"/>
          <w:sz w:val="24"/>
          <w:szCs w:val="20"/>
        </w:rPr>
        <w:t>6</w:t>
      </w:r>
      <w:r>
        <w:rPr>
          <w:rFonts w:eastAsia="黑体"/>
          <w:snapToGrid w:val="0"/>
          <w:kern w:val="16"/>
          <w:sz w:val="24"/>
          <w:szCs w:val="20"/>
        </w:rPr>
        <w:t xml:space="preserve">             </w:t>
      </w:r>
      <w:r>
        <w:rPr>
          <w:rFonts w:hAnsi="黑体" w:eastAsia="黑体"/>
          <w:snapToGrid w:val="0"/>
          <w:kern w:val="16"/>
          <w:sz w:val="24"/>
          <w:szCs w:val="20"/>
        </w:rPr>
        <w:t>环境保护目标处工频电场预测值</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1795"/>
        <w:gridCol w:w="1701"/>
        <w:gridCol w:w="1559"/>
        <w:gridCol w:w="1418"/>
        <w:gridCol w:w="12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序号</w:t>
            </w:r>
          </w:p>
        </w:tc>
        <w:tc>
          <w:tcPr>
            <w:tcW w:w="1795" w:type="dxa"/>
            <w:vAlign w:val="center"/>
          </w:tcPr>
          <w:p>
            <w:pPr>
              <w:spacing w:line="360" w:lineRule="exact"/>
              <w:jc w:val="center"/>
              <w:rPr>
                <w:rFonts w:eastAsia="宋体"/>
                <w:sz w:val="21"/>
                <w:szCs w:val="21"/>
              </w:rPr>
            </w:pPr>
            <w:r>
              <w:rPr>
                <w:rFonts w:eastAsia="宋体"/>
                <w:sz w:val="21"/>
                <w:szCs w:val="21"/>
              </w:rPr>
              <w:t>敏感点名称</w:t>
            </w:r>
          </w:p>
        </w:tc>
        <w:tc>
          <w:tcPr>
            <w:tcW w:w="1701" w:type="dxa"/>
            <w:vAlign w:val="center"/>
          </w:tcPr>
          <w:p>
            <w:pPr>
              <w:spacing w:line="360" w:lineRule="exact"/>
              <w:jc w:val="center"/>
              <w:rPr>
                <w:rFonts w:eastAsia="宋体"/>
                <w:sz w:val="21"/>
                <w:szCs w:val="21"/>
              </w:rPr>
            </w:pPr>
            <w:r>
              <w:rPr>
                <w:rFonts w:eastAsia="宋体"/>
                <w:sz w:val="21"/>
                <w:szCs w:val="21"/>
              </w:rPr>
              <w:t>现状方位及距离</w:t>
            </w:r>
          </w:p>
        </w:tc>
        <w:tc>
          <w:tcPr>
            <w:tcW w:w="1559" w:type="dxa"/>
            <w:vAlign w:val="center"/>
          </w:tcPr>
          <w:p>
            <w:pPr>
              <w:spacing w:line="360" w:lineRule="exact"/>
              <w:jc w:val="center"/>
              <w:rPr>
                <w:rFonts w:eastAsia="宋体"/>
                <w:sz w:val="21"/>
                <w:szCs w:val="21"/>
              </w:rPr>
            </w:pPr>
            <w:r>
              <w:rPr>
                <w:rFonts w:hint="eastAsia" w:eastAsia="宋体"/>
                <w:sz w:val="21"/>
                <w:szCs w:val="21"/>
              </w:rPr>
              <w:t>导线垂直距离</w:t>
            </w:r>
          </w:p>
        </w:tc>
        <w:tc>
          <w:tcPr>
            <w:tcW w:w="1418" w:type="dxa"/>
            <w:vAlign w:val="center"/>
          </w:tcPr>
          <w:p>
            <w:pPr>
              <w:spacing w:line="360" w:lineRule="exact"/>
              <w:jc w:val="center"/>
              <w:rPr>
                <w:rFonts w:eastAsia="宋体"/>
                <w:sz w:val="21"/>
                <w:szCs w:val="21"/>
              </w:rPr>
            </w:pPr>
            <w:r>
              <w:rPr>
                <w:rFonts w:hint="eastAsia" w:eastAsia="宋体"/>
                <w:sz w:val="21"/>
                <w:szCs w:val="21"/>
              </w:rPr>
              <w:t>预测值（kV/m</w:t>
            </w:r>
            <w:r>
              <w:rPr>
                <w:rFonts w:eastAsia="宋体"/>
                <w:sz w:val="21"/>
                <w:szCs w:val="21"/>
              </w:rPr>
              <w:t>）</w:t>
            </w:r>
          </w:p>
        </w:tc>
        <w:tc>
          <w:tcPr>
            <w:tcW w:w="1218" w:type="dxa"/>
            <w:vAlign w:val="center"/>
          </w:tcPr>
          <w:p>
            <w:pPr>
              <w:spacing w:line="360" w:lineRule="exact"/>
              <w:jc w:val="center"/>
              <w:rPr>
                <w:rFonts w:eastAsia="宋体"/>
                <w:sz w:val="21"/>
                <w:szCs w:val="21"/>
              </w:rPr>
            </w:pPr>
            <w:r>
              <w:rPr>
                <w:rFonts w:hint="eastAsia" w:eastAsia="宋体"/>
                <w:sz w:val="21"/>
                <w:szCs w:val="21"/>
              </w:rPr>
              <w:t>预测值（</w:t>
            </w:r>
            <w:r>
              <w:rPr>
                <w:rFonts w:eastAsia="宋体"/>
                <w:snapToGrid w:val="0"/>
                <w:kern w:val="16"/>
                <w:sz w:val="24"/>
              </w:rPr>
              <w:t>μT</w:t>
            </w:r>
            <w:r>
              <w:rPr>
                <w:rFonts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1</w:t>
            </w:r>
          </w:p>
        </w:tc>
        <w:tc>
          <w:tcPr>
            <w:tcW w:w="1795" w:type="dxa"/>
            <w:vAlign w:val="center"/>
          </w:tcPr>
          <w:p>
            <w:pPr>
              <w:widowControl/>
              <w:spacing w:line="360" w:lineRule="exact"/>
              <w:jc w:val="center"/>
              <w:rPr>
                <w:rFonts w:eastAsia="宋体"/>
                <w:color w:val="000000" w:themeColor="text1"/>
                <w:kern w:val="0"/>
                <w:sz w:val="21"/>
                <w:szCs w:val="21"/>
              </w:rPr>
            </w:pPr>
            <w:r>
              <w:rPr>
                <w:rFonts w:eastAsia="宋体"/>
                <w:color w:val="000000" w:themeColor="text1"/>
                <w:kern w:val="0"/>
                <w:sz w:val="21"/>
                <w:szCs w:val="21"/>
              </w:rPr>
              <w:t>杨桥村常海超家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线北侧</w:t>
            </w:r>
            <w:r>
              <w:rPr>
                <w:rFonts w:ascii="Times New Roman" w:hAnsi="Times New Roman" w:eastAsia="宋体"/>
                <w:sz w:val="21"/>
                <w:szCs w:val="21"/>
              </w:rPr>
              <w:t>2</w:t>
            </w:r>
            <w:r>
              <w:rPr>
                <w:rFonts w:hint="eastAsia" w:ascii="Times New Roman" w:hAnsi="Times New Roman" w:eastAsia="宋体"/>
                <w:sz w:val="21"/>
                <w:szCs w:val="21"/>
              </w:rPr>
              <w:t>3</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26.5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0.12</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5.53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2</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张垌村王娟家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南</w:t>
            </w:r>
            <w:r>
              <w:rPr>
                <w:rFonts w:ascii="Times New Roman" w:hAnsi="宋体" w:eastAsia="宋体"/>
                <w:sz w:val="21"/>
                <w:szCs w:val="21"/>
              </w:rPr>
              <w:t>侧</w:t>
            </w:r>
            <w:r>
              <w:rPr>
                <w:rFonts w:hint="eastAsia" w:ascii="Times New Roman" w:hAnsi="Times New Roman" w:eastAsia="宋体"/>
                <w:sz w:val="21"/>
                <w:szCs w:val="21"/>
              </w:rPr>
              <w:t>12</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27.5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0.16</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6.59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3</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张垌村范国明家</w:t>
            </w:r>
          </w:p>
        </w:tc>
        <w:tc>
          <w:tcPr>
            <w:tcW w:w="1701" w:type="dxa"/>
            <w:vAlign w:val="center"/>
          </w:tcPr>
          <w:p>
            <w:pPr>
              <w:pStyle w:val="4"/>
              <w:spacing w:line="360" w:lineRule="exact"/>
              <w:jc w:val="center"/>
              <w:rPr>
                <w:rFonts w:ascii="Times New Roman" w:hAnsi="Times New Roman" w:eastAsia="宋体"/>
                <w:color w:val="000000" w:themeColor="text1"/>
                <w:sz w:val="21"/>
                <w:szCs w:val="21"/>
              </w:rPr>
            </w:pPr>
            <w:r>
              <w:rPr>
                <w:rFonts w:ascii="Times New Roman" w:hAnsi="宋体" w:eastAsia="宋体"/>
                <w:color w:val="000000" w:themeColor="text1"/>
                <w:sz w:val="21"/>
                <w:szCs w:val="21"/>
              </w:rPr>
              <w:t>线</w:t>
            </w:r>
            <w:r>
              <w:rPr>
                <w:rFonts w:hint="eastAsia" w:ascii="Times New Roman" w:hAnsi="宋体" w:eastAsia="宋体"/>
                <w:color w:val="000000" w:themeColor="text1"/>
                <w:sz w:val="21"/>
                <w:szCs w:val="21"/>
              </w:rPr>
              <w:t>东北侧30m</w:t>
            </w:r>
          </w:p>
        </w:tc>
        <w:tc>
          <w:tcPr>
            <w:tcW w:w="1559" w:type="dxa"/>
            <w:vAlign w:val="center"/>
          </w:tcPr>
          <w:p>
            <w:pPr>
              <w:spacing w:line="360" w:lineRule="exact"/>
              <w:jc w:val="center"/>
              <w:rPr>
                <w:rFonts w:hAnsi="宋体" w:eastAsia="宋体"/>
                <w:color w:val="000000" w:themeColor="text1"/>
                <w:kern w:val="0"/>
                <w:sz w:val="21"/>
                <w:szCs w:val="21"/>
              </w:rPr>
            </w:pPr>
            <w:r>
              <w:rPr>
                <w:rFonts w:hint="eastAsia" w:hAnsi="宋体" w:eastAsia="宋体"/>
                <w:color w:val="000000" w:themeColor="text1"/>
                <w:kern w:val="0"/>
                <w:sz w:val="21"/>
                <w:szCs w:val="21"/>
              </w:rPr>
              <w:t>25.5</w:t>
            </w:r>
          </w:p>
        </w:tc>
        <w:tc>
          <w:tcPr>
            <w:tcW w:w="1418" w:type="dxa"/>
            <w:vAlign w:val="center"/>
          </w:tcPr>
          <w:p>
            <w:pPr>
              <w:spacing w:line="360" w:lineRule="exact"/>
              <w:jc w:val="center"/>
              <w:rPr>
                <w:rFonts w:hAnsi="宋体" w:eastAsia="宋体"/>
                <w:color w:val="000000" w:themeColor="text1"/>
                <w:kern w:val="0"/>
                <w:sz w:val="21"/>
                <w:szCs w:val="21"/>
              </w:rPr>
            </w:pPr>
            <w:r>
              <w:rPr>
                <w:rFonts w:hint="eastAsia" w:hAnsi="宋体" w:eastAsia="宋体"/>
                <w:color w:val="000000" w:themeColor="text1"/>
                <w:kern w:val="0"/>
                <w:sz w:val="21"/>
                <w:szCs w:val="21"/>
              </w:rPr>
              <w:t>0.09</w:t>
            </w:r>
          </w:p>
        </w:tc>
        <w:tc>
          <w:tcPr>
            <w:tcW w:w="1218" w:type="dxa"/>
            <w:vAlign w:val="center"/>
          </w:tcPr>
          <w:p>
            <w:pPr>
              <w:spacing w:line="360" w:lineRule="exact"/>
              <w:jc w:val="center"/>
              <w:rPr>
                <w:rFonts w:hAnsi="宋体" w:eastAsia="宋体"/>
                <w:color w:val="000000" w:themeColor="text1"/>
                <w:kern w:val="0"/>
                <w:sz w:val="21"/>
                <w:szCs w:val="21"/>
              </w:rPr>
            </w:pPr>
            <w:r>
              <w:rPr>
                <w:rFonts w:hint="eastAsia" w:hAnsi="宋体" w:eastAsia="宋体"/>
                <w:color w:val="000000" w:themeColor="text1"/>
                <w:kern w:val="0"/>
                <w:sz w:val="21"/>
                <w:szCs w:val="21"/>
              </w:rPr>
              <w:t>4.91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4</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黑龙沟于发海家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16.5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0.23</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spacing w:line="360" w:lineRule="exact"/>
              <w:jc w:val="center"/>
              <w:rPr>
                <w:rFonts w:eastAsia="宋体"/>
                <w:sz w:val="21"/>
                <w:szCs w:val="21"/>
              </w:rPr>
            </w:pPr>
            <w:r>
              <w:rPr>
                <w:rFonts w:hint="eastAsia" w:eastAsia="宋体"/>
                <w:sz w:val="21"/>
                <w:szCs w:val="21"/>
              </w:rPr>
              <w:t>5</w:t>
            </w:r>
          </w:p>
        </w:tc>
        <w:tc>
          <w:tcPr>
            <w:tcW w:w="1795" w:type="dxa"/>
            <w:vAlign w:val="center"/>
          </w:tcPr>
          <w:p>
            <w:pPr>
              <w:spacing w:line="360" w:lineRule="exact"/>
              <w:jc w:val="center"/>
              <w:rPr>
                <w:rFonts w:eastAsia="宋体"/>
                <w:color w:val="000000" w:themeColor="text1"/>
                <w:sz w:val="21"/>
                <w:szCs w:val="21"/>
              </w:rPr>
            </w:pPr>
            <w:r>
              <w:rPr>
                <w:rFonts w:eastAsia="宋体"/>
                <w:color w:val="000000" w:themeColor="text1"/>
                <w:sz w:val="21"/>
                <w:szCs w:val="21"/>
              </w:rPr>
              <w:t>黑龙沟于保成家</w:t>
            </w:r>
          </w:p>
        </w:tc>
        <w:tc>
          <w:tcPr>
            <w:tcW w:w="1701" w:type="dxa"/>
            <w:vAlign w:val="center"/>
          </w:tcPr>
          <w:p>
            <w:pPr>
              <w:pStyle w:val="4"/>
              <w:spacing w:line="360" w:lineRule="exact"/>
              <w:jc w:val="center"/>
              <w:rPr>
                <w:rFonts w:ascii="Times New Roman" w:hAnsi="Times New Roman" w:eastAsia="宋体"/>
                <w:sz w:val="21"/>
                <w:szCs w:val="21"/>
              </w:rPr>
            </w:pPr>
            <w:r>
              <w:rPr>
                <w:rFonts w:ascii="Times New Roman" w:hAnsi="宋体" w:eastAsia="宋体"/>
                <w:sz w:val="21"/>
                <w:szCs w:val="21"/>
              </w:rPr>
              <w:t>线</w:t>
            </w:r>
            <w:r>
              <w:rPr>
                <w:rFonts w:hint="eastAsia" w:ascii="Times New Roman" w:hAnsi="宋体" w:eastAsia="宋体"/>
                <w:sz w:val="21"/>
                <w:szCs w:val="21"/>
              </w:rPr>
              <w:t>东北侧</w:t>
            </w:r>
            <w:r>
              <w:rPr>
                <w:rFonts w:hint="eastAsia" w:ascii="Times New Roman" w:hAnsi="Times New Roman" w:eastAsia="宋体"/>
                <w:sz w:val="21"/>
                <w:szCs w:val="21"/>
              </w:rPr>
              <w:t>17</w:t>
            </w:r>
            <w:r>
              <w:rPr>
                <w:rFonts w:ascii="Times New Roman" w:hAnsi="Times New Roman" w:eastAsia="宋体"/>
                <w:sz w:val="21"/>
                <w:szCs w:val="21"/>
              </w:rPr>
              <w:t>m</w:t>
            </w:r>
          </w:p>
        </w:tc>
        <w:tc>
          <w:tcPr>
            <w:tcW w:w="1559"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16.5</w:t>
            </w:r>
          </w:p>
        </w:tc>
        <w:tc>
          <w:tcPr>
            <w:tcW w:w="14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0.23</w:t>
            </w:r>
          </w:p>
        </w:tc>
        <w:tc>
          <w:tcPr>
            <w:tcW w:w="1218" w:type="dxa"/>
            <w:vAlign w:val="center"/>
          </w:tcPr>
          <w:p>
            <w:pPr>
              <w:spacing w:line="360" w:lineRule="exact"/>
              <w:jc w:val="center"/>
              <w:rPr>
                <w:rFonts w:hAnsi="宋体" w:eastAsia="宋体"/>
                <w:kern w:val="0"/>
                <w:sz w:val="21"/>
                <w:szCs w:val="21"/>
              </w:rPr>
            </w:pPr>
            <w:r>
              <w:rPr>
                <w:rFonts w:hint="eastAsia" w:hAnsi="宋体" w:eastAsia="宋体"/>
                <w:kern w:val="0"/>
                <w:sz w:val="21"/>
                <w:szCs w:val="21"/>
              </w:rPr>
              <w:t>7.87</w:t>
            </w:r>
          </w:p>
        </w:tc>
      </w:tr>
    </w:tbl>
    <w:p>
      <w:pPr>
        <w:adjustRightInd w:val="0"/>
        <w:snapToGrid w:val="0"/>
        <w:spacing w:line="520" w:lineRule="exact"/>
        <w:ind w:firstLine="480" w:firstLineChars="200"/>
        <w:rPr>
          <w:rFonts w:eastAsia="宋体"/>
          <w:snapToGrid w:val="0"/>
          <w:kern w:val="16"/>
          <w:sz w:val="24"/>
        </w:rPr>
      </w:pPr>
      <w:r>
        <w:rPr>
          <w:rFonts w:hint="eastAsia" w:hAnsi="宋体" w:eastAsia="宋体"/>
          <w:kern w:val="0"/>
          <w:sz w:val="24"/>
        </w:rPr>
        <w:t>由预测结果显示，</w:t>
      </w:r>
      <w:r>
        <w:rPr>
          <w:rFonts w:eastAsia="宋体"/>
          <w:snapToGrid w:val="0"/>
          <w:kern w:val="16"/>
          <w:sz w:val="24"/>
        </w:rPr>
        <w:t>本项目环境保护目标</w:t>
      </w:r>
      <w:r>
        <w:rPr>
          <w:rFonts w:eastAsia="宋体"/>
          <w:sz w:val="24"/>
        </w:rPr>
        <w:t>处的预测值</w:t>
      </w:r>
      <w:r>
        <w:rPr>
          <w:rFonts w:hint="eastAsia" w:eastAsia="宋体"/>
          <w:sz w:val="24"/>
        </w:rPr>
        <w:t>最大</w:t>
      </w:r>
      <w:r>
        <w:rPr>
          <w:rFonts w:eastAsia="宋体"/>
          <w:sz w:val="24"/>
        </w:rPr>
        <w:t>为</w:t>
      </w:r>
      <w:r>
        <w:rPr>
          <w:rFonts w:hint="eastAsia" w:eastAsia="宋体"/>
          <w:color w:val="000000" w:themeColor="text1"/>
          <w:spacing w:val="-2"/>
          <w:kern w:val="16"/>
          <w:sz w:val="24"/>
        </w:rPr>
        <w:t>0.23</w:t>
      </w:r>
      <w:r>
        <w:rPr>
          <w:rFonts w:hint="eastAsia" w:eastAsia="宋体"/>
          <w:sz w:val="24"/>
        </w:rPr>
        <w:t xml:space="preserve"> kV/m和 7.87</w:t>
      </w:r>
      <w:r>
        <w:rPr>
          <w:rFonts w:eastAsia="宋体"/>
          <w:snapToGrid w:val="0"/>
          <w:kern w:val="16"/>
          <w:sz w:val="24"/>
        </w:rPr>
        <w:t>μT，低于</w:t>
      </w:r>
      <w:r>
        <w:rPr>
          <w:rFonts w:eastAsia="宋体"/>
          <w:color w:val="000000" w:themeColor="text1"/>
          <w:spacing w:val="-2"/>
          <w:kern w:val="16"/>
          <w:sz w:val="24"/>
        </w:rPr>
        <w:t>4kV/m</w:t>
      </w:r>
      <w:r>
        <w:rPr>
          <w:rFonts w:hAnsi="宋体" w:eastAsia="宋体"/>
          <w:color w:val="000000" w:themeColor="text1"/>
          <w:spacing w:val="-2"/>
          <w:kern w:val="16"/>
          <w:sz w:val="24"/>
        </w:rPr>
        <w:t>和</w:t>
      </w:r>
      <w:r>
        <w:rPr>
          <w:rFonts w:eastAsia="宋体"/>
          <w:color w:val="000000" w:themeColor="text1"/>
          <w:spacing w:val="-2"/>
          <w:kern w:val="16"/>
          <w:sz w:val="24"/>
        </w:rPr>
        <w:t>0.1mT</w:t>
      </w:r>
      <w:r>
        <w:rPr>
          <w:rFonts w:eastAsia="宋体"/>
          <w:snapToGrid w:val="0"/>
          <w:kern w:val="16"/>
          <w:sz w:val="24"/>
        </w:rPr>
        <w:t>的标准要求</w:t>
      </w:r>
      <w:r>
        <w:rPr>
          <w:rFonts w:hint="eastAsia" w:eastAsia="宋体"/>
          <w:snapToGrid w:val="0"/>
          <w:kern w:val="16"/>
          <w:sz w:val="24"/>
        </w:rPr>
        <w:t>。因此预测</w:t>
      </w:r>
      <w:r>
        <w:rPr>
          <w:rFonts w:eastAsia="宋体"/>
          <w:snapToGrid w:val="0"/>
          <w:kern w:val="16"/>
          <w:sz w:val="24"/>
        </w:rPr>
        <w:t>本项目运行后敏感点</w:t>
      </w:r>
      <w:r>
        <w:rPr>
          <w:rFonts w:hint="eastAsia" w:eastAsia="宋体"/>
          <w:snapToGrid w:val="0"/>
          <w:kern w:val="16"/>
          <w:sz w:val="24"/>
        </w:rPr>
        <w:t>处</w:t>
      </w:r>
      <w:r>
        <w:rPr>
          <w:rFonts w:eastAsia="宋体"/>
          <w:snapToGrid w:val="0"/>
          <w:kern w:val="16"/>
          <w:sz w:val="24"/>
        </w:rPr>
        <w:t>的</w:t>
      </w:r>
      <w:r>
        <w:rPr>
          <w:rFonts w:hint="eastAsia" w:eastAsia="宋体"/>
          <w:snapToGrid w:val="0"/>
          <w:kern w:val="16"/>
          <w:sz w:val="24"/>
        </w:rPr>
        <w:t>工频磁感应</w:t>
      </w:r>
      <w:r>
        <w:rPr>
          <w:rFonts w:eastAsia="宋体"/>
          <w:snapToGrid w:val="0"/>
          <w:kern w:val="16"/>
          <w:sz w:val="24"/>
        </w:rPr>
        <w:t>强度能够满足标准要求。</w:t>
      </w:r>
    </w:p>
    <w:p>
      <w:pPr>
        <w:adjustRightInd w:val="0"/>
        <w:snapToGrid w:val="0"/>
        <w:spacing w:line="520" w:lineRule="exact"/>
        <w:ind w:firstLine="480" w:firstLineChars="200"/>
        <w:rPr>
          <w:rFonts w:eastAsia="宋体"/>
          <w:snapToGrid w:val="0"/>
          <w:kern w:val="16"/>
          <w:sz w:val="24"/>
        </w:rPr>
      </w:pPr>
      <w:r>
        <w:rPr>
          <w:rFonts w:hint="eastAsia" w:hAnsi="宋体" w:eastAsia="宋体"/>
          <w:kern w:val="0"/>
          <w:sz w:val="24"/>
          <w:szCs w:val="22"/>
        </w:rPr>
        <w:t>（4）间隔扩建电磁环境影响分析</w:t>
      </w:r>
    </w:p>
    <w:p>
      <w:pPr>
        <w:adjustRightInd w:val="0"/>
        <w:snapToGrid w:val="0"/>
        <w:spacing w:line="520" w:lineRule="exact"/>
        <w:ind w:firstLine="480" w:firstLineChars="200"/>
        <w:rPr>
          <w:rFonts w:eastAsia="宋体"/>
          <w:snapToGrid w:val="0"/>
          <w:kern w:val="16"/>
          <w:sz w:val="24"/>
        </w:rPr>
      </w:pPr>
      <w:r>
        <w:rPr>
          <w:rFonts w:hint="eastAsia" w:hAnsi="宋体" w:eastAsia="宋体"/>
          <w:kern w:val="0"/>
          <w:sz w:val="24"/>
          <w:szCs w:val="22"/>
        </w:rPr>
        <w:t>本项目110kV月湾变扩建一个110kV间隔，未增加主变压器，电气设备的布置与原有电气设备的布置基本一致，升压站电压等级为发生改变，故扩建后对环境的影响与升压站对环境的影响基本一致，不会增加新的影响。本期扩建完成后，扩建间隔处围墙外电磁环境水平与升压站电磁环境水平相当，扩建后的电磁环境影响亦能满足工频电场、工频磁场的相应标准。</w:t>
      </w:r>
    </w:p>
    <w:p>
      <w:pPr>
        <w:widowControl/>
        <w:adjustRightInd w:val="0"/>
        <w:snapToGrid w:val="0"/>
        <w:spacing w:line="520" w:lineRule="exact"/>
        <w:jc w:val="left"/>
        <w:rPr>
          <w:rFonts w:eastAsia="宋体"/>
          <w:b/>
          <w:kern w:val="0"/>
          <w:sz w:val="24"/>
          <w:szCs w:val="22"/>
        </w:rPr>
      </w:pPr>
      <w:r>
        <w:rPr>
          <w:rFonts w:hint="eastAsia" w:eastAsia="宋体"/>
          <w:b/>
          <w:kern w:val="0"/>
          <w:sz w:val="24"/>
          <w:szCs w:val="22"/>
        </w:rPr>
        <w:t>6电磁环境</w:t>
      </w:r>
      <w:r>
        <w:rPr>
          <w:rFonts w:eastAsia="宋体"/>
          <w:b/>
          <w:kern w:val="0"/>
          <w:sz w:val="24"/>
          <w:szCs w:val="22"/>
        </w:rPr>
        <w:t>影响评价结论</w:t>
      </w:r>
    </w:p>
    <w:p>
      <w:pPr>
        <w:adjustRightInd w:val="0"/>
        <w:snapToGrid w:val="0"/>
        <w:spacing w:line="520" w:lineRule="exact"/>
        <w:ind w:firstLine="200"/>
        <w:rPr>
          <w:rFonts w:eastAsia="宋体"/>
          <w:b/>
          <w:snapToGrid w:val="0"/>
          <w:sz w:val="24"/>
        </w:rPr>
      </w:pPr>
      <w:r>
        <w:rPr>
          <w:rFonts w:hint="eastAsia" w:eastAsia="宋体"/>
          <w:b/>
          <w:snapToGrid w:val="0"/>
          <w:sz w:val="24"/>
        </w:rPr>
        <w:t>6.1</w:t>
      </w:r>
      <w:r>
        <w:rPr>
          <w:rFonts w:eastAsia="宋体"/>
          <w:b/>
          <w:snapToGrid w:val="0"/>
          <w:sz w:val="24"/>
        </w:rPr>
        <w:t>新建</w:t>
      </w:r>
      <w:r>
        <w:rPr>
          <w:rFonts w:hint="eastAsia" w:eastAsia="宋体"/>
          <w:b/>
          <w:snapToGrid w:val="0"/>
          <w:sz w:val="24"/>
        </w:rPr>
        <w:t>110kV升压站</w:t>
      </w:r>
    </w:p>
    <w:p>
      <w:pPr>
        <w:spacing w:line="520" w:lineRule="exact"/>
        <w:ind w:firstLine="480" w:firstLineChars="200"/>
        <w:jc w:val="left"/>
        <w:rPr>
          <w:rFonts w:eastAsia="宋体"/>
          <w:sz w:val="24"/>
        </w:rPr>
      </w:pPr>
      <w:r>
        <w:rPr>
          <w:rFonts w:eastAsia="宋体"/>
          <w:sz w:val="24"/>
        </w:rPr>
        <w:t>经类比</w:t>
      </w:r>
      <w:r>
        <w:rPr>
          <w:rFonts w:hint="eastAsia" w:eastAsia="宋体"/>
          <w:color w:val="000000" w:themeColor="text1"/>
          <w:sz w:val="24"/>
        </w:rPr>
        <w:t>濮阳润丰新能源有限公司润清风电场新建 110 千伏升压站项目，</w:t>
      </w:r>
      <w:r>
        <w:rPr>
          <w:rFonts w:eastAsia="宋体"/>
          <w:sz w:val="24"/>
        </w:rPr>
        <w:t>110kV升压站建成后，站外的工频电场、工频磁感应强度将分别小于4kV/m、0.1mT，均能控制在标准限值内。</w:t>
      </w:r>
    </w:p>
    <w:p>
      <w:pPr>
        <w:spacing w:line="520" w:lineRule="exact"/>
        <w:ind w:firstLine="480" w:firstLineChars="200"/>
        <w:jc w:val="left"/>
        <w:rPr>
          <w:rFonts w:eastAsia="宋体"/>
          <w:sz w:val="24"/>
        </w:rPr>
      </w:pPr>
      <w:r>
        <w:rPr>
          <w:rFonts w:eastAsia="宋体"/>
          <w:sz w:val="24"/>
        </w:rPr>
        <w:t>根据类比监测结果及其变化规律</w:t>
      </w:r>
      <w:r>
        <w:rPr>
          <w:rFonts w:hint="eastAsia" w:eastAsia="宋体"/>
          <w:sz w:val="24"/>
        </w:rPr>
        <w:t>进行</w:t>
      </w:r>
      <w:r>
        <w:rPr>
          <w:rFonts w:eastAsia="宋体"/>
          <w:sz w:val="24"/>
        </w:rPr>
        <w:t>预测，110kV升压站本期建成投运后该敏感点的电磁环境影响因子能分别满足居民区相应评价标准。</w:t>
      </w:r>
    </w:p>
    <w:p>
      <w:pPr>
        <w:adjustRightInd w:val="0"/>
        <w:snapToGrid w:val="0"/>
        <w:spacing w:line="520" w:lineRule="exact"/>
        <w:ind w:firstLine="200"/>
        <w:rPr>
          <w:rFonts w:eastAsia="宋体"/>
          <w:b/>
          <w:snapToGrid w:val="0"/>
          <w:sz w:val="24"/>
        </w:rPr>
      </w:pPr>
      <w:r>
        <w:rPr>
          <w:rFonts w:hint="eastAsia" w:eastAsia="宋体"/>
          <w:b/>
          <w:snapToGrid w:val="0"/>
          <w:sz w:val="24"/>
        </w:rPr>
        <w:t>6.</w:t>
      </w:r>
      <w:r>
        <w:rPr>
          <w:rFonts w:eastAsia="宋体"/>
          <w:b/>
          <w:snapToGrid w:val="0"/>
          <w:sz w:val="24"/>
        </w:rPr>
        <w:t>2新建输电线路工程</w:t>
      </w:r>
    </w:p>
    <w:p>
      <w:pPr>
        <w:spacing w:line="520" w:lineRule="exact"/>
        <w:ind w:firstLine="480" w:firstLineChars="200"/>
        <w:jc w:val="left"/>
        <w:rPr>
          <w:rFonts w:eastAsia="宋体"/>
          <w:sz w:val="24"/>
        </w:rPr>
      </w:pPr>
      <w:r>
        <w:rPr>
          <w:rFonts w:eastAsia="宋体"/>
          <w:sz w:val="24"/>
        </w:rPr>
        <w:t>（1）电磁环境影响类比分析结论</w:t>
      </w:r>
    </w:p>
    <w:p>
      <w:pPr>
        <w:spacing w:line="520" w:lineRule="exact"/>
        <w:ind w:firstLine="480" w:firstLineChars="200"/>
        <w:jc w:val="left"/>
        <w:rPr>
          <w:rFonts w:eastAsia="宋体"/>
          <w:sz w:val="24"/>
        </w:rPr>
      </w:pPr>
      <w:r>
        <w:rPr>
          <w:rFonts w:eastAsia="宋体"/>
          <w:sz w:val="24"/>
        </w:rPr>
        <w:t>根据对架空线路和电缆线路类比监测结果分析可知，本工程线路投运后，其工频电场、工频磁感应强度均分别满足4kV/m、0.1mT标准限值要求。</w:t>
      </w:r>
    </w:p>
    <w:p>
      <w:pPr>
        <w:spacing w:line="520" w:lineRule="exact"/>
        <w:ind w:firstLine="480" w:firstLineChars="200"/>
        <w:jc w:val="left"/>
        <w:rPr>
          <w:rFonts w:eastAsia="宋体"/>
          <w:sz w:val="24"/>
        </w:rPr>
      </w:pPr>
      <w:r>
        <w:rPr>
          <w:rFonts w:hint="eastAsia" w:eastAsia="宋体"/>
          <w:sz w:val="24"/>
        </w:rPr>
        <w:t>（2）</w:t>
      </w:r>
      <w:r>
        <w:rPr>
          <w:rFonts w:eastAsia="宋体"/>
          <w:sz w:val="24"/>
        </w:rPr>
        <w:t>电磁环境影响模式预测结论</w:t>
      </w:r>
    </w:p>
    <w:p>
      <w:pPr>
        <w:spacing w:line="520" w:lineRule="exact"/>
        <w:ind w:firstLine="480" w:firstLineChars="200"/>
        <w:jc w:val="left"/>
        <w:rPr>
          <w:rFonts w:eastAsia="宋体"/>
          <w:sz w:val="24"/>
        </w:rPr>
      </w:pPr>
      <w:r>
        <w:rPr>
          <w:rFonts w:hint="eastAsia" w:eastAsia="宋体"/>
          <w:sz w:val="24"/>
        </w:rPr>
        <w:t>根据预测结果可知，</w:t>
      </w:r>
      <w:r>
        <w:rPr>
          <w:rFonts w:eastAsia="宋体"/>
          <w:sz w:val="24"/>
        </w:rPr>
        <w:t>本工程线路投运后，其工频电场、工频磁感应强度均分别满足4kV/m、0.1mT标准限值要求。</w:t>
      </w:r>
    </w:p>
    <w:p>
      <w:pPr>
        <w:widowControl/>
        <w:adjustRightInd w:val="0"/>
        <w:snapToGrid w:val="0"/>
        <w:spacing w:line="520" w:lineRule="exact"/>
        <w:jc w:val="left"/>
        <w:rPr>
          <w:rFonts w:eastAsia="宋体"/>
          <w:b/>
          <w:kern w:val="0"/>
          <w:sz w:val="24"/>
          <w:szCs w:val="22"/>
        </w:rPr>
      </w:pPr>
      <w:r>
        <w:rPr>
          <w:rFonts w:eastAsia="宋体"/>
          <w:b/>
          <w:kern w:val="0"/>
          <w:sz w:val="24"/>
          <w:szCs w:val="22"/>
        </w:rPr>
        <w:t>7电磁环境控制措施</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项目在设计、施工及运营期间需采用以下的防护措施，保证敏感点处的工频电场及磁场满足相应标准限值要求。</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1、设计时对升压站的电气设备进行合理布局，保证导线和电气设备的安全距离，并选用具有抗干扰能力的设备，设置防雷接地保护装置，选用带屏蔽层的电缆，屏蔽层接地等。</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2、初步设计阶段进一步优化线路路径，以尽量远离居民区为原则，当线路经过居民区时，应保证线路下相线导线与地面的距离不小于7m。</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3、配套线路采取的措施包括合理选择导线、金具及绝缘子等电气设备、设施，经过不同地区时严格按照规程设计导线对地距离、交叉跨越距离等。</w:t>
      </w:r>
    </w:p>
    <w:p>
      <w:pPr>
        <w:adjustRightInd w:val="0"/>
        <w:snapToGrid w:val="0"/>
        <w:spacing w:line="520" w:lineRule="exact"/>
        <w:ind w:firstLine="480" w:firstLineChars="200"/>
        <w:rPr>
          <w:rFonts w:eastAsia="宋体"/>
          <w:snapToGrid w:val="0"/>
          <w:kern w:val="16"/>
          <w:sz w:val="24"/>
          <w:szCs w:val="20"/>
        </w:rPr>
      </w:pPr>
      <w:r>
        <w:rPr>
          <w:rFonts w:eastAsia="宋体"/>
          <w:snapToGrid w:val="0"/>
          <w:kern w:val="16"/>
          <w:sz w:val="24"/>
          <w:szCs w:val="20"/>
        </w:rPr>
        <w:t>4、设计中选用工频电场、工频磁场水平低的设备和附件；对产生大功率的电磁振荡设备采取必要的屏蔽及设备的孔、口、门缝的链接密封措施；对高压一次设备采用均压措施。</w:t>
      </w:r>
    </w:p>
    <w:p>
      <w:pPr>
        <w:adjustRightInd w:val="0"/>
        <w:snapToGrid w:val="0"/>
        <w:spacing w:line="520" w:lineRule="exact"/>
        <w:ind w:firstLine="480" w:firstLineChars="200"/>
      </w:pPr>
      <w:r>
        <w:rPr>
          <w:rFonts w:eastAsia="宋体"/>
          <w:snapToGrid w:val="0"/>
          <w:kern w:val="16"/>
          <w:sz w:val="24"/>
          <w:szCs w:val="20"/>
        </w:rPr>
        <w:t>采取以上措施后，工程附近评价范围内居民类敏感点的电磁环境能够分别满足相应标准。</w:t>
      </w:r>
      <w:r>
        <w:t xml:space="preserve"> </w:t>
      </w:r>
    </w:p>
    <w:p>
      <w:pPr>
        <w:spacing w:line="520" w:lineRule="exact"/>
      </w:pPr>
    </w:p>
    <w:p/>
    <w:p/>
    <w:p/>
    <w:p/>
    <w:p/>
    <w:p>
      <w:pPr>
        <w:jc w:val="cente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Tahoma">
    <w:panose1 w:val="020B0604030504040204"/>
    <w:charset w:val="00"/>
    <w:family w:val="swiss"/>
    <w:pitch w:val="default"/>
    <w:sig w:usb0="E1002EFF" w:usb1="C000605B" w:usb2="00000029" w:usb3="00000000" w:csb0="200101FF" w:csb1="20280000"/>
  </w:font>
  <w:font w:name="@宋体">
    <w:panose1 w:val="02010600030101010101"/>
    <w:charset w:val="86"/>
    <w:family w:val="auto"/>
    <w:pitch w:val="default"/>
    <w:sig w:usb0="000000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14</w:t>
    </w:r>
    <w:r>
      <w:rPr>
        <w:lang w:val="zh-CN"/>
      </w:rPr>
      <w:fldChar w:fldCharType="end"/>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92E55"/>
    <w:multiLevelType w:val="multilevel"/>
    <w:tmpl w:val="3A992E55"/>
    <w:lvl w:ilvl="0" w:tentative="0">
      <w:start w:val="1"/>
      <w:numFmt w:val="decimal"/>
      <w:pStyle w:val="2"/>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C752E"/>
    <w:rsid w:val="0000200C"/>
    <w:rsid w:val="00004E2C"/>
    <w:rsid w:val="0000580A"/>
    <w:rsid w:val="00005AFD"/>
    <w:rsid w:val="00012708"/>
    <w:rsid w:val="000149B7"/>
    <w:rsid w:val="00015C54"/>
    <w:rsid w:val="00015E3E"/>
    <w:rsid w:val="00016778"/>
    <w:rsid w:val="00017DCA"/>
    <w:rsid w:val="0002142F"/>
    <w:rsid w:val="00021E14"/>
    <w:rsid w:val="00023CDA"/>
    <w:rsid w:val="00030C6A"/>
    <w:rsid w:val="0003122F"/>
    <w:rsid w:val="000330FA"/>
    <w:rsid w:val="00035FFE"/>
    <w:rsid w:val="000364C6"/>
    <w:rsid w:val="000433EB"/>
    <w:rsid w:val="00044D03"/>
    <w:rsid w:val="00044E7F"/>
    <w:rsid w:val="00045775"/>
    <w:rsid w:val="00045B00"/>
    <w:rsid w:val="00051889"/>
    <w:rsid w:val="00051BE7"/>
    <w:rsid w:val="00053BEE"/>
    <w:rsid w:val="000565E5"/>
    <w:rsid w:val="00061839"/>
    <w:rsid w:val="0006426F"/>
    <w:rsid w:val="00064B3C"/>
    <w:rsid w:val="000708E5"/>
    <w:rsid w:val="00070B62"/>
    <w:rsid w:val="00074D8D"/>
    <w:rsid w:val="000820B7"/>
    <w:rsid w:val="00090F38"/>
    <w:rsid w:val="000929A5"/>
    <w:rsid w:val="000931C9"/>
    <w:rsid w:val="00097736"/>
    <w:rsid w:val="000A0862"/>
    <w:rsid w:val="000A378D"/>
    <w:rsid w:val="000B5C02"/>
    <w:rsid w:val="000B6177"/>
    <w:rsid w:val="000B7A79"/>
    <w:rsid w:val="000C752E"/>
    <w:rsid w:val="000D4D26"/>
    <w:rsid w:val="000E1214"/>
    <w:rsid w:val="000E1B8E"/>
    <w:rsid w:val="000E2425"/>
    <w:rsid w:val="000F007B"/>
    <w:rsid w:val="000F2303"/>
    <w:rsid w:val="001002D9"/>
    <w:rsid w:val="001028E8"/>
    <w:rsid w:val="0010694A"/>
    <w:rsid w:val="001141FF"/>
    <w:rsid w:val="001158A8"/>
    <w:rsid w:val="00122AE9"/>
    <w:rsid w:val="00125534"/>
    <w:rsid w:val="00125DA6"/>
    <w:rsid w:val="00127938"/>
    <w:rsid w:val="00130F31"/>
    <w:rsid w:val="00131511"/>
    <w:rsid w:val="00131B3B"/>
    <w:rsid w:val="0013436B"/>
    <w:rsid w:val="00141BDC"/>
    <w:rsid w:val="00144DD1"/>
    <w:rsid w:val="0014771A"/>
    <w:rsid w:val="00150FF4"/>
    <w:rsid w:val="00155644"/>
    <w:rsid w:val="0016308B"/>
    <w:rsid w:val="00163B1F"/>
    <w:rsid w:val="00165EB2"/>
    <w:rsid w:val="00172432"/>
    <w:rsid w:val="00174E3F"/>
    <w:rsid w:val="00181653"/>
    <w:rsid w:val="001870E7"/>
    <w:rsid w:val="00193081"/>
    <w:rsid w:val="001A26EC"/>
    <w:rsid w:val="001A7FF9"/>
    <w:rsid w:val="001B2454"/>
    <w:rsid w:val="001B7675"/>
    <w:rsid w:val="001C1313"/>
    <w:rsid w:val="001C2CA8"/>
    <w:rsid w:val="001D179F"/>
    <w:rsid w:val="001D254F"/>
    <w:rsid w:val="001D4CD9"/>
    <w:rsid w:val="001D64D7"/>
    <w:rsid w:val="001E1F67"/>
    <w:rsid w:val="001E271B"/>
    <w:rsid w:val="001E7EB6"/>
    <w:rsid w:val="001F1907"/>
    <w:rsid w:val="001F27D6"/>
    <w:rsid w:val="00204814"/>
    <w:rsid w:val="00206AD3"/>
    <w:rsid w:val="00216212"/>
    <w:rsid w:val="00216609"/>
    <w:rsid w:val="00224B12"/>
    <w:rsid w:val="0023194E"/>
    <w:rsid w:val="00234789"/>
    <w:rsid w:val="00234DC0"/>
    <w:rsid w:val="00236F36"/>
    <w:rsid w:val="00240703"/>
    <w:rsid w:val="002469DF"/>
    <w:rsid w:val="00250278"/>
    <w:rsid w:val="00251BA4"/>
    <w:rsid w:val="002558F6"/>
    <w:rsid w:val="00262BA3"/>
    <w:rsid w:val="0026341B"/>
    <w:rsid w:val="0026597E"/>
    <w:rsid w:val="00267CA6"/>
    <w:rsid w:val="00267E90"/>
    <w:rsid w:val="0027010C"/>
    <w:rsid w:val="0027198D"/>
    <w:rsid w:val="0027444A"/>
    <w:rsid w:val="00276BB4"/>
    <w:rsid w:val="002903F1"/>
    <w:rsid w:val="00290736"/>
    <w:rsid w:val="00290E5C"/>
    <w:rsid w:val="002910D6"/>
    <w:rsid w:val="002A04CF"/>
    <w:rsid w:val="002A184A"/>
    <w:rsid w:val="002A6D8F"/>
    <w:rsid w:val="002B12AC"/>
    <w:rsid w:val="002B1EFD"/>
    <w:rsid w:val="002B3928"/>
    <w:rsid w:val="002B3D1E"/>
    <w:rsid w:val="002B69A1"/>
    <w:rsid w:val="002C2693"/>
    <w:rsid w:val="002C2EC2"/>
    <w:rsid w:val="002C4BB1"/>
    <w:rsid w:val="002C58BA"/>
    <w:rsid w:val="002C6020"/>
    <w:rsid w:val="002C620B"/>
    <w:rsid w:val="002C673C"/>
    <w:rsid w:val="002D1EB2"/>
    <w:rsid w:val="002E062D"/>
    <w:rsid w:val="002E0F10"/>
    <w:rsid w:val="002E7E6D"/>
    <w:rsid w:val="002F0747"/>
    <w:rsid w:val="002F2046"/>
    <w:rsid w:val="00304557"/>
    <w:rsid w:val="00305D74"/>
    <w:rsid w:val="00310EBF"/>
    <w:rsid w:val="003147A5"/>
    <w:rsid w:val="00320235"/>
    <w:rsid w:val="00322981"/>
    <w:rsid w:val="00323C3B"/>
    <w:rsid w:val="00327639"/>
    <w:rsid w:val="00334531"/>
    <w:rsid w:val="003372FE"/>
    <w:rsid w:val="003501EA"/>
    <w:rsid w:val="00352276"/>
    <w:rsid w:val="0035393C"/>
    <w:rsid w:val="00354C96"/>
    <w:rsid w:val="0035694F"/>
    <w:rsid w:val="003619F6"/>
    <w:rsid w:val="00362320"/>
    <w:rsid w:val="0037019E"/>
    <w:rsid w:val="00370814"/>
    <w:rsid w:val="003727D5"/>
    <w:rsid w:val="00374787"/>
    <w:rsid w:val="00375B29"/>
    <w:rsid w:val="003762A6"/>
    <w:rsid w:val="003770E5"/>
    <w:rsid w:val="00380F08"/>
    <w:rsid w:val="003833ED"/>
    <w:rsid w:val="003836C1"/>
    <w:rsid w:val="00391A6B"/>
    <w:rsid w:val="00397DCA"/>
    <w:rsid w:val="003A2A75"/>
    <w:rsid w:val="003A6C10"/>
    <w:rsid w:val="003B03A5"/>
    <w:rsid w:val="003B3B27"/>
    <w:rsid w:val="003C5498"/>
    <w:rsid w:val="003D441E"/>
    <w:rsid w:val="003E2A4B"/>
    <w:rsid w:val="003E4125"/>
    <w:rsid w:val="003E46D9"/>
    <w:rsid w:val="003E5469"/>
    <w:rsid w:val="003E5919"/>
    <w:rsid w:val="003F35DF"/>
    <w:rsid w:val="003F4783"/>
    <w:rsid w:val="003F5703"/>
    <w:rsid w:val="004004D0"/>
    <w:rsid w:val="00400864"/>
    <w:rsid w:val="00403CD2"/>
    <w:rsid w:val="00406436"/>
    <w:rsid w:val="00406843"/>
    <w:rsid w:val="00406AD1"/>
    <w:rsid w:val="00412761"/>
    <w:rsid w:val="00415A7D"/>
    <w:rsid w:val="004169F2"/>
    <w:rsid w:val="0042018A"/>
    <w:rsid w:val="00423B68"/>
    <w:rsid w:val="004330D3"/>
    <w:rsid w:val="00433F71"/>
    <w:rsid w:val="00436757"/>
    <w:rsid w:val="00454616"/>
    <w:rsid w:val="00456612"/>
    <w:rsid w:val="004620C5"/>
    <w:rsid w:val="00464853"/>
    <w:rsid w:val="00467705"/>
    <w:rsid w:val="00470446"/>
    <w:rsid w:val="004748FC"/>
    <w:rsid w:val="00482B0A"/>
    <w:rsid w:val="0048340F"/>
    <w:rsid w:val="00483835"/>
    <w:rsid w:val="004841D2"/>
    <w:rsid w:val="00493F13"/>
    <w:rsid w:val="00496CB0"/>
    <w:rsid w:val="004A0903"/>
    <w:rsid w:val="004A2428"/>
    <w:rsid w:val="004A59B2"/>
    <w:rsid w:val="004A76CC"/>
    <w:rsid w:val="004B107A"/>
    <w:rsid w:val="004B30A7"/>
    <w:rsid w:val="004B35FC"/>
    <w:rsid w:val="004B4DF1"/>
    <w:rsid w:val="004C1146"/>
    <w:rsid w:val="004C1474"/>
    <w:rsid w:val="004C198E"/>
    <w:rsid w:val="004C3F69"/>
    <w:rsid w:val="004C5CD9"/>
    <w:rsid w:val="004C5D23"/>
    <w:rsid w:val="004C6712"/>
    <w:rsid w:val="004D038B"/>
    <w:rsid w:val="004D1B6E"/>
    <w:rsid w:val="004D218E"/>
    <w:rsid w:val="004D433D"/>
    <w:rsid w:val="004E63B4"/>
    <w:rsid w:val="004F1B91"/>
    <w:rsid w:val="004F22A2"/>
    <w:rsid w:val="00503254"/>
    <w:rsid w:val="0050344D"/>
    <w:rsid w:val="00505906"/>
    <w:rsid w:val="00515600"/>
    <w:rsid w:val="00517A44"/>
    <w:rsid w:val="00517D00"/>
    <w:rsid w:val="0052561A"/>
    <w:rsid w:val="00526C82"/>
    <w:rsid w:val="00533AED"/>
    <w:rsid w:val="00533F36"/>
    <w:rsid w:val="00534620"/>
    <w:rsid w:val="00544840"/>
    <w:rsid w:val="00547830"/>
    <w:rsid w:val="00550AAF"/>
    <w:rsid w:val="0055106B"/>
    <w:rsid w:val="005535DB"/>
    <w:rsid w:val="00557618"/>
    <w:rsid w:val="0056406B"/>
    <w:rsid w:val="00567705"/>
    <w:rsid w:val="005679D9"/>
    <w:rsid w:val="00567A2A"/>
    <w:rsid w:val="00567E75"/>
    <w:rsid w:val="005714F8"/>
    <w:rsid w:val="00571570"/>
    <w:rsid w:val="00574631"/>
    <w:rsid w:val="00577113"/>
    <w:rsid w:val="005801AE"/>
    <w:rsid w:val="00581496"/>
    <w:rsid w:val="00584978"/>
    <w:rsid w:val="005852B9"/>
    <w:rsid w:val="005A4D11"/>
    <w:rsid w:val="005A4E56"/>
    <w:rsid w:val="005A5ED9"/>
    <w:rsid w:val="005B2877"/>
    <w:rsid w:val="005B4D32"/>
    <w:rsid w:val="005B64C3"/>
    <w:rsid w:val="005C447D"/>
    <w:rsid w:val="005C7201"/>
    <w:rsid w:val="005D15F8"/>
    <w:rsid w:val="005D652D"/>
    <w:rsid w:val="005D7D77"/>
    <w:rsid w:val="005E2D3A"/>
    <w:rsid w:val="005E72DB"/>
    <w:rsid w:val="005F004D"/>
    <w:rsid w:val="005F4200"/>
    <w:rsid w:val="005F61D3"/>
    <w:rsid w:val="005F702C"/>
    <w:rsid w:val="005F7B30"/>
    <w:rsid w:val="005F7FFC"/>
    <w:rsid w:val="006002C1"/>
    <w:rsid w:val="00600A8F"/>
    <w:rsid w:val="00602910"/>
    <w:rsid w:val="006030FB"/>
    <w:rsid w:val="00605A4C"/>
    <w:rsid w:val="00610F2E"/>
    <w:rsid w:val="006120F3"/>
    <w:rsid w:val="0061214F"/>
    <w:rsid w:val="006147E5"/>
    <w:rsid w:val="006152F8"/>
    <w:rsid w:val="00624198"/>
    <w:rsid w:val="006254BA"/>
    <w:rsid w:val="00627EC6"/>
    <w:rsid w:val="00630516"/>
    <w:rsid w:val="006328AB"/>
    <w:rsid w:val="006330B6"/>
    <w:rsid w:val="00636A09"/>
    <w:rsid w:val="00640C37"/>
    <w:rsid w:val="00646DD8"/>
    <w:rsid w:val="006524E5"/>
    <w:rsid w:val="00652C57"/>
    <w:rsid w:val="00652DF7"/>
    <w:rsid w:val="00655110"/>
    <w:rsid w:val="00663218"/>
    <w:rsid w:val="00664766"/>
    <w:rsid w:val="00665E84"/>
    <w:rsid w:val="00666395"/>
    <w:rsid w:val="006776C7"/>
    <w:rsid w:val="00681D53"/>
    <w:rsid w:val="006821BD"/>
    <w:rsid w:val="006843CE"/>
    <w:rsid w:val="006867F3"/>
    <w:rsid w:val="0068759C"/>
    <w:rsid w:val="00687F3A"/>
    <w:rsid w:val="006A09F8"/>
    <w:rsid w:val="006A2A97"/>
    <w:rsid w:val="006A3CEE"/>
    <w:rsid w:val="006A7ED1"/>
    <w:rsid w:val="006B0D36"/>
    <w:rsid w:val="006B19FF"/>
    <w:rsid w:val="006B1ECD"/>
    <w:rsid w:val="006B3EEF"/>
    <w:rsid w:val="006B472E"/>
    <w:rsid w:val="006B48CE"/>
    <w:rsid w:val="006B6CB8"/>
    <w:rsid w:val="006B731C"/>
    <w:rsid w:val="006C1D1B"/>
    <w:rsid w:val="006C1DC2"/>
    <w:rsid w:val="006C3ECD"/>
    <w:rsid w:val="006C494F"/>
    <w:rsid w:val="006C51FE"/>
    <w:rsid w:val="006C5899"/>
    <w:rsid w:val="006C65F5"/>
    <w:rsid w:val="006C6C86"/>
    <w:rsid w:val="006D50B7"/>
    <w:rsid w:val="006D70FB"/>
    <w:rsid w:val="006D7FBB"/>
    <w:rsid w:val="006E0B19"/>
    <w:rsid w:val="006E5D6C"/>
    <w:rsid w:val="006E7639"/>
    <w:rsid w:val="006F07D6"/>
    <w:rsid w:val="006F36C8"/>
    <w:rsid w:val="00700FC8"/>
    <w:rsid w:val="00701BE5"/>
    <w:rsid w:val="00703A7F"/>
    <w:rsid w:val="007131A2"/>
    <w:rsid w:val="007132C2"/>
    <w:rsid w:val="00714E4A"/>
    <w:rsid w:val="00716076"/>
    <w:rsid w:val="00721595"/>
    <w:rsid w:val="007221DD"/>
    <w:rsid w:val="00730757"/>
    <w:rsid w:val="0073098B"/>
    <w:rsid w:val="00731A26"/>
    <w:rsid w:val="00734BA9"/>
    <w:rsid w:val="007401A5"/>
    <w:rsid w:val="00741648"/>
    <w:rsid w:val="007448E5"/>
    <w:rsid w:val="00751DA1"/>
    <w:rsid w:val="007568A8"/>
    <w:rsid w:val="00761340"/>
    <w:rsid w:val="007613BB"/>
    <w:rsid w:val="007720E9"/>
    <w:rsid w:val="00776ADA"/>
    <w:rsid w:val="00776DDE"/>
    <w:rsid w:val="00780B09"/>
    <w:rsid w:val="00790978"/>
    <w:rsid w:val="00794BDB"/>
    <w:rsid w:val="00796353"/>
    <w:rsid w:val="00797ED0"/>
    <w:rsid w:val="007A1B84"/>
    <w:rsid w:val="007A3DD0"/>
    <w:rsid w:val="007A6719"/>
    <w:rsid w:val="007B0467"/>
    <w:rsid w:val="007B1154"/>
    <w:rsid w:val="007B4381"/>
    <w:rsid w:val="007B46D7"/>
    <w:rsid w:val="007C01B2"/>
    <w:rsid w:val="007C5644"/>
    <w:rsid w:val="007D2340"/>
    <w:rsid w:val="007D7FA0"/>
    <w:rsid w:val="007E1026"/>
    <w:rsid w:val="007E53B5"/>
    <w:rsid w:val="007E5DAE"/>
    <w:rsid w:val="007F0B61"/>
    <w:rsid w:val="007F158C"/>
    <w:rsid w:val="007F24C3"/>
    <w:rsid w:val="007F2C00"/>
    <w:rsid w:val="007F504A"/>
    <w:rsid w:val="007F7244"/>
    <w:rsid w:val="00803C44"/>
    <w:rsid w:val="00805397"/>
    <w:rsid w:val="00807BF6"/>
    <w:rsid w:val="00807CAD"/>
    <w:rsid w:val="00811383"/>
    <w:rsid w:val="0081475F"/>
    <w:rsid w:val="00816885"/>
    <w:rsid w:val="00822E25"/>
    <w:rsid w:val="00824341"/>
    <w:rsid w:val="00824D35"/>
    <w:rsid w:val="008258CD"/>
    <w:rsid w:val="008261FB"/>
    <w:rsid w:val="008318AB"/>
    <w:rsid w:val="00831BF9"/>
    <w:rsid w:val="00833B4D"/>
    <w:rsid w:val="008342AF"/>
    <w:rsid w:val="00836CF6"/>
    <w:rsid w:val="00840F7D"/>
    <w:rsid w:val="0084478B"/>
    <w:rsid w:val="0085344C"/>
    <w:rsid w:val="0085369C"/>
    <w:rsid w:val="00855042"/>
    <w:rsid w:val="00856812"/>
    <w:rsid w:val="0086133F"/>
    <w:rsid w:val="00861E9E"/>
    <w:rsid w:val="00864681"/>
    <w:rsid w:val="00866225"/>
    <w:rsid w:val="00866A0B"/>
    <w:rsid w:val="00872871"/>
    <w:rsid w:val="00875C4B"/>
    <w:rsid w:val="00876A7B"/>
    <w:rsid w:val="0087742A"/>
    <w:rsid w:val="00880551"/>
    <w:rsid w:val="00880E4B"/>
    <w:rsid w:val="008826F2"/>
    <w:rsid w:val="00883A04"/>
    <w:rsid w:val="00884DD9"/>
    <w:rsid w:val="00885853"/>
    <w:rsid w:val="00890F63"/>
    <w:rsid w:val="008A0AAC"/>
    <w:rsid w:val="008A3890"/>
    <w:rsid w:val="008A6FDC"/>
    <w:rsid w:val="008A71CD"/>
    <w:rsid w:val="008B2D04"/>
    <w:rsid w:val="008B3E6B"/>
    <w:rsid w:val="008B440B"/>
    <w:rsid w:val="008B4F6E"/>
    <w:rsid w:val="008B66EB"/>
    <w:rsid w:val="008B70F4"/>
    <w:rsid w:val="008C1C0A"/>
    <w:rsid w:val="008C37D0"/>
    <w:rsid w:val="008C7610"/>
    <w:rsid w:val="008D7984"/>
    <w:rsid w:val="008E2021"/>
    <w:rsid w:val="008E6460"/>
    <w:rsid w:val="008E797C"/>
    <w:rsid w:val="008E7AB7"/>
    <w:rsid w:val="008F3598"/>
    <w:rsid w:val="008F3DCE"/>
    <w:rsid w:val="00904455"/>
    <w:rsid w:val="00907383"/>
    <w:rsid w:val="00911C84"/>
    <w:rsid w:val="00917BFE"/>
    <w:rsid w:val="009213BE"/>
    <w:rsid w:val="00921818"/>
    <w:rsid w:val="00923F0B"/>
    <w:rsid w:val="00927DF8"/>
    <w:rsid w:val="00931CBB"/>
    <w:rsid w:val="00934BCE"/>
    <w:rsid w:val="009367EA"/>
    <w:rsid w:val="00936CDA"/>
    <w:rsid w:val="009407CE"/>
    <w:rsid w:val="00943D32"/>
    <w:rsid w:val="00944725"/>
    <w:rsid w:val="00960CB7"/>
    <w:rsid w:val="009617A3"/>
    <w:rsid w:val="00962969"/>
    <w:rsid w:val="009647CA"/>
    <w:rsid w:val="00967230"/>
    <w:rsid w:val="00970112"/>
    <w:rsid w:val="009730D1"/>
    <w:rsid w:val="00973B7D"/>
    <w:rsid w:val="00976CE5"/>
    <w:rsid w:val="00982BEC"/>
    <w:rsid w:val="009836AF"/>
    <w:rsid w:val="0098769B"/>
    <w:rsid w:val="009879CF"/>
    <w:rsid w:val="00992178"/>
    <w:rsid w:val="00992B7C"/>
    <w:rsid w:val="00992C0E"/>
    <w:rsid w:val="00993472"/>
    <w:rsid w:val="00993E27"/>
    <w:rsid w:val="009963B8"/>
    <w:rsid w:val="00996E05"/>
    <w:rsid w:val="009974EA"/>
    <w:rsid w:val="00997778"/>
    <w:rsid w:val="009A0541"/>
    <w:rsid w:val="009A60AE"/>
    <w:rsid w:val="009A7AAD"/>
    <w:rsid w:val="009B1899"/>
    <w:rsid w:val="009B2A80"/>
    <w:rsid w:val="009B43AF"/>
    <w:rsid w:val="009B7C55"/>
    <w:rsid w:val="009C0BFE"/>
    <w:rsid w:val="009C67C3"/>
    <w:rsid w:val="009D4411"/>
    <w:rsid w:val="009E1DED"/>
    <w:rsid w:val="009E1ECB"/>
    <w:rsid w:val="009E299A"/>
    <w:rsid w:val="009E4F5C"/>
    <w:rsid w:val="009E6B68"/>
    <w:rsid w:val="009F12AD"/>
    <w:rsid w:val="009F2FB0"/>
    <w:rsid w:val="009F66A2"/>
    <w:rsid w:val="009F78B5"/>
    <w:rsid w:val="009F7F82"/>
    <w:rsid w:val="00A01415"/>
    <w:rsid w:val="00A03FD1"/>
    <w:rsid w:val="00A0462D"/>
    <w:rsid w:val="00A0623F"/>
    <w:rsid w:val="00A07C78"/>
    <w:rsid w:val="00A122F1"/>
    <w:rsid w:val="00A1689D"/>
    <w:rsid w:val="00A21236"/>
    <w:rsid w:val="00A22733"/>
    <w:rsid w:val="00A22B64"/>
    <w:rsid w:val="00A250FD"/>
    <w:rsid w:val="00A27D89"/>
    <w:rsid w:val="00A32842"/>
    <w:rsid w:val="00A37A99"/>
    <w:rsid w:val="00A37B40"/>
    <w:rsid w:val="00A5234B"/>
    <w:rsid w:val="00A52C31"/>
    <w:rsid w:val="00A52F92"/>
    <w:rsid w:val="00A56B4C"/>
    <w:rsid w:val="00A6025F"/>
    <w:rsid w:val="00A60E7D"/>
    <w:rsid w:val="00A61A2F"/>
    <w:rsid w:val="00A6437E"/>
    <w:rsid w:val="00A64F0A"/>
    <w:rsid w:val="00A730C4"/>
    <w:rsid w:val="00A809A6"/>
    <w:rsid w:val="00A81B5C"/>
    <w:rsid w:val="00A860EF"/>
    <w:rsid w:val="00A92027"/>
    <w:rsid w:val="00A9235A"/>
    <w:rsid w:val="00A95CF6"/>
    <w:rsid w:val="00AA4780"/>
    <w:rsid w:val="00AA580A"/>
    <w:rsid w:val="00AA748F"/>
    <w:rsid w:val="00AA7A8B"/>
    <w:rsid w:val="00AA7CAB"/>
    <w:rsid w:val="00AB11FB"/>
    <w:rsid w:val="00AB3F94"/>
    <w:rsid w:val="00AB5BBB"/>
    <w:rsid w:val="00AC234B"/>
    <w:rsid w:val="00AC3CF3"/>
    <w:rsid w:val="00AD230D"/>
    <w:rsid w:val="00AD2FE2"/>
    <w:rsid w:val="00AD4123"/>
    <w:rsid w:val="00AD6965"/>
    <w:rsid w:val="00AE3130"/>
    <w:rsid w:val="00AE3E3A"/>
    <w:rsid w:val="00AE434E"/>
    <w:rsid w:val="00AE5005"/>
    <w:rsid w:val="00AE5B79"/>
    <w:rsid w:val="00AF1CA6"/>
    <w:rsid w:val="00AF4610"/>
    <w:rsid w:val="00B04541"/>
    <w:rsid w:val="00B04C0F"/>
    <w:rsid w:val="00B058ED"/>
    <w:rsid w:val="00B06E15"/>
    <w:rsid w:val="00B12CFE"/>
    <w:rsid w:val="00B16ECD"/>
    <w:rsid w:val="00B24911"/>
    <w:rsid w:val="00B24D72"/>
    <w:rsid w:val="00B25DD6"/>
    <w:rsid w:val="00B312B1"/>
    <w:rsid w:val="00B31A3B"/>
    <w:rsid w:val="00B339E1"/>
    <w:rsid w:val="00B34967"/>
    <w:rsid w:val="00B3499A"/>
    <w:rsid w:val="00B3609E"/>
    <w:rsid w:val="00B37452"/>
    <w:rsid w:val="00B40588"/>
    <w:rsid w:val="00B53074"/>
    <w:rsid w:val="00B53639"/>
    <w:rsid w:val="00B55A11"/>
    <w:rsid w:val="00B5754F"/>
    <w:rsid w:val="00B6222C"/>
    <w:rsid w:val="00B70E1B"/>
    <w:rsid w:val="00B71754"/>
    <w:rsid w:val="00B74B45"/>
    <w:rsid w:val="00B81771"/>
    <w:rsid w:val="00B82BA9"/>
    <w:rsid w:val="00B86154"/>
    <w:rsid w:val="00B9007B"/>
    <w:rsid w:val="00B951DD"/>
    <w:rsid w:val="00B96B81"/>
    <w:rsid w:val="00BA07A6"/>
    <w:rsid w:val="00BA081A"/>
    <w:rsid w:val="00BA0CA7"/>
    <w:rsid w:val="00BA1525"/>
    <w:rsid w:val="00BA5034"/>
    <w:rsid w:val="00BB0CD1"/>
    <w:rsid w:val="00BB0E56"/>
    <w:rsid w:val="00BB3801"/>
    <w:rsid w:val="00BB3AA7"/>
    <w:rsid w:val="00BB44D4"/>
    <w:rsid w:val="00BB56F0"/>
    <w:rsid w:val="00BC02FA"/>
    <w:rsid w:val="00BC05CE"/>
    <w:rsid w:val="00BC3BFF"/>
    <w:rsid w:val="00BC4C5D"/>
    <w:rsid w:val="00BC4C7E"/>
    <w:rsid w:val="00BD14BE"/>
    <w:rsid w:val="00BD4D98"/>
    <w:rsid w:val="00BD5525"/>
    <w:rsid w:val="00BD5E03"/>
    <w:rsid w:val="00BE0392"/>
    <w:rsid w:val="00BE2F0B"/>
    <w:rsid w:val="00BE3348"/>
    <w:rsid w:val="00BE58F4"/>
    <w:rsid w:val="00BE7ECD"/>
    <w:rsid w:val="00BF1280"/>
    <w:rsid w:val="00BF335B"/>
    <w:rsid w:val="00BF3DEE"/>
    <w:rsid w:val="00BF3F52"/>
    <w:rsid w:val="00BF71C8"/>
    <w:rsid w:val="00C05860"/>
    <w:rsid w:val="00C07226"/>
    <w:rsid w:val="00C07545"/>
    <w:rsid w:val="00C07CE8"/>
    <w:rsid w:val="00C10ACF"/>
    <w:rsid w:val="00C129B2"/>
    <w:rsid w:val="00C142B1"/>
    <w:rsid w:val="00C201D4"/>
    <w:rsid w:val="00C265EE"/>
    <w:rsid w:val="00C26C57"/>
    <w:rsid w:val="00C37909"/>
    <w:rsid w:val="00C56DB1"/>
    <w:rsid w:val="00C61ABB"/>
    <w:rsid w:val="00C67DF9"/>
    <w:rsid w:val="00C72AF8"/>
    <w:rsid w:val="00C747A8"/>
    <w:rsid w:val="00C753D7"/>
    <w:rsid w:val="00C75A99"/>
    <w:rsid w:val="00C76718"/>
    <w:rsid w:val="00C81041"/>
    <w:rsid w:val="00C810E9"/>
    <w:rsid w:val="00C826F1"/>
    <w:rsid w:val="00C85828"/>
    <w:rsid w:val="00C92772"/>
    <w:rsid w:val="00C92F29"/>
    <w:rsid w:val="00C9661C"/>
    <w:rsid w:val="00CA3102"/>
    <w:rsid w:val="00CB2EF4"/>
    <w:rsid w:val="00CB558C"/>
    <w:rsid w:val="00CB63AA"/>
    <w:rsid w:val="00CB6981"/>
    <w:rsid w:val="00CC19EC"/>
    <w:rsid w:val="00CC349F"/>
    <w:rsid w:val="00CD0063"/>
    <w:rsid w:val="00CD425A"/>
    <w:rsid w:val="00CE1418"/>
    <w:rsid w:val="00CE2301"/>
    <w:rsid w:val="00CE3CFC"/>
    <w:rsid w:val="00CE4134"/>
    <w:rsid w:val="00CE7AA7"/>
    <w:rsid w:val="00CE7E79"/>
    <w:rsid w:val="00CF08C0"/>
    <w:rsid w:val="00CF693B"/>
    <w:rsid w:val="00D00BFE"/>
    <w:rsid w:val="00D036EE"/>
    <w:rsid w:val="00D05C0F"/>
    <w:rsid w:val="00D07E71"/>
    <w:rsid w:val="00D10453"/>
    <w:rsid w:val="00D11ABF"/>
    <w:rsid w:val="00D14155"/>
    <w:rsid w:val="00D15950"/>
    <w:rsid w:val="00D16309"/>
    <w:rsid w:val="00D20859"/>
    <w:rsid w:val="00D23523"/>
    <w:rsid w:val="00D30C3E"/>
    <w:rsid w:val="00D353DC"/>
    <w:rsid w:val="00D356EE"/>
    <w:rsid w:val="00D35CF9"/>
    <w:rsid w:val="00D36267"/>
    <w:rsid w:val="00D36447"/>
    <w:rsid w:val="00D373B2"/>
    <w:rsid w:val="00D42396"/>
    <w:rsid w:val="00D53F6B"/>
    <w:rsid w:val="00D565B1"/>
    <w:rsid w:val="00D61C10"/>
    <w:rsid w:val="00D64F55"/>
    <w:rsid w:val="00D66CF7"/>
    <w:rsid w:val="00D6797A"/>
    <w:rsid w:val="00D7273A"/>
    <w:rsid w:val="00D73CDC"/>
    <w:rsid w:val="00D76FD0"/>
    <w:rsid w:val="00D77EA2"/>
    <w:rsid w:val="00D826D8"/>
    <w:rsid w:val="00D84165"/>
    <w:rsid w:val="00D93729"/>
    <w:rsid w:val="00D9476C"/>
    <w:rsid w:val="00D9481E"/>
    <w:rsid w:val="00D95A4B"/>
    <w:rsid w:val="00D95F98"/>
    <w:rsid w:val="00D95FE9"/>
    <w:rsid w:val="00DA2B39"/>
    <w:rsid w:val="00DA2B56"/>
    <w:rsid w:val="00DA4C89"/>
    <w:rsid w:val="00DA56C4"/>
    <w:rsid w:val="00DA5780"/>
    <w:rsid w:val="00DB1B75"/>
    <w:rsid w:val="00DC1D91"/>
    <w:rsid w:val="00DC41C6"/>
    <w:rsid w:val="00DD14D8"/>
    <w:rsid w:val="00DD199E"/>
    <w:rsid w:val="00DD1CAA"/>
    <w:rsid w:val="00DD1D7F"/>
    <w:rsid w:val="00DD2288"/>
    <w:rsid w:val="00DD328F"/>
    <w:rsid w:val="00DD46F6"/>
    <w:rsid w:val="00DD6792"/>
    <w:rsid w:val="00DD7C35"/>
    <w:rsid w:val="00DE10D6"/>
    <w:rsid w:val="00DE3BC9"/>
    <w:rsid w:val="00E05493"/>
    <w:rsid w:val="00E17CD5"/>
    <w:rsid w:val="00E20D9E"/>
    <w:rsid w:val="00E26849"/>
    <w:rsid w:val="00E26D4C"/>
    <w:rsid w:val="00E32A06"/>
    <w:rsid w:val="00E3452D"/>
    <w:rsid w:val="00E463C0"/>
    <w:rsid w:val="00E47F7D"/>
    <w:rsid w:val="00E5723C"/>
    <w:rsid w:val="00E57504"/>
    <w:rsid w:val="00E62638"/>
    <w:rsid w:val="00E66CF8"/>
    <w:rsid w:val="00E705BA"/>
    <w:rsid w:val="00E71C68"/>
    <w:rsid w:val="00E72278"/>
    <w:rsid w:val="00E729B5"/>
    <w:rsid w:val="00E73330"/>
    <w:rsid w:val="00E84397"/>
    <w:rsid w:val="00E862E3"/>
    <w:rsid w:val="00E901A5"/>
    <w:rsid w:val="00E91E06"/>
    <w:rsid w:val="00E9296F"/>
    <w:rsid w:val="00E92F87"/>
    <w:rsid w:val="00E9348B"/>
    <w:rsid w:val="00EA2340"/>
    <w:rsid w:val="00EA64DD"/>
    <w:rsid w:val="00EA7459"/>
    <w:rsid w:val="00EB4784"/>
    <w:rsid w:val="00EC01F9"/>
    <w:rsid w:val="00EC01FF"/>
    <w:rsid w:val="00EC1C42"/>
    <w:rsid w:val="00EC3CCD"/>
    <w:rsid w:val="00EC4BCD"/>
    <w:rsid w:val="00EC71EF"/>
    <w:rsid w:val="00ED0DDC"/>
    <w:rsid w:val="00ED5C2A"/>
    <w:rsid w:val="00EE5F73"/>
    <w:rsid w:val="00EF0CD2"/>
    <w:rsid w:val="00EF2C65"/>
    <w:rsid w:val="00EF72F5"/>
    <w:rsid w:val="00F0352D"/>
    <w:rsid w:val="00F03BB1"/>
    <w:rsid w:val="00F0423B"/>
    <w:rsid w:val="00F061C2"/>
    <w:rsid w:val="00F06E2F"/>
    <w:rsid w:val="00F14355"/>
    <w:rsid w:val="00F14EA1"/>
    <w:rsid w:val="00F21E55"/>
    <w:rsid w:val="00F23282"/>
    <w:rsid w:val="00F25699"/>
    <w:rsid w:val="00F266DF"/>
    <w:rsid w:val="00F27B07"/>
    <w:rsid w:val="00F340BE"/>
    <w:rsid w:val="00F342DB"/>
    <w:rsid w:val="00F351B5"/>
    <w:rsid w:val="00F35993"/>
    <w:rsid w:val="00F3709A"/>
    <w:rsid w:val="00F3734C"/>
    <w:rsid w:val="00F52F20"/>
    <w:rsid w:val="00F56C89"/>
    <w:rsid w:val="00F56DD5"/>
    <w:rsid w:val="00F652B7"/>
    <w:rsid w:val="00F75265"/>
    <w:rsid w:val="00F769F8"/>
    <w:rsid w:val="00F76BE0"/>
    <w:rsid w:val="00F76F13"/>
    <w:rsid w:val="00F8149A"/>
    <w:rsid w:val="00F827E0"/>
    <w:rsid w:val="00F87C13"/>
    <w:rsid w:val="00F94F7F"/>
    <w:rsid w:val="00F973F7"/>
    <w:rsid w:val="00F97889"/>
    <w:rsid w:val="00F97BE9"/>
    <w:rsid w:val="00FA1DFB"/>
    <w:rsid w:val="00FB42CC"/>
    <w:rsid w:val="00FB4645"/>
    <w:rsid w:val="00FB528D"/>
    <w:rsid w:val="00FB65E7"/>
    <w:rsid w:val="00FB68EE"/>
    <w:rsid w:val="00FC02AB"/>
    <w:rsid w:val="00FC038B"/>
    <w:rsid w:val="00FC334B"/>
    <w:rsid w:val="00FD2BBD"/>
    <w:rsid w:val="00FD4042"/>
    <w:rsid w:val="00FD5557"/>
    <w:rsid w:val="00FD7581"/>
    <w:rsid w:val="00FE19A1"/>
    <w:rsid w:val="00FE38A2"/>
    <w:rsid w:val="00FE4E88"/>
    <w:rsid w:val="00FE7A0A"/>
    <w:rsid w:val="00FF03D3"/>
    <w:rsid w:val="00FF0E28"/>
    <w:rsid w:val="00FF1688"/>
    <w:rsid w:val="00FF2E9A"/>
    <w:rsid w:val="00FF5394"/>
    <w:rsid w:val="00FF5773"/>
    <w:rsid w:val="33D1644A"/>
    <w:rsid w:val="670C1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296"/>
        <o:r id="V:Rule2" type="connector" idref="#AutoShape 57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styleId="2">
    <w:name w:val="heading 1"/>
    <w:basedOn w:val="1"/>
    <w:next w:val="1"/>
    <w:link w:val="32"/>
    <w:qFormat/>
    <w:uiPriority w:val="0"/>
    <w:pPr>
      <w:keepNext/>
      <w:keepLines/>
      <w:numPr>
        <w:ilvl w:val="0"/>
        <w:numId w:val="1"/>
      </w:numPr>
      <w:spacing w:before="340" w:after="330" w:line="578" w:lineRule="auto"/>
      <w:outlineLvl w:val="0"/>
    </w:pPr>
    <w:rPr>
      <w:b/>
      <w:bCs/>
      <w:kern w:val="44"/>
      <w:sz w:val="44"/>
      <w:szCs w:val="44"/>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semiHidden/>
    <w:unhideWhenUsed/>
    <w:qFormat/>
    <w:uiPriority w:val="99"/>
    <w:pPr>
      <w:ind w:firstLine="420" w:firstLineChars="200"/>
    </w:pPr>
  </w:style>
  <w:style w:type="paragraph" w:styleId="4">
    <w:name w:val="caption"/>
    <w:basedOn w:val="1"/>
    <w:next w:val="1"/>
    <w:link w:val="23"/>
    <w:qFormat/>
    <w:uiPriority w:val="0"/>
    <w:rPr>
      <w:rFonts w:ascii="Arial" w:hAnsi="Arial" w:eastAsia="黑体"/>
      <w:sz w:val="20"/>
      <w:szCs w:val="20"/>
    </w:rPr>
  </w:style>
  <w:style w:type="paragraph" w:styleId="5">
    <w:name w:val="Document Map"/>
    <w:basedOn w:val="1"/>
    <w:link w:val="33"/>
    <w:semiHidden/>
    <w:unhideWhenUsed/>
    <w:qFormat/>
    <w:uiPriority w:val="99"/>
    <w:rPr>
      <w:rFonts w:ascii="宋体" w:eastAsia="宋体"/>
      <w:sz w:val="18"/>
      <w:szCs w:val="18"/>
    </w:rPr>
  </w:style>
  <w:style w:type="paragraph" w:styleId="6">
    <w:name w:val="Body Text"/>
    <w:basedOn w:val="1"/>
    <w:link w:val="26"/>
    <w:semiHidden/>
    <w:unhideWhenUsed/>
    <w:qFormat/>
    <w:uiPriority w:val="99"/>
    <w:pPr>
      <w:spacing w:after="120"/>
    </w:pPr>
  </w:style>
  <w:style w:type="paragraph" w:styleId="7">
    <w:name w:val="Body Text Indent"/>
    <w:basedOn w:val="1"/>
    <w:link w:val="29"/>
    <w:semiHidden/>
    <w:unhideWhenUsed/>
    <w:qFormat/>
    <w:uiPriority w:val="99"/>
    <w:pPr>
      <w:spacing w:after="120"/>
      <w:ind w:left="420" w:leftChars="200"/>
    </w:pPr>
  </w:style>
  <w:style w:type="paragraph" w:styleId="8">
    <w:name w:val="Body Text Indent 2"/>
    <w:basedOn w:val="1"/>
    <w:link w:val="36"/>
    <w:semiHidden/>
    <w:unhideWhenUsed/>
    <w:qFormat/>
    <w:uiPriority w:val="99"/>
    <w:pPr>
      <w:spacing w:after="120" w:line="480" w:lineRule="auto"/>
      <w:ind w:left="420" w:leftChars="200"/>
    </w:pPr>
  </w:style>
  <w:style w:type="paragraph" w:styleId="9">
    <w:name w:val="Balloon Text"/>
    <w:basedOn w:val="1"/>
    <w:link w:val="34"/>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4">
    <w:name w:val="Title"/>
    <w:basedOn w:val="1"/>
    <w:link w:val="31"/>
    <w:qFormat/>
    <w:uiPriority w:val="0"/>
    <w:pPr>
      <w:spacing w:before="240" w:after="60"/>
      <w:jc w:val="center"/>
      <w:outlineLvl w:val="0"/>
    </w:pPr>
    <w:rPr>
      <w:rFonts w:ascii="Arial" w:hAnsi="Arial"/>
      <w:b/>
      <w:bCs/>
      <w:sz w:val="32"/>
      <w:szCs w:val="32"/>
    </w:rPr>
  </w:style>
  <w:style w:type="table" w:styleId="16">
    <w:name w:val="Table Grid"/>
    <w:basedOn w:val="15"/>
    <w:qFormat/>
    <w:uiPriority w:val="9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qFormat/>
    <w:uiPriority w:val="99"/>
    <w:rPr>
      <w:color w:val="0000FF"/>
      <w:u w:val="single"/>
    </w:rPr>
  </w:style>
  <w:style w:type="paragraph" w:customStyle="1" w:styleId="19">
    <w:name w:val="表格"/>
    <w:basedOn w:val="4"/>
    <w:link w:val="27"/>
    <w:qFormat/>
    <w:uiPriority w:val="0"/>
    <w:pPr>
      <w:adjustRightInd w:val="0"/>
      <w:snapToGrid w:val="0"/>
      <w:spacing w:before="100" w:beforeAutospacing="1" w:after="100" w:afterAutospacing="1" w:line="360" w:lineRule="auto"/>
      <w:jc w:val="center"/>
    </w:pPr>
    <w:rPr>
      <w:rFonts w:eastAsia="宋体"/>
      <w:kern w:val="0"/>
      <w:sz w:val="21"/>
      <w:szCs w:val="21"/>
    </w:rPr>
  </w:style>
  <w:style w:type="character" w:customStyle="1" w:styleId="20">
    <w:name w:val="页眉 Char"/>
    <w:basedOn w:val="17"/>
    <w:link w:val="11"/>
    <w:semiHidden/>
    <w:qFormat/>
    <w:uiPriority w:val="99"/>
    <w:rPr>
      <w:sz w:val="18"/>
      <w:szCs w:val="18"/>
    </w:rPr>
  </w:style>
  <w:style w:type="character" w:customStyle="1" w:styleId="21">
    <w:name w:val="页脚 Char"/>
    <w:basedOn w:val="17"/>
    <w:link w:val="10"/>
    <w:qFormat/>
    <w:uiPriority w:val="99"/>
    <w:rPr>
      <w:sz w:val="18"/>
      <w:szCs w:val="18"/>
    </w:rPr>
  </w:style>
  <w:style w:type="paragraph" w:customStyle="1" w:styleId="22">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3">
    <w:name w:val="题注 Char"/>
    <w:link w:val="4"/>
    <w:uiPriority w:val="0"/>
    <w:rPr>
      <w:rFonts w:ascii="Arial" w:hAnsi="Arial" w:eastAsia="黑体" w:cs="Arial"/>
      <w:kern w:val="2"/>
    </w:rPr>
  </w:style>
  <w:style w:type="character" w:customStyle="1" w:styleId="24">
    <w:name w:val="表格文字 Char"/>
    <w:link w:val="25"/>
    <w:uiPriority w:val="0"/>
    <w:rPr>
      <w:rFonts w:ascii="宋体" w:hAnsi="宋体"/>
      <w:sz w:val="21"/>
    </w:rPr>
  </w:style>
  <w:style w:type="paragraph" w:customStyle="1" w:styleId="25">
    <w:name w:val="表格文字"/>
    <w:basedOn w:val="6"/>
    <w:next w:val="1"/>
    <w:link w:val="24"/>
    <w:qFormat/>
    <w:uiPriority w:val="0"/>
    <w:pPr>
      <w:tabs>
        <w:tab w:val="left" w:pos="3720"/>
      </w:tabs>
      <w:autoSpaceDE w:val="0"/>
      <w:autoSpaceDN w:val="0"/>
      <w:adjustRightInd w:val="0"/>
      <w:spacing w:after="0" w:line="315" w:lineRule="exact"/>
      <w:jc w:val="center"/>
      <w:textAlignment w:val="bottom"/>
    </w:pPr>
    <w:rPr>
      <w:rFonts w:ascii="宋体" w:hAnsi="宋体" w:eastAsia="宋体"/>
      <w:kern w:val="0"/>
      <w:sz w:val="21"/>
      <w:szCs w:val="20"/>
    </w:rPr>
  </w:style>
  <w:style w:type="character" w:customStyle="1" w:styleId="26">
    <w:name w:val="正文文本 Char"/>
    <w:basedOn w:val="17"/>
    <w:link w:val="6"/>
    <w:semiHidden/>
    <w:uiPriority w:val="99"/>
    <w:rPr>
      <w:rFonts w:ascii="Times New Roman" w:hAnsi="Times New Roman" w:eastAsia="仿宋_GB2312"/>
      <w:kern w:val="2"/>
      <w:sz w:val="28"/>
      <w:szCs w:val="24"/>
    </w:rPr>
  </w:style>
  <w:style w:type="character" w:customStyle="1" w:styleId="27">
    <w:name w:val="表格 Char"/>
    <w:link w:val="19"/>
    <w:uiPriority w:val="0"/>
    <w:rPr>
      <w:rFonts w:ascii="Arial" w:hAnsi="Arial" w:cs="Arial"/>
      <w:sz w:val="21"/>
      <w:szCs w:val="21"/>
    </w:rPr>
  </w:style>
  <w:style w:type="paragraph" w:customStyle="1" w:styleId="28">
    <w:name w:val="样式 正文缩进s4标题4表正文正文非缩进图标题段1Body Text(ch)缩进ALT+Z特点四号正文不..."/>
    <w:basedOn w:val="3"/>
    <w:uiPriority w:val="0"/>
    <w:pPr>
      <w:tabs>
        <w:tab w:val="center" w:pos="4857"/>
      </w:tabs>
      <w:adjustRightInd w:val="0"/>
      <w:snapToGrid w:val="0"/>
      <w:ind w:firstLine="0" w:firstLineChars="0"/>
    </w:pPr>
    <w:rPr>
      <w:rFonts w:eastAsia="宋体"/>
      <w:b/>
      <w:bCs/>
      <w:sz w:val="24"/>
    </w:rPr>
  </w:style>
  <w:style w:type="character" w:customStyle="1" w:styleId="29">
    <w:name w:val="正文文本缩进 Char"/>
    <w:basedOn w:val="17"/>
    <w:link w:val="7"/>
    <w:semiHidden/>
    <w:uiPriority w:val="99"/>
    <w:rPr>
      <w:rFonts w:ascii="Times New Roman" w:hAnsi="Times New Roman" w:eastAsia="仿宋_GB2312"/>
      <w:kern w:val="2"/>
      <w:sz w:val="28"/>
      <w:szCs w:val="24"/>
    </w:rPr>
  </w:style>
  <w:style w:type="character" w:customStyle="1" w:styleId="30">
    <w:name w:val="标题 Char"/>
    <w:link w:val="14"/>
    <w:qFormat/>
    <w:uiPriority w:val="0"/>
    <w:rPr>
      <w:rFonts w:ascii="Arial" w:hAnsi="Arial" w:eastAsia="仿宋_GB2312" w:cs="Arial"/>
      <w:b/>
      <w:bCs/>
      <w:kern w:val="2"/>
      <w:sz w:val="32"/>
      <w:szCs w:val="32"/>
    </w:rPr>
  </w:style>
  <w:style w:type="character" w:customStyle="1" w:styleId="31">
    <w:name w:val="标题 Char1"/>
    <w:basedOn w:val="17"/>
    <w:link w:val="14"/>
    <w:uiPriority w:val="10"/>
    <w:rPr>
      <w:rFonts w:ascii="Cambria" w:hAnsi="Cambria" w:cs="Times New Roman"/>
      <w:b/>
      <w:bCs/>
      <w:kern w:val="2"/>
      <w:sz w:val="32"/>
      <w:szCs w:val="32"/>
    </w:rPr>
  </w:style>
  <w:style w:type="character" w:customStyle="1" w:styleId="32">
    <w:name w:val="标题 1 Char"/>
    <w:basedOn w:val="17"/>
    <w:link w:val="2"/>
    <w:qFormat/>
    <w:uiPriority w:val="0"/>
    <w:rPr>
      <w:rFonts w:ascii="Times New Roman" w:hAnsi="Times New Roman" w:eastAsia="仿宋_GB2312"/>
      <w:b/>
      <w:bCs/>
      <w:kern w:val="44"/>
      <w:sz w:val="44"/>
      <w:szCs w:val="44"/>
    </w:rPr>
  </w:style>
  <w:style w:type="character" w:customStyle="1" w:styleId="33">
    <w:name w:val="文档结构图 Char"/>
    <w:basedOn w:val="17"/>
    <w:link w:val="5"/>
    <w:semiHidden/>
    <w:uiPriority w:val="99"/>
    <w:rPr>
      <w:rFonts w:ascii="宋体" w:hAnsi="Times New Roman"/>
      <w:kern w:val="2"/>
      <w:sz w:val="18"/>
      <w:szCs w:val="18"/>
    </w:rPr>
  </w:style>
  <w:style w:type="character" w:customStyle="1" w:styleId="34">
    <w:name w:val="批注框文本 Char"/>
    <w:basedOn w:val="17"/>
    <w:link w:val="9"/>
    <w:semiHidden/>
    <w:uiPriority w:val="99"/>
    <w:rPr>
      <w:rFonts w:ascii="Times New Roman" w:hAnsi="Times New Roman" w:eastAsia="仿宋_GB2312"/>
      <w:kern w:val="2"/>
      <w:sz w:val="18"/>
      <w:szCs w:val="18"/>
    </w:rPr>
  </w:style>
  <w:style w:type="paragraph" w:customStyle="1" w:styleId="35">
    <w:name w:val="样式 样式 正文文本缩进 + 仿宋_GB2312 四号 段后: 0 磅 行距: 1.5 倍行距 + (符号) Times New..."/>
    <w:basedOn w:val="1"/>
    <w:qFormat/>
    <w:uiPriority w:val="0"/>
    <w:pPr>
      <w:adjustRightInd w:val="0"/>
      <w:snapToGrid w:val="0"/>
      <w:spacing w:line="360" w:lineRule="auto"/>
      <w:ind w:firstLine="560" w:firstLineChars="200"/>
    </w:pPr>
    <w:rPr>
      <w:rFonts w:ascii="仿宋_GB2312" w:eastAsia="宋体" w:cs="宋体"/>
      <w:kern w:val="0"/>
      <w:sz w:val="24"/>
      <w:szCs w:val="20"/>
    </w:rPr>
  </w:style>
  <w:style w:type="character" w:customStyle="1" w:styleId="36">
    <w:name w:val="正文文本缩进 2 Char"/>
    <w:basedOn w:val="17"/>
    <w:link w:val="8"/>
    <w:semiHidden/>
    <w:uiPriority w:val="99"/>
    <w:rPr>
      <w:rFonts w:ascii="Times New Roman" w:hAnsi="Times New Roman" w:eastAsia="仿宋_GB2312"/>
      <w:kern w:val="2"/>
      <w:sz w:val="28"/>
      <w:szCs w:val="24"/>
    </w:rPr>
  </w:style>
  <w:style w:type="paragraph" w:customStyle="1" w:styleId="37">
    <w:name w:val="Char"/>
    <w:basedOn w:val="1"/>
    <w:uiPriority w:val="0"/>
    <w:pPr>
      <w:adjustRightInd w:val="0"/>
      <w:spacing w:line="360" w:lineRule="auto"/>
    </w:pPr>
    <w:rPr>
      <w:rFonts w:eastAsia="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chart" Target="charts/chart6.xml"/><Relationship Id="rId4" Type="http://schemas.openxmlformats.org/officeDocument/2006/relationships/theme" Target="theme/theme1.xml"/><Relationship Id="rId39" Type="http://schemas.openxmlformats.org/officeDocument/2006/relationships/chart" Target="charts/chart5.xml"/><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chart" Target="charts/chart2.xml"/><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chart" Target="charts/chart1.xml"/><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39033;&#30446;&#22810;&#22810;\&#39033;&#30446;&#36827;&#34892;&#26102;\&#29615;&#35780;\24&#31161;&#24030;&#33484;&#24196;\&#31161;&#24030;&#33484;&#24196;&#29615;&#35780;\&#20316;&#22270;&#36164;&#26009;\&#21319;&#21387;&#31449;&#24037;&#39057;&#30005;&#22330;&#24378;&#24230;&#24378;&#2423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39033;&#30446;&#22810;&#22810;\&#39033;&#30446;&#36827;&#34892;&#26102;\&#29615;&#35780;\24&#31161;&#24030;&#33484;&#24196;\&#31161;&#24030;&#33484;&#24196;&#29615;&#35780;\&#20316;&#22270;&#36164;&#26009;\&#30913;&#24863;&#24212;&#24378;&#2423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39033;&#30446;&#22810;&#22810;\&#39033;&#30446;&#36827;&#34892;&#26102;\&#29615;&#35780;\24&#31161;&#24030;&#33484;&#24196;\&#31161;&#24030;&#33484;&#24196;&#29615;&#35780;\&#20316;&#22270;&#36164;&#26009;\&#32447;&#36335;&#24037;&#39057;&#30005;&#22330;&#24378;&#2423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39033;&#30446;&#22810;&#22810;\&#39033;&#30446;&#36827;&#34892;&#26102;\&#29615;&#35780;\24&#31161;&#24030;&#33484;&#24196;\&#31161;&#24030;&#33484;&#24196;&#29615;&#35780;\&#20316;&#22270;&#36164;&#26009;\&#32447;&#36335;&#30913;&#24863;&#24212;&#24378;&#24230;.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39033;&#30446;&#22810;&#22810;\&#39033;&#30446;&#36827;&#34892;&#26102;\&#29615;&#35780;\24&#31161;&#24030;&#33484;&#24196;\&#31161;&#24030;&#33484;&#24196;&#29615;&#35780;\&#20316;&#22270;&#36164;&#26009;\&#36755;&#21464;&#30005;&#39044;&#27979;\&#30005;&#22330;&#24378;&#24230;1.5+1.5+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39033;&#30446;&#22810;&#22810;\&#39033;&#30446;&#36827;&#34892;&#26102;\&#29615;&#35780;\24&#31161;&#24030;&#33484;&#24196;\&#31161;&#24030;&#33484;&#24196;&#29615;&#35780;\&#20316;&#22270;&#36164;&#26009;\&#36755;&#21464;&#30005;&#39044;&#27979;\&#30913;&#22330;&#24378;&#242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67992196667"/>
          <c:y val="0.0347818194195468"/>
          <c:w val="0.854160411277137"/>
          <c:h val="0.793682634051147"/>
        </c:manualLayout>
      </c:layout>
      <c:lineChart>
        <c:grouping val="standard"/>
        <c:varyColors val="0"/>
        <c:ser>
          <c:idx val="1"/>
          <c:order val="0"/>
          <c:dLbls>
            <c:delete val="1"/>
          </c:dLbls>
          <c:cat>
            <c:numRef>
              <c:f>Sheet1!$A$1:$A$10</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Sheet1!$B$1:$B$10</c:f>
              <c:numCache>
                <c:formatCode>General</c:formatCode>
                <c:ptCount val="10"/>
                <c:pt idx="0">
                  <c:v>22.5</c:v>
                </c:pt>
                <c:pt idx="1">
                  <c:v>20.6</c:v>
                </c:pt>
                <c:pt idx="2">
                  <c:v>20.5</c:v>
                </c:pt>
                <c:pt idx="3">
                  <c:v>19.9</c:v>
                </c:pt>
                <c:pt idx="4">
                  <c:v>18.9</c:v>
                </c:pt>
                <c:pt idx="5">
                  <c:v>14.04</c:v>
                </c:pt>
                <c:pt idx="6">
                  <c:v>12.66</c:v>
                </c:pt>
                <c:pt idx="7">
                  <c:v>10.57</c:v>
                </c:pt>
                <c:pt idx="8">
                  <c:v>10.37</c:v>
                </c:pt>
                <c:pt idx="9">
                  <c:v>6.5</c:v>
                </c:pt>
              </c:numCache>
            </c:numRef>
          </c:val>
          <c:smooth val="0"/>
        </c:ser>
        <c:dLbls>
          <c:showLegendKey val="0"/>
          <c:showVal val="0"/>
          <c:showCatName val="0"/>
          <c:showSerName val="0"/>
          <c:showPercent val="0"/>
          <c:showBubbleSize val="0"/>
        </c:dLbls>
        <c:marker val="1"/>
        <c:smooth val="0"/>
        <c:axId val="170468096"/>
        <c:axId val="170469632"/>
      </c:lineChart>
      <c:catAx>
        <c:axId val="17046809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70469632"/>
        <c:crosses val="autoZero"/>
        <c:auto val="1"/>
        <c:lblAlgn val="ctr"/>
        <c:lblOffset val="100"/>
        <c:noMultiLvlLbl val="0"/>
      </c:catAx>
      <c:valAx>
        <c:axId val="1704696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170468096"/>
        <c:crosses val="autoZero"/>
        <c:crossBetween val="between"/>
      </c:valAx>
    </c:plotArea>
    <c:plotVisOnly val="1"/>
    <c:dispBlanksAs val="gap"/>
    <c:showDLblsOverMax val="0"/>
  </c:chart>
  <c:txPr>
    <a:bodyPr/>
    <a:lstStyle/>
    <a:p>
      <a:pPr>
        <a:defRPr lang="zh-CN">
          <a:latin typeface="Times New Roman" panose="02020603050405020304" charset="0"/>
          <a:ea typeface="宋体" panose="02010600030101010101" charset="-122"/>
          <a:cs typeface="Times New Roman" panose="02020603050405020304" charset="0"/>
        </a:defRPr>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2839592179"/>
          <c:y val="0.0847338874307378"/>
          <c:w val="0.837300033403726"/>
          <c:h val="0.783803622907793"/>
        </c:manualLayout>
      </c:layout>
      <c:lineChart>
        <c:grouping val="standard"/>
        <c:varyColors val="0"/>
        <c:ser>
          <c:idx val="0"/>
          <c:order val="0"/>
          <c:tx>
            <c:strRef>
              <c:f>工频电场强度</c:f>
              <c:strCache>
                <c:ptCount val="1"/>
                <c:pt idx="0">
                  <c:v>工频电场强度</c:v>
                </c:pt>
              </c:strCache>
            </c:strRef>
          </c:tx>
          <c:dLbls>
            <c:delete val="1"/>
          </c:dLbls>
          <c:cat>
            <c:numRef>
              <c:f>Sheet1!$A$1:$A$10</c:f>
              <c:numCache>
                <c:formatCode>General</c:formatCode>
                <c:ptCount val="10"/>
                <c:pt idx="0">
                  <c:v>5</c:v>
                </c:pt>
                <c:pt idx="1">
                  <c:v>10</c:v>
                </c:pt>
                <c:pt idx="2">
                  <c:v>15</c:v>
                </c:pt>
                <c:pt idx="3">
                  <c:v>20</c:v>
                </c:pt>
                <c:pt idx="4">
                  <c:v>25</c:v>
                </c:pt>
                <c:pt idx="5">
                  <c:v>30</c:v>
                </c:pt>
                <c:pt idx="6">
                  <c:v>35</c:v>
                </c:pt>
                <c:pt idx="7">
                  <c:v>40</c:v>
                </c:pt>
                <c:pt idx="8">
                  <c:v>45</c:v>
                </c:pt>
                <c:pt idx="9">
                  <c:v>50</c:v>
                </c:pt>
              </c:numCache>
            </c:numRef>
          </c:cat>
          <c:val>
            <c:numRef>
              <c:f>Sheet1!$B$1:$B$10</c:f>
              <c:numCache>
                <c:formatCode>General</c:formatCode>
                <c:ptCount val="10"/>
                <c:pt idx="0">
                  <c:v>0.00370000000000003</c:v>
                </c:pt>
                <c:pt idx="1">
                  <c:v>0.03</c:v>
                </c:pt>
                <c:pt idx="2">
                  <c:v>0.024</c:v>
                </c:pt>
                <c:pt idx="3">
                  <c:v>0.014</c:v>
                </c:pt>
                <c:pt idx="4">
                  <c:v>0.018</c:v>
                </c:pt>
                <c:pt idx="5">
                  <c:v>0.017</c:v>
                </c:pt>
                <c:pt idx="6">
                  <c:v>0.016</c:v>
                </c:pt>
                <c:pt idx="7">
                  <c:v>0.016</c:v>
                </c:pt>
                <c:pt idx="8">
                  <c:v>0.014</c:v>
                </c:pt>
                <c:pt idx="9">
                  <c:v>0.013</c:v>
                </c:pt>
              </c:numCache>
            </c:numRef>
          </c:val>
          <c:smooth val="0"/>
        </c:ser>
        <c:dLbls>
          <c:showLegendKey val="0"/>
          <c:showVal val="0"/>
          <c:showCatName val="0"/>
          <c:showSerName val="0"/>
          <c:showPercent val="0"/>
          <c:showBubbleSize val="0"/>
        </c:dLbls>
        <c:marker val="1"/>
        <c:smooth val="0"/>
        <c:axId val="170497920"/>
        <c:axId val="170499456"/>
      </c:lineChart>
      <c:catAx>
        <c:axId val="17049792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0499456"/>
        <c:crosses val="autoZero"/>
        <c:auto val="1"/>
        <c:lblAlgn val="ctr"/>
        <c:lblOffset val="100"/>
        <c:noMultiLvlLbl val="0"/>
      </c:catAx>
      <c:valAx>
        <c:axId val="1704994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0497920"/>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16284083136"/>
          <c:y val="0.0516351118760757"/>
          <c:w val="0.818239834926102"/>
          <c:h val="0.752036437478941"/>
        </c:manualLayout>
      </c:layout>
      <c:lineChart>
        <c:grouping val="standard"/>
        <c:varyColors val="0"/>
        <c:ser>
          <c:idx val="0"/>
          <c:order val="0"/>
          <c:dLbls>
            <c:delete val="1"/>
          </c:dLbls>
          <c:cat>
            <c:strRef>
              <c:f>线路工频电场强度!$A$1:$A$10</c:f>
              <c:strCache>
                <c:ptCount val="10"/>
                <c:pt idx="0">
                  <c:v>0m</c:v>
                </c:pt>
                <c:pt idx="1">
                  <c:v>5m</c:v>
                </c:pt>
                <c:pt idx="2">
                  <c:v>10m</c:v>
                </c:pt>
                <c:pt idx="3">
                  <c:v>15m</c:v>
                </c:pt>
                <c:pt idx="4">
                  <c:v>20m</c:v>
                </c:pt>
                <c:pt idx="5">
                  <c:v>25m</c:v>
                </c:pt>
                <c:pt idx="6">
                  <c:v>30m</c:v>
                </c:pt>
                <c:pt idx="7">
                  <c:v>35m</c:v>
                </c:pt>
                <c:pt idx="8">
                  <c:v>40m</c:v>
                </c:pt>
                <c:pt idx="9">
                  <c:v>45m</c:v>
                </c:pt>
              </c:strCache>
            </c:strRef>
          </c:cat>
          <c:val>
            <c:numRef>
              <c:f>线路工频电场强度!$B$1:$B$10</c:f>
              <c:numCache>
                <c:formatCode>General</c:formatCode>
                <c:ptCount val="10"/>
                <c:pt idx="0">
                  <c:v>187.5</c:v>
                </c:pt>
                <c:pt idx="1">
                  <c:v>210.3</c:v>
                </c:pt>
                <c:pt idx="2">
                  <c:v>165.9</c:v>
                </c:pt>
                <c:pt idx="3">
                  <c:v>130.7</c:v>
                </c:pt>
                <c:pt idx="4">
                  <c:v>95.78</c:v>
                </c:pt>
                <c:pt idx="5">
                  <c:v>72.08</c:v>
                </c:pt>
                <c:pt idx="6">
                  <c:v>55.65</c:v>
                </c:pt>
                <c:pt idx="7">
                  <c:v>43.6</c:v>
                </c:pt>
                <c:pt idx="8">
                  <c:v>35.78</c:v>
                </c:pt>
                <c:pt idx="9">
                  <c:v>29.95</c:v>
                </c:pt>
              </c:numCache>
            </c:numRef>
          </c:val>
          <c:smooth val="0"/>
        </c:ser>
        <c:dLbls>
          <c:showLegendKey val="0"/>
          <c:showVal val="0"/>
          <c:showCatName val="0"/>
          <c:showSerName val="0"/>
          <c:showPercent val="0"/>
          <c:showBubbleSize val="0"/>
        </c:dLbls>
        <c:marker val="1"/>
        <c:smooth val="0"/>
        <c:axId val="160061696"/>
        <c:axId val="160063488"/>
      </c:lineChart>
      <c:catAx>
        <c:axId val="16006169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60063488"/>
        <c:crosses val="autoZero"/>
        <c:auto val="1"/>
        <c:lblAlgn val="ctr"/>
        <c:lblOffset val="100"/>
        <c:noMultiLvlLbl val="0"/>
      </c:catAx>
      <c:valAx>
        <c:axId val="1600634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6006169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768789738902"/>
          <c:y val="0.0509259259259259"/>
          <c:w val="0.795946935729287"/>
          <c:h val="0.73638888888889"/>
        </c:manualLayout>
      </c:layout>
      <c:lineChart>
        <c:grouping val="standard"/>
        <c:varyColors val="0"/>
        <c:ser>
          <c:idx val="0"/>
          <c:order val="0"/>
          <c:dLbls>
            <c:delete val="1"/>
          </c:dLbls>
          <c:cat>
            <c:strRef>
              <c:f>线路磁感应强度!$A$1:$A$10</c:f>
              <c:strCache>
                <c:ptCount val="10"/>
                <c:pt idx="0">
                  <c:v>0m</c:v>
                </c:pt>
                <c:pt idx="1">
                  <c:v>5m</c:v>
                </c:pt>
                <c:pt idx="2">
                  <c:v>10m</c:v>
                </c:pt>
                <c:pt idx="3">
                  <c:v>15m</c:v>
                </c:pt>
                <c:pt idx="4">
                  <c:v>20m</c:v>
                </c:pt>
                <c:pt idx="5">
                  <c:v>25m</c:v>
                </c:pt>
                <c:pt idx="6">
                  <c:v>30m</c:v>
                </c:pt>
                <c:pt idx="7">
                  <c:v>35m</c:v>
                </c:pt>
                <c:pt idx="8">
                  <c:v>40m</c:v>
                </c:pt>
                <c:pt idx="9">
                  <c:v>45m</c:v>
                </c:pt>
              </c:strCache>
            </c:strRef>
          </c:cat>
          <c:val>
            <c:numRef>
              <c:f>线路磁感应强度!$B$1:$B$10</c:f>
              <c:numCache>
                <c:formatCode>General</c:formatCode>
                <c:ptCount val="10"/>
                <c:pt idx="0">
                  <c:v>0.1875</c:v>
                </c:pt>
                <c:pt idx="1">
                  <c:v>0.1636</c:v>
                </c:pt>
                <c:pt idx="2">
                  <c:v>0.1305</c:v>
                </c:pt>
                <c:pt idx="3">
                  <c:v>0.1121</c:v>
                </c:pt>
                <c:pt idx="4">
                  <c:v>0.0898</c:v>
                </c:pt>
                <c:pt idx="5">
                  <c:v>0.0788</c:v>
                </c:pt>
                <c:pt idx="6">
                  <c:v>0.0673</c:v>
                </c:pt>
                <c:pt idx="7">
                  <c:v>0.0606</c:v>
                </c:pt>
                <c:pt idx="8">
                  <c:v>0.0615</c:v>
                </c:pt>
                <c:pt idx="9">
                  <c:v>0.0571</c:v>
                </c:pt>
              </c:numCache>
            </c:numRef>
          </c:val>
          <c:smooth val="0"/>
        </c:ser>
        <c:dLbls>
          <c:showLegendKey val="0"/>
          <c:showVal val="0"/>
          <c:showCatName val="0"/>
          <c:showSerName val="0"/>
          <c:showPercent val="0"/>
          <c:showBubbleSize val="0"/>
        </c:dLbls>
        <c:marker val="1"/>
        <c:smooth val="0"/>
        <c:axId val="160057984"/>
        <c:axId val="160067968"/>
      </c:lineChart>
      <c:catAx>
        <c:axId val="16005798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60067968"/>
        <c:crosses val="autoZero"/>
        <c:auto val="1"/>
        <c:lblAlgn val="ctr"/>
        <c:lblOffset val="100"/>
        <c:noMultiLvlLbl val="0"/>
      </c:catAx>
      <c:valAx>
        <c:axId val="1600679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60057984"/>
        <c:crosses val="autoZero"/>
        <c:crossBetween val="between"/>
      </c:valAx>
    </c:plotArea>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66639244722"/>
          <c:y val="0.0282524848328382"/>
          <c:w val="0.830007436570435"/>
          <c:h val="0.837249198016915"/>
        </c:manualLayout>
      </c:layout>
      <c:lineChart>
        <c:grouping val="standard"/>
        <c:varyColors val="0"/>
        <c:ser>
          <c:idx val="1"/>
          <c:order val="0"/>
          <c:tx>
            <c:strRef>
              <c:f>电场强度 导线对地6.0m，距离地面1.5m</c:f>
              <c:strCache>
                <c:ptCount val="1"/>
                <c:pt idx="0">
                  <c:v>电场强度 导线对地6.0m，距离地面1.5m</c:v>
                </c:pt>
              </c:strCache>
            </c:strRef>
          </c:tx>
          <c:dLbls>
            <c:delete val="1"/>
          </c:dLbls>
          <c:val>
            <c:numRef>
              <c:f>Sheet1!$B$1:$B$51</c:f>
              <c:numCache>
                <c:formatCode>General</c:formatCode>
                <c:ptCount val="51"/>
                <c:pt idx="0">
                  <c:v>2.14</c:v>
                </c:pt>
                <c:pt idx="1">
                  <c:v>2.05</c:v>
                </c:pt>
                <c:pt idx="2">
                  <c:v>1.91</c:v>
                </c:pt>
                <c:pt idx="3">
                  <c:v>1.89</c:v>
                </c:pt>
                <c:pt idx="4">
                  <c:v>2.08</c:v>
                </c:pt>
                <c:pt idx="5">
                  <c:v>2.38</c:v>
                </c:pt>
                <c:pt idx="6">
                  <c:v>2.61</c:v>
                </c:pt>
                <c:pt idx="7">
                  <c:v>2.64</c:v>
                </c:pt>
                <c:pt idx="8">
                  <c:v>2.46</c:v>
                </c:pt>
                <c:pt idx="9">
                  <c:v>2.16</c:v>
                </c:pt>
                <c:pt idx="10">
                  <c:v>1.83</c:v>
                </c:pt>
                <c:pt idx="11">
                  <c:v>1.52</c:v>
                </c:pt>
                <c:pt idx="12">
                  <c:v>1.24</c:v>
                </c:pt>
                <c:pt idx="13">
                  <c:v>1.02</c:v>
                </c:pt>
                <c:pt idx="14">
                  <c:v>0.840000000000001</c:v>
                </c:pt>
                <c:pt idx="15">
                  <c:v>0.690000000000001</c:v>
                </c:pt>
                <c:pt idx="16">
                  <c:v>0.58</c:v>
                </c:pt>
                <c:pt idx="17">
                  <c:v>0.48</c:v>
                </c:pt>
                <c:pt idx="18">
                  <c:v>0.41</c:v>
                </c:pt>
                <c:pt idx="19">
                  <c:v>0.35</c:v>
                </c:pt>
                <c:pt idx="20">
                  <c:v>0.3</c:v>
                </c:pt>
                <c:pt idx="21">
                  <c:v>0.26</c:v>
                </c:pt>
                <c:pt idx="22">
                  <c:v>0.22</c:v>
                </c:pt>
                <c:pt idx="23">
                  <c:v>0.19</c:v>
                </c:pt>
                <c:pt idx="24">
                  <c:v>0.17</c:v>
                </c:pt>
                <c:pt idx="25">
                  <c:v>0.15</c:v>
                </c:pt>
                <c:pt idx="26">
                  <c:v>0.13</c:v>
                </c:pt>
                <c:pt idx="27">
                  <c:v>0.12</c:v>
                </c:pt>
                <c:pt idx="28">
                  <c:v>0.11</c:v>
                </c:pt>
                <c:pt idx="29">
                  <c:v>0.09</c:v>
                </c:pt>
                <c:pt idx="30">
                  <c:v>0.09</c:v>
                </c:pt>
                <c:pt idx="31">
                  <c:v>0.08</c:v>
                </c:pt>
                <c:pt idx="32">
                  <c:v>0.07</c:v>
                </c:pt>
                <c:pt idx="33">
                  <c:v>0.06</c:v>
                </c:pt>
                <c:pt idx="34">
                  <c:v>0.06</c:v>
                </c:pt>
                <c:pt idx="35">
                  <c:v>0.05</c:v>
                </c:pt>
                <c:pt idx="36">
                  <c:v>0.05</c:v>
                </c:pt>
                <c:pt idx="37">
                  <c:v>0.05</c:v>
                </c:pt>
                <c:pt idx="38">
                  <c:v>0.04</c:v>
                </c:pt>
                <c:pt idx="39">
                  <c:v>0.04</c:v>
                </c:pt>
                <c:pt idx="40">
                  <c:v>0.04</c:v>
                </c:pt>
                <c:pt idx="41">
                  <c:v>0.03</c:v>
                </c:pt>
                <c:pt idx="42">
                  <c:v>0.03</c:v>
                </c:pt>
                <c:pt idx="43">
                  <c:v>0.03</c:v>
                </c:pt>
                <c:pt idx="44">
                  <c:v>0.03</c:v>
                </c:pt>
                <c:pt idx="45">
                  <c:v>0.02</c:v>
                </c:pt>
                <c:pt idx="46">
                  <c:v>0.02</c:v>
                </c:pt>
                <c:pt idx="47">
                  <c:v>0.02</c:v>
                </c:pt>
                <c:pt idx="48">
                  <c:v>0.02</c:v>
                </c:pt>
                <c:pt idx="49">
                  <c:v>0.02</c:v>
                </c:pt>
                <c:pt idx="50">
                  <c:v>0.02</c:v>
                </c:pt>
              </c:numCache>
            </c:numRef>
          </c:val>
          <c:smooth val="0"/>
        </c:ser>
        <c:ser>
          <c:idx val="2"/>
          <c:order val="1"/>
          <c:tx>
            <c:strRef>
              <c:f>电场强度 导线对地7.0m，距离地面1.5m</c:f>
              <c:strCache>
                <c:ptCount val="1"/>
                <c:pt idx="0">
                  <c:v>电场强度 导线对地7.0m，距离地面1.5m</c:v>
                </c:pt>
              </c:strCache>
            </c:strRef>
          </c:tx>
          <c:dLbls>
            <c:delete val="1"/>
          </c:dLbls>
          <c:val>
            <c:numRef>
              <c:f>Sheet1!$C$1:$C$51</c:f>
              <c:numCache>
                <c:formatCode>General</c:formatCode>
                <c:ptCount val="51"/>
                <c:pt idx="0">
                  <c:v>1.5</c:v>
                </c:pt>
                <c:pt idx="1">
                  <c:v>1.46</c:v>
                </c:pt>
                <c:pt idx="2">
                  <c:v>1.42</c:v>
                </c:pt>
                <c:pt idx="3">
                  <c:v>1.46</c:v>
                </c:pt>
                <c:pt idx="4">
                  <c:v>1.62</c:v>
                </c:pt>
                <c:pt idx="5">
                  <c:v>1.82</c:v>
                </c:pt>
                <c:pt idx="6">
                  <c:v>1.98000000000001</c:v>
                </c:pt>
                <c:pt idx="7">
                  <c:v>2.03</c:v>
                </c:pt>
                <c:pt idx="8">
                  <c:v>1.96000000000001</c:v>
                </c:pt>
                <c:pt idx="9">
                  <c:v>1.8</c:v>
                </c:pt>
                <c:pt idx="10">
                  <c:v>1.59</c:v>
                </c:pt>
                <c:pt idx="11">
                  <c:v>1.37</c:v>
                </c:pt>
                <c:pt idx="12">
                  <c:v>1.15999999999999</c:v>
                </c:pt>
                <c:pt idx="13">
                  <c:v>0.98</c:v>
                </c:pt>
                <c:pt idx="14">
                  <c:v>0.830000000000001</c:v>
                </c:pt>
                <c:pt idx="15">
                  <c:v>0.700000000000001</c:v>
                </c:pt>
                <c:pt idx="16">
                  <c:v>0.59</c:v>
                </c:pt>
                <c:pt idx="17">
                  <c:v>0.5</c:v>
                </c:pt>
                <c:pt idx="18">
                  <c:v>0.43</c:v>
                </c:pt>
                <c:pt idx="19">
                  <c:v>0.37</c:v>
                </c:pt>
                <c:pt idx="20">
                  <c:v>0.320000000000002</c:v>
                </c:pt>
                <c:pt idx="21">
                  <c:v>0.28</c:v>
                </c:pt>
                <c:pt idx="22">
                  <c:v>0.24</c:v>
                </c:pt>
                <c:pt idx="23">
                  <c:v>0.21</c:v>
                </c:pt>
                <c:pt idx="24">
                  <c:v>0.19</c:v>
                </c:pt>
                <c:pt idx="25">
                  <c:v>0.17</c:v>
                </c:pt>
                <c:pt idx="26">
                  <c:v>0.15</c:v>
                </c:pt>
                <c:pt idx="27">
                  <c:v>0.13</c:v>
                </c:pt>
                <c:pt idx="28">
                  <c:v>0.12</c:v>
                </c:pt>
                <c:pt idx="29">
                  <c:v>0.11</c:v>
                </c:pt>
                <c:pt idx="30">
                  <c:v>0.1</c:v>
                </c:pt>
                <c:pt idx="31">
                  <c:v>0.09</c:v>
                </c:pt>
                <c:pt idx="32">
                  <c:v>0.08</c:v>
                </c:pt>
                <c:pt idx="33">
                  <c:v>0.07</c:v>
                </c:pt>
                <c:pt idx="34">
                  <c:v>0.07</c:v>
                </c:pt>
                <c:pt idx="35">
                  <c:v>0.06</c:v>
                </c:pt>
                <c:pt idx="36">
                  <c:v>0.06</c:v>
                </c:pt>
                <c:pt idx="37">
                  <c:v>0.05</c:v>
                </c:pt>
                <c:pt idx="38">
                  <c:v>0.05</c:v>
                </c:pt>
                <c:pt idx="39">
                  <c:v>0.04</c:v>
                </c:pt>
                <c:pt idx="40">
                  <c:v>0.04</c:v>
                </c:pt>
                <c:pt idx="41">
                  <c:v>0.04</c:v>
                </c:pt>
                <c:pt idx="42">
                  <c:v>0.04</c:v>
                </c:pt>
                <c:pt idx="43">
                  <c:v>0.03</c:v>
                </c:pt>
                <c:pt idx="44">
                  <c:v>0.03</c:v>
                </c:pt>
                <c:pt idx="45">
                  <c:v>0.03</c:v>
                </c:pt>
                <c:pt idx="46">
                  <c:v>0.03</c:v>
                </c:pt>
                <c:pt idx="47">
                  <c:v>0.03</c:v>
                </c:pt>
                <c:pt idx="48">
                  <c:v>0.02</c:v>
                </c:pt>
                <c:pt idx="49">
                  <c:v>0.02</c:v>
                </c:pt>
                <c:pt idx="50">
                  <c:v>0.02</c:v>
                </c:pt>
              </c:numCache>
            </c:numRef>
          </c:val>
          <c:smooth val="0"/>
        </c:ser>
        <c:dLbls>
          <c:showLegendKey val="0"/>
          <c:showVal val="0"/>
          <c:showCatName val="0"/>
          <c:showSerName val="0"/>
          <c:showPercent val="0"/>
          <c:showBubbleSize val="0"/>
        </c:dLbls>
        <c:marker val="1"/>
        <c:smooth val="0"/>
        <c:axId val="160079872"/>
        <c:axId val="160081408"/>
      </c:lineChart>
      <c:catAx>
        <c:axId val="16007987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60081408"/>
        <c:crosses val="autoZero"/>
        <c:auto val="1"/>
        <c:lblAlgn val="ctr"/>
        <c:lblOffset val="100"/>
        <c:noMultiLvlLbl val="0"/>
      </c:catAx>
      <c:valAx>
        <c:axId val="1600814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60079872"/>
        <c:crosses val="autoZero"/>
        <c:crossBetween val="between"/>
      </c:valAx>
    </c:plotArea>
    <c:legend>
      <c:legendPos val="r"/>
      <c:layout>
        <c:manualLayout>
          <c:xMode val="edge"/>
          <c:yMode val="edge"/>
          <c:x val="0.478736001749781"/>
          <c:y val="0.00347805482648002"/>
          <c:w val="0.503803712035996"/>
          <c:h val="0.2564698162729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59115165954"/>
          <c:y val="0.0514005540974045"/>
          <c:w val="0.843855459027032"/>
          <c:h val="0.808746776218198"/>
        </c:manualLayout>
      </c:layout>
      <c:lineChart>
        <c:grouping val="standard"/>
        <c:varyColors val="0"/>
        <c:ser>
          <c:idx val="1"/>
          <c:order val="0"/>
          <c:tx>
            <c:strRef>
              <c:f>导线对地6.0m，距离地面1.5m</c:f>
              <c:strCache>
                <c:ptCount val="1"/>
                <c:pt idx="0">
                  <c:v>导线对地6.0m，距离地面1.5m</c:v>
                </c:pt>
              </c:strCache>
            </c:strRef>
          </c:tx>
          <c:dLbls>
            <c:delete val="1"/>
          </c:dLbls>
          <c:val>
            <c:numRef>
              <c:f>[磁场强度.xlsx]Sheet1!$B$1:$B$51</c:f>
              <c:numCache>
                <c:formatCode>General</c:formatCode>
                <c:ptCount val="51"/>
                <c:pt idx="0">
                  <c:v>18.54</c:v>
                </c:pt>
                <c:pt idx="1">
                  <c:v>18.44</c:v>
                </c:pt>
                <c:pt idx="2">
                  <c:v>19.37</c:v>
                </c:pt>
                <c:pt idx="3">
                  <c:v>21.19</c:v>
                </c:pt>
                <c:pt idx="4">
                  <c:v>23.57</c:v>
                </c:pt>
                <c:pt idx="5">
                  <c:v>25.97</c:v>
                </c:pt>
                <c:pt idx="6">
                  <c:v>27.68</c:v>
                </c:pt>
                <c:pt idx="7">
                  <c:v>28.16</c:v>
                </c:pt>
                <c:pt idx="8">
                  <c:v>27.39</c:v>
                </c:pt>
                <c:pt idx="9">
                  <c:v>25.78</c:v>
                </c:pt>
                <c:pt idx="10">
                  <c:v>23.83</c:v>
                </c:pt>
                <c:pt idx="11">
                  <c:v>21.86</c:v>
                </c:pt>
                <c:pt idx="12">
                  <c:v>20.02</c:v>
                </c:pt>
                <c:pt idx="13">
                  <c:v>18.39</c:v>
                </c:pt>
                <c:pt idx="14">
                  <c:v>16.96</c:v>
                </c:pt>
                <c:pt idx="15">
                  <c:v>15.71</c:v>
                </c:pt>
                <c:pt idx="16">
                  <c:v>14.61</c:v>
                </c:pt>
                <c:pt idx="17">
                  <c:v>13.66</c:v>
                </c:pt>
                <c:pt idx="18">
                  <c:v>12.81</c:v>
                </c:pt>
                <c:pt idx="19">
                  <c:v>12.06</c:v>
                </c:pt>
                <c:pt idx="20">
                  <c:v>11.4</c:v>
                </c:pt>
                <c:pt idx="21">
                  <c:v>10.8</c:v>
                </c:pt>
                <c:pt idx="22">
                  <c:v>10.26</c:v>
                </c:pt>
                <c:pt idx="23">
                  <c:v>9.77</c:v>
                </c:pt>
                <c:pt idx="24">
                  <c:v>9.33</c:v>
                </c:pt>
                <c:pt idx="25">
                  <c:v>8.93</c:v>
                </c:pt>
                <c:pt idx="26">
                  <c:v>8.56</c:v>
                </c:pt>
                <c:pt idx="27">
                  <c:v>8.22</c:v>
                </c:pt>
                <c:pt idx="28">
                  <c:v>7.9</c:v>
                </c:pt>
                <c:pt idx="29">
                  <c:v>7.61</c:v>
                </c:pt>
                <c:pt idx="30">
                  <c:v>7.34</c:v>
                </c:pt>
                <c:pt idx="31">
                  <c:v>7.09</c:v>
                </c:pt>
                <c:pt idx="32">
                  <c:v>6.86</c:v>
                </c:pt>
                <c:pt idx="33">
                  <c:v>6.64</c:v>
                </c:pt>
                <c:pt idx="34">
                  <c:v>6.43</c:v>
                </c:pt>
                <c:pt idx="35">
                  <c:v>6.24</c:v>
                </c:pt>
                <c:pt idx="36">
                  <c:v>6.06</c:v>
                </c:pt>
                <c:pt idx="37">
                  <c:v>5.89</c:v>
                </c:pt>
                <c:pt idx="38">
                  <c:v>5.72</c:v>
                </c:pt>
                <c:pt idx="39">
                  <c:v>5.57</c:v>
                </c:pt>
                <c:pt idx="40">
                  <c:v>5.43</c:v>
                </c:pt>
                <c:pt idx="41">
                  <c:v>5.29</c:v>
                </c:pt>
                <c:pt idx="42">
                  <c:v>5.16</c:v>
                </c:pt>
                <c:pt idx="43">
                  <c:v>5.03</c:v>
                </c:pt>
                <c:pt idx="44">
                  <c:v>4.92</c:v>
                </c:pt>
                <c:pt idx="45">
                  <c:v>4.8</c:v>
                </c:pt>
                <c:pt idx="46">
                  <c:v>4.7</c:v>
                </c:pt>
                <c:pt idx="47">
                  <c:v>4.59</c:v>
                </c:pt>
                <c:pt idx="48">
                  <c:v>4.49</c:v>
                </c:pt>
                <c:pt idx="49">
                  <c:v>4.4</c:v>
                </c:pt>
                <c:pt idx="50">
                  <c:v>4.31</c:v>
                </c:pt>
              </c:numCache>
            </c:numRef>
          </c:val>
          <c:smooth val="0"/>
        </c:ser>
        <c:ser>
          <c:idx val="2"/>
          <c:order val="1"/>
          <c:tx>
            <c:strRef>
              <c:f>导线对地7.0m，距离地面1.5m</c:f>
              <c:strCache>
                <c:ptCount val="1"/>
                <c:pt idx="0">
                  <c:v>导线对地7.0m，距离地面1.5m</c:v>
                </c:pt>
              </c:strCache>
            </c:strRef>
          </c:tx>
          <c:dLbls>
            <c:delete val="1"/>
          </c:dLbls>
          <c:val>
            <c:numRef>
              <c:f>[磁场强度.xlsx]Sheet1!$C$1:$C$51</c:f>
              <c:numCache>
                <c:formatCode>General</c:formatCode>
                <c:ptCount val="51"/>
                <c:pt idx="0">
                  <c:v>18.91</c:v>
                </c:pt>
                <c:pt idx="1">
                  <c:v>18.84</c:v>
                </c:pt>
                <c:pt idx="2">
                  <c:v>19.4</c:v>
                </c:pt>
                <c:pt idx="3">
                  <c:v>20.46</c:v>
                </c:pt>
                <c:pt idx="4">
                  <c:v>21.8</c:v>
                </c:pt>
                <c:pt idx="5">
                  <c:v>23.1</c:v>
                </c:pt>
                <c:pt idx="6">
                  <c:v>23.99</c:v>
                </c:pt>
                <c:pt idx="7">
                  <c:v>24.24</c:v>
                </c:pt>
                <c:pt idx="8">
                  <c:v>23.79</c:v>
                </c:pt>
                <c:pt idx="9">
                  <c:v>22.8</c:v>
                </c:pt>
                <c:pt idx="10">
                  <c:v>21.5</c:v>
                </c:pt>
                <c:pt idx="11">
                  <c:v>20.08</c:v>
                </c:pt>
                <c:pt idx="12">
                  <c:v>18.69</c:v>
                </c:pt>
                <c:pt idx="13">
                  <c:v>17.38</c:v>
                </c:pt>
                <c:pt idx="14">
                  <c:v>16.18</c:v>
                </c:pt>
                <c:pt idx="15">
                  <c:v>15.1</c:v>
                </c:pt>
                <c:pt idx="16">
                  <c:v>14.14</c:v>
                </c:pt>
                <c:pt idx="17">
                  <c:v>13.27</c:v>
                </c:pt>
                <c:pt idx="18">
                  <c:v>12.5</c:v>
                </c:pt>
                <c:pt idx="19">
                  <c:v>11.81</c:v>
                </c:pt>
                <c:pt idx="20">
                  <c:v>11.18</c:v>
                </c:pt>
                <c:pt idx="21">
                  <c:v>10.62</c:v>
                </c:pt>
                <c:pt idx="22">
                  <c:v>10.11</c:v>
                </c:pt>
                <c:pt idx="23">
                  <c:v>9.64</c:v>
                </c:pt>
                <c:pt idx="24">
                  <c:v>9.22</c:v>
                </c:pt>
                <c:pt idx="25">
                  <c:v>8.83</c:v>
                </c:pt>
                <c:pt idx="26">
                  <c:v>8.47</c:v>
                </c:pt>
                <c:pt idx="27">
                  <c:v>8.14</c:v>
                </c:pt>
                <c:pt idx="28">
                  <c:v>7.84</c:v>
                </c:pt>
                <c:pt idx="29">
                  <c:v>7.55</c:v>
                </c:pt>
                <c:pt idx="30">
                  <c:v>7.29</c:v>
                </c:pt>
                <c:pt idx="31">
                  <c:v>7.04</c:v>
                </c:pt>
                <c:pt idx="32">
                  <c:v>6.81</c:v>
                </c:pt>
                <c:pt idx="33">
                  <c:v>6.6</c:v>
                </c:pt>
                <c:pt idx="34">
                  <c:v>6.4</c:v>
                </c:pt>
                <c:pt idx="35">
                  <c:v>6.21</c:v>
                </c:pt>
                <c:pt idx="36">
                  <c:v>6.03</c:v>
                </c:pt>
                <c:pt idx="37">
                  <c:v>5.86</c:v>
                </c:pt>
                <c:pt idx="38">
                  <c:v>5.7</c:v>
                </c:pt>
                <c:pt idx="39">
                  <c:v>5.55</c:v>
                </c:pt>
                <c:pt idx="40">
                  <c:v>5.41</c:v>
                </c:pt>
                <c:pt idx="41">
                  <c:v>5.27</c:v>
                </c:pt>
                <c:pt idx="42">
                  <c:v>5.14</c:v>
                </c:pt>
                <c:pt idx="43">
                  <c:v>5.02</c:v>
                </c:pt>
                <c:pt idx="44">
                  <c:v>4.9</c:v>
                </c:pt>
                <c:pt idx="45">
                  <c:v>4.79</c:v>
                </c:pt>
                <c:pt idx="46">
                  <c:v>4.68</c:v>
                </c:pt>
                <c:pt idx="47">
                  <c:v>4.58</c:v>
                </c:pt>
                <c:pt idx="48">
                  <c:v>4.48</c:v>
                </c:pt>
                <c:pt idx="49">
                  <c:v>4.39</c:v>
                </c:pt>
                <c:pt idx="50">
                  <c:v>4.3</c:v>
                </c:pt>
              </c:numCache>
            </c:numRef>
          </c:val>
          <c:smooth val="0"/>
        </c:ser>
        <c:dLbls>
          <c:showLegendKey val="0"/>
          <c:showVal val="0"/>
          <c:showCatName val="0"/>
          <c:showSerName val="0"/>
          <c:showPercent val="0"/>
          <c:showBubbleSize val="0"/>
        </c:dLbls>
        <c:marker val="1"/>
        <c:smooth val="0"/>
        <c:axId val="170481536"/>
        <c:axId val="170483072"/>
      </c:lineChart>
      <c:catAx>
        <c:axId val="1704815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0483072"/>
        <c:crosses val="autoZero"/>
        <c:auto val="1"/>
        <c:lblAlgn val="ctr"/>
        <c:lblOffset val="100"/>
        <c:noMultiLvlLbl val="0"/>
      </c:catAx>
      <c:valAx>
        <c:axId val="1704830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0481536"/>
        <c:crosses val="autoZero"/>
        <c:crossBetween val="between"/>
      </c:valAx>
    </c:plotArea>
    <c:legend>
      <c:legendPos val="r"/>
      <c:layout>
        <c:manualLayout>
          <c:xMode val="edge"/>
          <c:yMode val="edge"/>
          <c:x val="0.481513779527562"/>
          <c:y val="0.0405150918635171"/>
          <c:w val="0.462930664916888"/>
          <c:h val="0.41896981627296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drawings/_rels/drawing3.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0.19853</cdr:x>
      <cdr:y>0.91666</cdr:y>
    </cdr:from>
    <cdr:to>
      <cdr:x>0.79167</cdr:x>
      <cdr:y>1</cdr:y>
    </cdr:to>
    <cdr:sp>
      <cdr:nvSpPr>
        <cdr:cNvPr id="2" name="矩形 1"/>
        <cdr:cNvSpPr/>
      </cdr:nvSpPr>
      <cdr:spPr xmlns:a="http://schemas.openxmlformats.org/drawingml/2006/main">
        <a:xfrm xmlns:a="http://schemas.openxmlformats.org/drawingml/2006/main">
          <a:off x="1007398" y="3195615"/>
          <a:ext cx="3009761" cy="29053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algn="ctr"/>
          <a:r>
            <a:rPr lang="zh-CN" altLang="en-US" sz="1100"/>
            <a:t>距升压站厂界距离（</a:t>
          </a:r>
          <a:r>
            <a:rPr lang="en-US" altLang="zh-CN" sz="1100"/>
            <a:t>m</a:t>
          </a:r>
          <a:r>
            <a:rPr lang="zh-CN" altLang="en-US" sz="1100"/>
            <a:t>）</a:t>
          </a:r>
          <a:endParaRPr lang="zh-CN" altLang="en-US" sz="1100"/>
        </a:p>
      </cdr:txBody>
    </cdr:sp>
  </cdr:relSizeAnchor>
  <cdr:relSizeAnchor xmlns:cdr="http://schemas.openxmlformats.org/drawingml/2006/chartDrawing">
    <cdr:from>
      <cdr:x>0.02036</cdr:x>
      <cdr:y>0.1875</cdr:y>
    </cdr:from>
    <cdr:to>
      <cdr:x>0.13122</cdr:x>
      <cdr:y>0.81944</cdr:y>
    </cdr:to>
    <cdr:sp>
      <cdr:nvSpPr>
        <cdr:cNvPr id="3" name="矩形 2"/>
        <cdr:cNvSpPr/>
      </cdr:nvSpPr>
      <cdr:spPr xmlns:a="http://schemas.openxmlformats.org/drawingml/2006/main">
        <a:xfrm xmlns:a="http://schemas.openxmlformats.org/drawingml/2006/main">
          <a:off x="85725" y="514350"/>
          <a:ext cx="466725" cy="17335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zh-CN" altLang="en-US" sz="1100"/>
        </a:p>
      </cdr:txBody>
    </cdr:sp>
  </cdr:relSizeAnchor>
  <cdr:relSizeAnchor xmlns:cdr="http://schemas.openxmlformats.org/drawingml/2006/chartDrawing">
    <cdr:from>
      <cdr:x>0</cdr:x>
      <cdr:y>0.2459</cdr:y>
    </cdr:from>
    <cdr:to>
      <cdr:x>0.06427</cdr:x>
      <cdr:y>0.73463</cdr:y>
    </cdr:to>
    <cdr:sp>
      <cdr:nvSpPr>
        <cdr:cNvPr id="4" name="矩形 3"/>
        <cdr:cNvSpPr/>
      </cdr:nvSpPr>
      <cdr:spPr xmlns:a="http://schemas.openxmlformats.org/drawingml/2006/main">
        <a:xfrm xmlns:a="http://schemas.openxmlformats.org/drawingml/2006/main">
          <a:off x="0" y="857250"/>
          <a:ext cx="326113" cy="1703784"/>
        </a:xfrm>
        <a:prstGeom xmlns:a="http://schemas.openxmlformats.org/drawingml/2006/main" prst="rect">
          <a:avLst/>
        </a:prstGeom>
      </cdr:spPr>
      <cdr:txBody xmlns:a="http://schemas.openxmlformats.org/drawingml/2006/main">
        <a:bodyPr vertOverflow="clip" vert="eaVert" wrap="square" lIns="45720" tIns="45720" rIns="45720" bIns="45720" rtlCol="0" anchor="t" anchorCtr="0">
          <a:normAutofit/>
        </a:bodyPr>
        <a:lstStyle/>
        <a:p>
          <a:pPr marL="0" marR="0" indent="0" defTabSz="914400" eaLnBrk="1" fontAlgn="auto" latinLnBrk="0" hangingPunct="1">
            <a:lnSpc>
              <a:spcPct val="100000"/>
            </a:lnSpc>
            <a:spcBef>
              <a:spcPts val="0"/>
            </a:spcBef>
            <a:spcAft>
              <a:spcPts val="0"/>
            </a:spcAft>
            <a:buClrTx/>
            <a:buSzTx/>
            <a:buFontTx/>
            <a:buNone/>
            <a:defRPr/>
          </a:pPr>
          <a:r>
            <a:rPr lang="zh-CN" altLang="zh-CN" sz="1100" b="0">
              <a:latin typeface="+mn-lt"/>
              <a:ea typeface="+mn-ea"/>
              <a:cs typeface="+mn-cs"/>
            </a:rPr>
            <a:t>磁感应强度</a:t>
          </a:r>
          <a:r>
            <a:rPr lang="zh-CN" altLang="en-US" sz="1100" b="0">
              <a:latin typeface="+mn-lt"/>
              <a:ea typeface="+mn-ea"/>
              <a:cs typeface="+mn-cs"/>
            </a:rPr>
            <a:t>（</a:t>
          </a:r>
          <a:r>
            <a:rPr lang="en-US" altLang="zh-CN" sz="1100" b="0">
              <a:latin typeface="+mn-lt"/>
              <a:ea typeface="+mn-ea"/>
              <a:cs typeface="+mn-cs"/>
            </a:rPr>
            <a:t>μT</a:t>
          </a:r>
          <a:r>
            <a:rPr lang="zh-CN" altLang="en-US" sz="1100" b="0">
              <a:latin typeface="+mn-lt"/>
              <a:ea typeface="+mn-ea"/>
              <a:cs typeface="+mn-cs"/>
            </a:rPr>
            <a:t>）</a:t>
          </a:r>
          <a:endParaRPr lang="zh-CN" altLang="en-US" sz="1100" b="0"/>
        </a:p>
        <a:p>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0.19853</cdr:x>
      <cdr:y>0.89583</cdr:y>
    </cdr:from>
    <cdr:to>
      <cdr:x>0.79167</cdr:x>
      <cdr:y>0.97917</cdr:y>
    </cdr:to>
    <cdr:sp>
      <cdr:nvSpPr>
        <cdr:cNvPr id="2" name="矩形 1"/>
        <cdr:cNvSpPr/>
      </cdr:nvSpPr>
      <cdr:spPr xmlns:a="http://schemas.openxmlformats.org/drawingml/2006/main">
        <a:xfrm xmlns:a="http://schemas.openxmlformats.org/drawingml/2006/main">
          <a:off x="771526" y="2457450"/>
          <a:ext cx="2305050" cy="2286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algn="ctr"/>
          <a:r>
            <a:rPr lang="zh-CN" altLang="en-US" sz="1100"/>
            <a:t>距升压站厂界距离（</a:t>
          </a:r>
          <a:r>
            <a:rPr lang="en-US" altLang="zh-CN" sz="1100"/>
            <a:t>m</a:t>
          </a:r>
          <a:r>
            <a:rPr lang="zh-CN" altLang="en-US" sz="1100"/>
            <a:t>）</a:t>
          </a:r>
          <a:endParaRPr lang="zh-CN" altLang="en-US" sz="1100"/>
        </a:p>
      </cdr:txBody>
    </cdr:sp>
  </cdr:relSizeAnchor>
  <cdr:relSizeAnchor xmlns:cdr="http://schemas.openxmlformats.org/drawingml/2006/chartDrawing">
    <cdr:from>
      <cdr:x>0.02489</cdr:x>
      <cdr:y>0.15625</cdr:y>
    </cdr:from>
    <cdr:to>
      <cdr:x>0.13122</cdr:x>
      <cdr:y>0.76389</cdr:y>
    </cdr:to>
    <cdr:sp>
      <cdr:nvSpPr>
        <cdr:cNvPr id="3" name="矩形 2"/>
        <cdr:cNvSpPr/>
      </cdr:nvSpPr>
      <cdr:spPr xmlns:a="http://schemas.openxmlformats.org/drawingml/2006/main">
        <a:xfrm xmlns:a="http://schemas.openxmlformats.org/drawingml/2006/main">
          <a:off x="104775" y="428625"/>
          <a:ext cx="447675" cy="166687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0.13585</cdr:y>
    </cdr:from>
    <cdr:to>
      <cdr:x>0.08927</cdr:x>
      <cdr:y>0.74827</cdr:y>
    </cdr:to>
    <cdr:pic xmlns:a="http://schemas.openxmlformats.org/drawingml/2006/main">
      <cdr:nvPicPr>
        <cdr:cNvPr id="2" name="图片 1"/>
        <cdr:cNvPicPr/>
      </cdr:nvPicPr>
      <cdr:blipFill>
        <a:blip xmlns:r="http://schemas.openxmlformats.org/officeDocument/2006/relationships" r:embed="rId1"/>
        <a:stretch>
          <a:fillRect/>
        </a:stretch>
      </cdr:blipFill>
      <cdr:spPr>
        <a:xfrm>
          <a:off x="0" y="414068"/>
          <a:ext cx="476191" cy="1866667"/>
        </a:xfrm>
        <a:prstGeom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0.02224</cdr:x>
      <cdr:y>0.07959</cdr:y>
    </cdr:from>
    <cdr:to>
      <cdr:x>0.08489</cdr:x>
      <cdr:y>0.7128</cdr:y>
    </cdr:to>
    <cdr:sp>
      <cdr:nvSpPr>
        <cdr:cNvPr id="2" name="矩形 1"/>
        <cdr:cNvSpPr/>
      </cdr:nvSpPr>
      <cdr:spPr xmlns:a="http://schemas.openxmlformats.org/drawingml/2006/main">
        <a:xfrm xmlns:a="http://schemas.openxmlformats.org/drawingml/2006/main">
          <a:off x="91787" y="212437"/>
          <a:ext cx="258618" cy="1690254"/>
        </a:xfrm>
        <a:prstGeom xmlns:a="http://schemas.openxmlformats.org/drawingml/2006/main" prst="rect">
          <a:avLst/>
        </a:prstGeom>
      </cdr:spPr>
      <cdr:txBody xmlns:a="http://schemas.openxmlformats.org/drawingml/2006/main">
        <a:bodyPr vertOverflow="clip" vert="eaVert" wrap="square" lIns="45720" tIns="45720" rIns="45720" bIns="45720" rtlCol="0" anchor="t" anchorCtr="0">
          <a:normAutofit/>
        </a:bodyPr>
        <a:lstStyle/>
        <a:p>
          <a:pPr marL="0" marR="0" indent="0" defTabSz="914400" eaLnBrk="1" fontAlgn="auto" latinLnBrk="0" hangingPunct="1">
            <a:lnSpc>
              <a:spcPct val="100000"/>
            </a:lnSpc>
            <a:spcBef>
              <a:spcPts val="0"/>
            </a:spcBef>
            <a:spcAft>
              <a:spcPts val="0"/>
            </a:spcAft>
            <a:buClrTx/>
            <a:buSzTx/>
            <a:buFontTx/>
            <a:buNone/>
            <a:defRPr/>
          </a:pPr>
          <a:r>
            <a:rPr lang="zh-CN" altLang="zh-CN" sz="1200" b="0">
              <a:latin typeface="+mn-lt"/>
              <a:ea typeface="+mn-ea"/>
              <a:cs typeface="+mn-cs"/>
            </a:rPr>
            <a:t>磁感应强度</a:t>
          </a:r>
          <a:r>
            <a:rPr lang="zh-CN" altLang="en-US" sz="1200" b="0">
              <a:latin typeface="+mn-lt"/>
              <a:ea typeface="+mn-ea"/>
              <a:cs typeface="+mn-cs"/>
            </a:rPr>
            <a:t>（</a:t>
          </a:r>
          <a:r>
            <a:rPr lang="en-US" altLang="zh-CN" sz="1200" b="0">
              <a:latin typeface="+mn-lt"/>
              <a:ea typeface="+mn-ea"/>
              <a:cs typeface="+mn-cs"/>
            </a:rPr>
            <a:t>μT</a:t>
          </a:r>
          <a:r>
            <a:rPr lang="zh-CN" altLang="en-US" sz="1400" b="0">
              <a:latin typeface="+mn-lt"/>
              <a:ea typeface="+mn-ea"/>
              <a:cs typeface="+mn-cs"/>
            </a:rPr>
            <a:t>）</a:t>
          </a:r>
          <a:endParaRPr lang="zh-CN" altLang="en-US" sz="1400" b="0"/>
        </a:p>
        <a:p>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61"/>
    <customShpInfo spid="_x0000_s2065"/>
    <customShpInfo spid="_x0000_s2064"/>
    <customShpInfo spid="_x0000_s2059"/>
    <customShpInfo spid="_x0000_s2062"/>
    <customShpInfo spid="_x0000_s2060"/>
    <customShpInfo spid="_x0000_s2057"/>
    <customShpInfo spid="_x0000_s2058"/>
    <customShpInfo spid="_x0000_s2056"/>
    <customShpInfo spid="_x0000_s2063"/>
    <customShpInfo spid="_x0000_s2071"/>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72"/>
    <customShpInfo spid="_x0000_s2070"/>
    <customShpInfo spid="_x0000_s2088"/>
    <customShpInfo spid="_x0000_s2089"/>
    <customShpInfo spid="_x0000_s2090"/>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087"/>
    <customShpInfo spid="_x0000_s2105"/>
    <customShpInfo spid="_x0000_s2106"/>
    <customShpInfo spid="_x0000_s2107"/>
    <customShpInfo spid="_x0000_s2110"/>
    <customShpInfo spid="_x0000_s2108"/>
    <customShpInfo spid="_x0000_s2109"/>
    <customShpInfo spid="_x0000_s2111"/>
    <customShpInfo spid="_x0000_s2120"/>
    <customShpInfo spid="_x0000_s2112"/>
    <customShpInfo spid="_x0000_s2113"/>
    <customShpInfo spid="_x0000_s2114"/>
    <customShpInfo spid="_x0000_s2115"/>
    <customShpInfo spid="_x0000_s2116"/>
    <customShpInfo spid="_x0000_s2117"/>
    <customShpInfo spid="_x0000_s2118"/>
    <customShpInfo spid="_x0000_s2119"/>
    <customShpInfo spid="_x0000_s2104"/>
    <customShpInfo spid="_x0000_s2122"/>
    <customShpInfo spid="_x0000_s2123"/>
    <customShpInfo spid="_x0000_s2124"/>
    <customShpInfo spid="_x0000_s2125"/>
    <customShpInfo spid="_x0000_s2127"/>
    <customShpInfo spid="_x0000_s2128"/>
    <customShpInfo spid="_x0000_s2129"/>
    <customShpInfo spid="_x0000_s2126"/>
    <customShpInfo spid="_x0000_s2131"/>
    <customShpInfo spid="_x0000_s2132"/>
    <customShpInfo spid="_x0000_s2133"/>
    <customShpInfo spid="_x0000_s2134"/>
    <customShpInfo spid="_x0000_s2135"/>
    <customShpInfo spid="_x0000_s2136"/>
    <customShpInfo spid="_x0000_s2137"/>
    <customShpInfo spid="_x0000_s2139"/>
    <customShpInfo spid="_x0000_s2138"/>
    <customShpInfo spid="_x0000_s2121"/>
    <customShpInfo spid="_x0000_s2141"/>
    <customShpInfo spid="_x0000_s2142"/>
    <customShpInfo spid="_x0000_s2143"/>
    <customShpInfo spid="_x0000_s2144"/>
    <customShpInfo spid="_x0000_s2146"/>
    <customShpInfo spid="_x0000_s2147"/>
    <customShpInfo spid="_x0000_s2148"/>
    <customShpInfo spid="_x0000_s2145"/>
    <customShpInfo spid="_x0000_s2150"/>
    <customShpInfo spid="_x0000_s2151"/>
    <customShpInfo spid="_x0000_s2152"/>
    <customShpInfo spid="_x0000_s2153"/>
    <customShpInfo spid="_x0000_s2154"/>
    <customShpInfo spid="_x0000_s2149"/>
    <customShpInfo spid="_x0000_s2155"/>
    <customShpInfo spid="_x0000_s2156"/>
    <customShpInfo spid="_x0000_s2157"/>
    <customShpInfo spid="_x0000_s2158"/>
    <customShpInfo spid="_x0000_s2160"/>
    <customShpInfo spid="_x0000_s2162"/>
    <customShpInfo spid="_x0000_s2163"/>
    <customShpInfo spid="_x0000_s2161"/>
    <customShpInfo spid="_x0000_s2159"/>
    <customShpInfo spid="_x0000_s2164"/>
    <customShpInfo spid="_x0000_s2165"/>
    <customShpInfo spid="_x0000_s2140"/>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66"/>
    <customShpInfo spid="_x0000_s2254"/>
    <customShpInfo spid="_x0000_s2233"/>
    <customShpInfo spid="_x0000_s2234"/>
    <customShpInfo spid="_x0000_s2235"/>
    <customShpInfo spid="_x0000_s2236"/>
    <customShpInfo spid="_x0000_s2237"/>
    <customShpInfo spid="_x0000_s2238"/>
    <customShpInfo spid="_x0000_s2240"/>
    <customShpInfo spid="_x0000_s2241"/>
    <customShpInfo spid="_x0000_s2250"/>
    <customShpInfo spid="_x0000_s2258"/>
    <customShpInfo spid="_x0000_s2262"/>
    <customShpInfo spid="_x0000_s2266"/>
    <customShpInfo spid="_x0000_s2268"/>
    <customShpInfo spid="_x0000_s2269"/>
    <customShpInfo spid="_x0000_s2270"/>
    <customShpInfo spid="_x0000_s2244"/>
    <customShpInfo spid="_x0000_s2246"/>
    <customShpInfo spid="_x0000_s2247"/>
    <customShpInfo spid="_x0000_s2249"/>
    <customShpInfo spid="_x0000_s2253"/>
    <customShpInfo spid="_x0000_s2257"/>
    <customShpInfo spid="_x0000_s2259"/>
    <customShpInfo spid="_x0000_s2261"/>
    <customShpInfo spid="_x0000_s2265"/>
    <customShpInfo spid="_x0000_s2285"/>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71"/>
    <customShpInfo spid="_x0000_s2289"/>
    <customShpInfo spid="_x0000_s2290"/>
    <customShpInfo spid="_x0000_s2291"/>
    <customShpInfo spid="_x0000_s2288"/>
    <customShpInfo spid="_x0000_s2292"/>
    <customShpInfo spid="_x0000_s2293"/>
    <customShpInfo spid="_x0000_s2295"/>
    <customShpInfo spid="_x0000_s2296"/>
    <customShpInfo spid="_x0000_s2297"/>
    <customShpInfo spid="_x0000_s2299"/>
    <customShpInfo spid="_x0000_s2381"/>
    <customShpInfo spid="_x0000_s2382"/>
    <customShpInfo spid="_x0000_s2384"/>
    <customShpInfo spid="_x0000_s2386"/>
    <customShpInfo spid="_x0000_s2387"/>
    <customShpInfo spid="_x0000_s2388"/>
    <customShpInfo spid="_x0000_s2389"/>
    <customShpInfo spid="_x0000_s2390"/>
    <customShpInfo spid="_x0000_s2391"/>
    <customShpInfo spid="_x0000_s2394"/>
    <customShpInfo spid="_x0000_s2396"/>
    <customShpInfo spid="_x0000_s2397"/>
    <customShpInfo spid="_x0000_s2399"/>
    <customShpInfo spid="_x0000_s2401"/>
    <customShpInfo spid="_x0000_s2405"/>
    <customShpInfo spid="_x0000_s2409"/>
    <customShpInfo spid="_x0000_s2411"/>
    <customShpInfo spid="_x0000_s2413"/>
    <customShpInfo spid="_x0000_s2415"/>
    <customShpInfo spid="_x0000_s2417"/>
    <customShpInfo spid="_x0000_s2420"/>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2"/>
    <customShpInfo spid="_x0000_s2419"/>
    <customShpInfo spid="_x0000_s2404"/>
    <customShpInfo spid="_x0000_s2406"/>
    <customShpInfo spid="_x0000_s2407"/>
    <customShpInfo spid="_x0000_s2408"/>
    <customShpInfo spid="_x0000_s2393"/>
    <customShpInfo spid="_x0000_s2395"/>
    <customShpInfo spid="_x0000_s2398"/>
    <customShpInfo spid="_x0000_s2400"/>
    <customShpInfo spid="_x0000_s2402"/>
    <customShpInfo spid="_x0000_s2383"/>
    <customShpInfo spid="_x0000_s2385"/>
    <customShpInfo spid="_x0000_s2392"/>
    <customShpInfo spid="_x0000_s2403"/>
    <customShpInfo spid="_x0000_s2410"/>
    <customShpInfo spid="_x0000_s2412"/>
    <customShpInfo spid="_x0000_s2414"/>
    <customShpInfo spid="_x0000_s2416"/>
    <customShpInfo spid="_x0000_s2418"/>
    <customShpInfo spid="_x0000_s2421"/>
    <customShpInfo spid="_x0000_s2451"/>
    <customShpInfo spid="_x0000_s2453"/>
    <customShpInfo spid="_x0000_s2454"/>
    <customShpInfo spid="_x0000_s2460"/>
    <customShpInfo spid="_x0000_s2461"/>
    <customShpInfo spid="_x0000_s2462"/>
    <customShpInfo spid="_x0000_s2463"/>
    <customShpInfo spid="_x0000_s2464"/>
    <customShpInfo spid="_x0000_s2465"/>
    <customShpInfo spid="_x0000_s2494"/>
    <customShpInfo spid="_x0000_s2455"/>
    <customShpInfo spid="_x0000_s2456"/>
    <customShpInfo spid="_x0000_s2457"/>
    <customShpInfo spid="_x0000_s2380"/>
    <customShpInfo spid="_x0000_s2497"/>
    <customShpInfo spid="_x0000_s2498"/>
    <customShpInfo spid="_x0000_s2499"/>
    <customShpInfo spid="_x0000_s2512"/>
    <customShpInfo spid="_x0000_s2527"/>
    <customShpInfo spid="_x0000_s2526"/>
    <customShpInfo spid="_x0000_s252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BEFE5-05D2-442C-8509-13DC595E0BA4}">
  <ds:schemaRefs/>
</ds:datastoreItem>
</file>

<file path=docProps/app.xml><?xml version="1.0" encoding="utf-8"?>
<Properties xmlns="http://schemas.openxmlformats.org/officeDocument/2006/extended-properties" xmlns:vt="http://schemas.openxmlformats.org/officeDocument/2006/docPropsVTypes">
  <Template>Normal</Template>
  <Company>wimxt.com</Company>
  <Pages>85</Pages>
  <Words>7691</Words>
  <Characters>43839</Characters>
  <Lines>365</Lines>
  <Paragraphs>102</Paragraphs>
  <TotalTime>21</TotalTime>
  <ScaleCrop>false</ScaleCrop>
  <LinksUpToDate>false</LinksUpToDate>
  <CharactersWithSpaces>51428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2020-08-17T03:23:00Z</dcterms:created>
  <dc:creator>Administrator</dc:creator>
  <cp:lastModifiedBy>简单</cp:lastModifiedBy>
  <cp:lastPrinted>2020-08-17T08:42:00Z</cp:lastPrinted>
  <dcterms:modified xsi:type="dcterms:W3CDTF">2020-08-25T10:39:07Z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