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许环辐审〔202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关于许昌禹州方岗110kV输变电工程环境影响报告表的批复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你公司（统一社会信用代码:914110000057479041）报送的《</w:t>
      </w:r>
      <w:r>
        <w:rPr>
          <w:rFonts w:hint="eastAsia" w:eastAsia="仿宋"/>
          <w:sz w:val="32"/>
          <w:szCs w:val="32"/>
        </w:rPr>
        <w:t>关于《</w:t>
      </w:r>
      <w:r>
        <w:rPr>
          <w:rFonts w:eastAsia="仿宋"/>
          <w:sz w:val="32"/>
          <w:szCs w:val="32"/>
          <w:lang w:val="en-US" w:eastAsia="zh-CN"/>
        </w:rPr>
        <w:t>许昌禹州方岗</w:t>
      </w:r>
      <w:r>
        <w:rPr>
          <w:rFonts w:hint="default" w:eastAsia="仿宋"/>
          <w:sz w:val="32"/>
          <w:szCs w:val="32"/>
          <w:lang w:val="en-US" w:eastAsia="zh-CN"/>
        </w:rPr>
        <w:t>110</w:t>
      </w:r>
      <w:r>
        <w:rPr>
          <w:rFonts w:hint="eastAsia" w:eastAsia="仿宋"/>
          <w:sz w:val="32"/>
          <w:szCs w:val="32"/>
          <w:lang w:val="en-US" w:eastAsia="zh-CN"/>
        </w:rPr>
        <w:t>千伏输变电工程环境影响报告表</w:t>
      </w:r>
      <w:r>
        <w:rPr>
          <w:rFonts w:hint="eastAsia" w:eastAsia="仿宋"/>
          <w:sz w:val="32"/>
          <w:szCs w:val="32"/>
        </w:rPr>
        <w:t>》的技术评估报告</w:t>
      </w:r>
      <w:r>
        <w:rPr>
          <w:rFonts w:eastAsia="仿宋"/>
          <w:sz w:val="32"/>
          <w:szCs w:val="32"/>
        </w:rPr>
        <w:t>》（报批版，以下简称《报告表》）收悉，该项目环评审批事项已在我局网站公示期满。经认真研究，批复如下：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一、原则批准由武汉华凯环境安全技术发展有限公司编制的《报告表》，建设单位应据此认真落实环保投资和各项污染防治措施。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二、</w:t>
      </w:r>
      <w:r>
        <w:rPr>
          <w:rFonts w:hint="eastAsia" w:eastAsia="仿宋"/>
          <w:sz w:val="32"/>
          <w:szCs w:val="32"/>
        </w:rPr>
        <w:t>项目位</w:t>
      </w:r>
      <w:r>
        <w:rPr>
          <w:rFonts w:eastAsia="仿宋"/>
          <w:sz w:val="32"/>
          <w:szCs w:val="32"/>
        </w:rPr>
        <w:t>许昌市禹州方岗乡，距刘岗村东约400米，下刘村西约600米处，朱沟村西北约500米处。</w:t>
      </w:r>
      <w:r>
        <w:rPr>
          <w:rFonts w:eastAsia="仿宋"/>
          <w:sz w:val="32"/>
          <w:szCs w:val="32"/>
          <w:lang w:val="en-US" w:eastAsia="zh-CN"/>
        </w:rPr>
        <w:t>工程总投资</w:t>
      </w:r>
      <w:r>
        <w:rPr>
          <w:rFonts w:hint="default" w:eastAsia="仿宋"/>
          <w:sz w:val="32"/>
          <w:szCs w:val="32"/>
          <w:lang w:val="en-US" w:eastAsia="zh-CN"/>
        </w:rPr>
        <w:t>4548</w:t>
      </w:r>
      <w:r>
        <w:rPr>
          <w:rFonts w:hint="eastAsia" w:eastAsia="仿宋"/>
          <w:sz w:val="32"/>
          <w:szCs w:val="32"/>
          <w:lang w:val="en-US" w:eastAsia="zh-CN"/>
        </w:rPr>
        <w:t>万元，其中环境保护投资</w:t>
      </w:r>
      <w:r>
        <w:rPr>
          <w:rFonts w:hint="default" w:eastAsia="仿宋"/>
          <w:sz w:val="32"/>
          <w:szCs w:val="32"/>
          <w:lang w:val="en-US" w:eastAsia="zh-CN"/>
        </w:rPr>
        <w:t>36</w:t>
      </w:r>
      <w:r>
        <w:rPr>
          <w:rFonts w:hint="eastAsia" w:eastAsia="仿宋"/>
          <w:sz w:val="32"/>
          <w:szCs w:val="32"/>
          <w:lang w:val="en-US" w:eastAsia="zh-CN"/>
        </w:rPr>
        <w:t>万元，占工程总投资的</w:t>
      </w:r>
      <w:r>
        <w:rPr>
          <w:rFonts w:hint="default" w:eastAsia="仿宋"/>
          <w:sz w:val="32"/>
          <w:szCs w:val="32"/>
          <w:lang w:val="en-US" w:eastAsia="zh-CN"/>
        </w:rPr>
        <w:t>0.79%</w:t>
      </w:r>
      <w:r>
        <w:rPr>
          <w:rFonts w:hint="eastAsia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三、项目主要建设内容：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⑴</w:t>
      </w:r>
      <w:r>
        <w:rPr>
          <w:rFonts w:eastAsia="仿宋"/>
          <w:sz w:val="32"/>
          <w:szCs w:val="32"/>
        </w:rPr>
        <w:t>变电站总占地面积4258m</w:t>
      </w:r>
      <w:r>
        <w:rPr>
          <w:rFonts w:eastAsia="仿宋"/>
          <w:sz w:val="32"/>
          <w:szCs w:val="32"/>
          <w:vertAlign w:val="superscript"/>
        </w:rPr>
        <w:t>2</w:t>
      </w:r>
      <w:r>
        <w:rPr>
          <w:rFonts w:eastAsia="仿宋"/>
          <w:sz w:val="32"/>
          <w:szCs w:val="32"/>
        </w:rPr>
        <w:t>，主变户外布置，110kV配电装置户内布置。规划主变容量3×50MVA，110kV出线4回，本期建设主变容量1×50MVA，110kV出线3回。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（2）配套110kV线路工程①新建110kV钧鸿线π入方岗110kV线路工程：新建线路起于110kV方岗变，东π段止于110kV钧鸿线26#塔西侧，线路全长1.09km，单回路架设1.0km，单回电缆敷设0.09km。西π段止于钧鸿线28#塔东侧，线路全长1.1km，其中同塔双回路架设0.9km，单回路架设0.2km。②新建钧州~方岗Ⅱ回110kV线路工程：新建线路起于110kV方岗变，止于220kV钧州变，线路全长6.0km，单回路架设。③110kV钧文线升高改造工程：本期将110kV钧文线4#、5#杆塔进行抬升，同时拆除原4#、5#杆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四</w:t>
      </w:r>
      <w:r>
        <w:rPr>
          <w:rFonts w:eastAsia="仿宋"/>
          <w:sz w:val="32"/>
          <w:szCs w:val="32"/>
        </w:rPr>
        <w:t>、项目建设和运营期间须重点做好的工作。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周围各功能区噪声符合环境影响评价执行标准。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0"/>
          <w:szCs w:val="30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五</w:t>
      </w:r>
      <w:r>
        <w:rPr>
          <w:rFonts w:eastAsia="仿宋"/>
          <w:sz w:val="32"/>
          <w:szCs w:val="32"/>
        </w:rPr>
        <w:t>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六</w:t>
      </w:r>
      <w:r>
        <w:rPr>
          <w:rFonts w:eastAsia="仿宋"/>
          <w:sz w:val="32"/>
          <w:szCs w:val="32"/>
        </w:rPr>
        <w:t>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4800" w:firstLineChars="1600"/>
        <w:jc w:val="center"/>
        <w:textAlignment w:val="baseline"/>
        <w:rPr>
          <w:rFonts w:eastAsia="仿宋"/>
          <w:color w:val="auto"/>
          <w:sz w:val="30"/>
          <w:szCs w:val="30"/>
        </w:rPr>
      </w:pPr>
      <w:bookmarkStart w:id="0" w:name="_GoBack"/>
      <w:bookmarkEnd w:id="0"/>
      <w:r>
        <w:rPr>
          <w:rFonts w:eastAsia="仿宋"/>
          <w:sz w:val="30"/>
          <w:szCs w:val="30"/>
        </w:rPr>
        <w:t>202</w:t>
      </w:r>
      <w:r>
        <w:rPr>
          <w:rFonts w:hint="eastAsia" w:eastAsia="仿宋"/>
          <w:sz w:val="30"/>
          <w:szCs w:val="30"/>
          <w:lang w:val="en-US" w:eastAsia="zh-CN"/>
        </w:rPr>
        <w:t>1</w:t>
      </w:r>
      <w:r>
        <w:rPr>
          <w:rFonts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6</w:t>
      </w:r>
      <w:r>
        <w:rPr>
          <w:rFonts w:eastAsia="仿宋"/>
          <w:color w:val="auto"/>
          <w:sz w:val="30"/>
          <w:szCs w:val="30"/>
        </w:rPr>
        <w:t>月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5</w:t>
      </w:r>
      <w:r>
        <w:rPr>
          <w:rFonts w:eastAsia="仿宋"/>
          <w:color w:val="auto"/>
          <w:sz w:val="30"/>
          <w:szCs w:val="30"/>
        </w:rPr>
        <w:t>日</w:t>
      </w:r>
    </w:p>
    <w:p>
      <w:pPr>
        <w:pStyle w:val="2"/>
        <w:rPr>
          <w:rFonts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ascii="仿宋" w:hAnsi="仿宋" w:eastAsia="仿宋" w:cs="仿宋"/>
          <w:sz w:val="32"/>
          <w:szCs w:val="32"/>
        </w:rPr>
        <w:t>，许昌市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生态环境局禹州分</w:t>
      </w:r>
      <w:r>
        <w:rPr>
          <w:rFonts w:hint="eastAsia" w:ascii="仿宋" w:hAnsi="仿宋" w:eastAsia="仿宋" w:cs="仿宋"/>
          <w:sz w:val="32"/>
          <w:szCs w:val="32"/>
        </w:rPr>
        <w:t>局。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025A3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B355D"/>
    <w:rsid w:val="003C4FF3"/>
    <w:rsid w:val="003F774C"/>
    <w:rsid w:val="0043588C"/>
    <w:rsid w:val="004F725F"/>
    <w:rsid w:val="005B4ED6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1225"/>
    <w:rsid w:val="00E92444"/>
    <w:rsid w:val="00EE1324"/>
    <w:rsid w:val="00F97B33"/>
    <w:rsid w:val="00FB0DFD"/>
    <w:rsid w:val="018712A9"/>
    <w:rsid w:val="01E2002B"/>
    <w:rsid w:val="02E758B8"/>
    <w:rsid w:val="03625397"/>
    <w:rsid w:val="03AA7A7C"/>
    <w:rsid w:val="04055970"/>
    <w:rsid w:val="04312852"/>
    <w:rsid w:val="056B5980"/>
    <w:rsid w:val="05A45D8B"/>
    <w:rsid w:val="066D6A9F"/>
    <w:rsid w:val="07D319C9"/>
    <w:rsid w:val="090B05CF"/>
    <w:rsid w:val="095F3020"/>
    <w:rsid w:val="0A2B58D8"/>
    <w:rsid w:val="0AC85F05"/>
    <w:rsid w:val="0BE55213"/>
    <w:rsid w:val="0E636F69"/>
    <w:rsid w:val="0E823CCD"/>
    <w:rsid w:val="0F2C62E2"/>
    <w:rsid w:val="0FF73FB2"/>
    <w:rsid w:val="104B6073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C4D22"/>
    <w:rsid w:val="22AE6EEC"/>
    <w:rsid w:val="22C34505"/>
    <w:rsid w:val="251A57A0"/>
    <w:rsid w:val="26A53152"/>
    <w:rsid w:val="27177161"/>
    <w:rsid w:val="27BD09D7"/>
    <w:rsid w:val="289E0881"/>
    <w:rsid w:val="28D65AAF"/>
    <w:rsid w:val="296C4852"/>
    <w:rsid w:val="29C66548"/>
    <w:rsid w:val="2A821ED1"/>
    <w:rsid w:val="2B4E7E07"/>
    <w:rsid w:val="2B9B7698"/>
    <w:rsid w:val="2C0D3A63"/>
    <w:rsid w:val="2CF12AEB"/>
    <w:rsid w:val="2DD909BA"/>
    <w:rsid w:val="2E0919EE"/>
    <w:rsid w:val="332029EE"/>
    <w:rsid w:val="3468352D"/>
    <w:rsid w:val="36CC6667"/>
    <w:rsid w:val="37803B1C"/>
    <w:rsid w:val="38590389"/>
    <w:rsid w:val="38E6691B"/>
    <w:rsid w:val="3A2156A2"/>
    <w:rsid w:val="3A2401A7"/>
    <w:rsid w:val="3B1C5833"/>
    <w:rsid w:val="3D49138C"/>
    <w:rsid w:val="3D944887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D167BEA"/>
    <w:rsid w:val="5F3F6F06"/>
    <w:rsid w:val="60BE2601"/>
    <w:rsid w:val="640937A2"/>
    <w:rsid w:val="65477E12"/>
    <w:rsid w:val="67C35397"/>
    <w:rsid w:val="687D3F35"/>
    <w:rsid w:val="69C6599F"/>
    <w:rsid w:val="6C11001F"/>
    <w:rsid w:val="6DD0183E"/>
    <w:rsid w:val="702E2A47"/>
    <w:rsid w:val="70F125FD"/>
    <w:rsid w:val="715D73AE"/>
    <w:rsid w:val="71687B38"/>
    <w:rsid w:val="72394ED9"/>
    <w:rsid w:val="74E75791"/>
    <w:rsid w:val="773D531D"/>
    <w:rsid w:val="783F5889"/>
    <w:rsid w:val="7978067C"/>
    <w:rsid w:val="79B25749"/>
    <w:rsid w:val="7A7301C5"/>
    <w:rsid w:val="7A9D3752"/>
    <w:rsid w:val="7BB76E70"/>
    <w:rsid w:val="7BE317E0"/>
    <w:rsid w:val="7C31205F"/>
    <w:rsid w:val="7CC705DE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4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semiHidden/>
    <w:unhideWhenUsed/>
    <w:uiPriority w:val="99"/>
    <w:rPr>
      <w:color w:val="222222"/>
      <w:u w:val="none"/>
    </w:rPr>
  </w:style>
  <w:style w:type="character" w:styleId="13">
    <w:name w:val="Hyperlink"/>
    <w:basedOn w:val="10"/>
    <w:semiHidden/>
    <w:unhideWhenUsed/>
    <w:uiPriority w:val="99"/>
    <w:rPr>
      <w:color w:val="222222"/>
      <w:u w:val="none"/>
    </w:rPr>
  </w:style>
  <w:style w:type="character" w:customStyle="1" w:styleId="14">
    <w:name w:val="页脚 字符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5">
    <w:name w:val="页眉 字符"/>
    <w:basedOn w:val="10"/>
    <w:link w:val="6"/>
    <w:qFormat/>
    <w:locked/>
    <w:uiPriority w:val="99"/>
    <w:rPr>
      <w:rFonts w:cs="Times New Roman"/>
      <w:sz w:val="18"/>
    </w:rPr>
  </w:style>
  <w:style w:type="paragraph" w:customStyle="1" w:styleId="16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  <w:style w:type="character" w:customStyle="1" w:styleId="17">
    <w:name w:val="layui-layer-tabnow"/>
    <w:basedOn w:val="10"/>
    <w:uiPriority w:val="0"/>
    <w:rPr>
      <w:bdr w:val="single" w:color="CCCCCC" w:sz="4" w:space="0"/>
      <w:shd w:val="clear" w:fill="FFFFFF"/>
    </w:rPr>
  </w:style>
  <w:style w:type="character" w:customStyle="1" w:styleId="18">
    <w:name w:val="l-btn-empty"/>
    <w:basedOn w:val="10"/>
    <w:uiPriority w:val="0"/>
  </w:style>
  <w:style w:type="character" w:customStyle="1" w:styleId="19">
    <w:name w:val="button"/>
    <w:basedOn w:val="10"/>
    <w:uiPriority w:val="0"/>
  </w:style>
  <w:style w:type="character" w:customStyle="1" w:styleId="20">
    <w:name w:val="first-child"/>
    <w:basedOn w:val="10"/>
    <w:uiPriority w:val="0"/>
  </w:style>
  <w:style w:type="character" w:customStyle="1" w:styleId="21">
    <w:name w:val="uni-font-connect"/>
    <w:basedOn w:val="10"/>
    <w:uiPriority w:val="0"/>
  </w:style>
  <w:style w:type="character" w:customStyle="1" w:styleId="22">
    <w:name w:val="l-btn-left2"/>
    <w:basedOn w:val="10"/>
    <w:uiPriority w:val="0"/>
  </w:style>
  <w:style w:type="character" w:customStyle="1" w:styleId="23">
    <w:name w:val="l-btn-left3"/>
    <w:basedOn w:val="10"/>
    <w:uiPriority w:val="0"/>
  </w:style>
  <w:style w:type="character" w:customStyle="1" w:styleId="24">
    <w:name w:val="l-btn-left4"/>
    <w:basedOn w:val="10"/>
    <w:uiPriority w:val="0"/>
  </w:style>
  <w:style w:type="character" w:customStyle="1" w:styleId="25">
    <w:name w:val="l-btn-left5"/>
    <w:basedOn w:val="10"/>
    <w:uiPriority w:val="0"/>
  </w:style>
  <w:style w:type="character" w:customStyle="1" w:styleId="26">
    <w:name w:val="l-btn-text"/>
    <w:basedOn w:val="10"/>
    <w:uiPriority w:val="0"/>
    <w:rPr>
      <w:vertAlign w:val="baseline"/>
    </w:rPr>
  </w:style>
  <w:style w:type="character" w:customStyle="1" w:styleId="27">
    <w:name w:val="l-btn-icon-left"/>
    <w:basedOn w:val="10"/>
    <w:uiPriority w:val="0"/>
  </w:style>
  <w:style w:type="character" w:customStyle="1" w:styleId="28">
    <w:name w:val="l-btn-icon-right"/>
    <w:basedOn w:val="10"/>
    <w:uiPriority w:val="0"/>
  </w:style>
  <w:style w:type="character" w:customStyle="1" w:styleId="29">
    <w:name w:val="tmpztreemove_arrow"/>
    <w:basedOn w:val="10"/>
    <w:uiPriority w:val="0"/>
  </w:style>
  <w:style w:type="character" w:customStyle="1" w:styleId="30">
    <w:name w:val="l-btn-left"/>
    <w:basedOn w:val="10"/>
    <w:uiPriority w:val="0"/>
  </w:style>
  <w:style w:type="character" w:customStyle="1" w:styleId="31">
    <w:name w:val="l-btn-left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TotalTime>15</TotalTime>
  <ScaleCrop>false</ScaleCrop>
  <LinksUpToDate>false</LinksUpToDate>
  <CharactersWithSpaces>1106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天宝盛世</cp:lastModifiedBy>
  <cp:lastPrinted>2019-11-26T08:10:00Z</cp:lastPrinted>
  <dcterms:modified xsi:type="dcterms:W3CDTF">2021-06-07T03:28:19Z</dcterms:modified>
  <dc:title>许环辐审〔2015〕1号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RubyTemplateID" linkTarget="0">
    <vt:lpwstr>6</vt:lpwstr>
  </property>
  <property fmtid="{D5CDD505-2E9C-101B-9397-08002B2CF9AE}" pid="4" name="ICV">
    <vt:lpwstr>035F376B213841B7A6150FAD952A1C53</vt:lpwstr>
  </property>
</Properties>
</file>