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eastAsia="仿宋"/>
          <w:sz w:val="32"/>
          <w:szCs w:val="32"/>
        </w:rPr>
        <w:t>许环辐审〔2020〕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eastAsia="仿宋"/>
          <w:sz w:val="32"/>
          <w:szCs w:val="32"/>
        </w:rPr>
        <w:t>号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</w:t>
      </w:r>
      <w:r>
        <w:rPr>
          <w:rFonts w:hint="eastAsia" w:eastAsia="黑体"/>
          <w:sz w:val="44"/>
          <w:szCs w:val="44"/>
        </w:rPr>
        <w:t>禹州张庄</w:t>
      </w:r>
      <w:r>
        <w:rPr>
          <w:rFonts w:eastAsia="黑体"/>
          <w:sz w:val="44"/>
          <w:szCs w:val="44"/>
        </w:rPr>
        <w:t>110千伏输变电工程</w:t>
      </w:r>
      <w:bookmarkEnd w:id="0"/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</w:t>
      </w:r>
      <w:r>
        <w:rPr>
          <w:rFonts w:hint="eastAsia" w:eastAsia="仿宋"/>
          <w:sz w:val="32"/>
          <w:szCs w:val="32"/>
        </w:rPr>
        <w:t>禹州张庄</w:t>
      </w:r>
      <w:r>
        <w:rPr>
          <w:rFonts w:eastAsia="仿宋"/>
          <w:sz w:val="32"/>
          <w:szCs w:val="32"/>
        </w:rPr>
        <w:t>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</w:t>
      </w:r>
      <w:r>
        <w:rPr>
          <w:rFonts w:hint="eastAsia" w:eastAsia="仿宋"/>
          <w:sz w:val="32"/>
          <w:szCs w:val="32"/>
          <w:lang w:eastAsia="zh-CN"/>
        </w:rPr>
        <w:t>市</w:t>
      </w:r>
      <w:r>
        <w:rPr>
          <w:rFonts w:hint="eastAsia" w:eastAsia="仿宋"/>
          <w:sz w:val="32"/>
          <w:szCs w:val="32"/>
        </w:rPr>
        <w:t>禹州市</w:t>
      </w:r>
      <w:r>
        <w:rPr>
          <w:rFonts w:eastAsia="仿宋"/>
          <w:sz w:val="32"/>
          <w:szCs w:val="32"/>
        </w:rPr>
        <w:t>境内。工程总投资4462万元，其中环境保护投资30万元。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（一）新建张庄110kV变电站：站址位于禹州市城区东北约7.8km处，计堂村东约100m，临近016县道，规划的南北大街与工业路交叉口西北角。变电站总占地面积49</w:t>
      </w:r>
      <w:r>
        <w:rPr>
          <w:rFonts w:hint="eastAsia" w:eastAsia="仿宋"/>
          <w:sz w:val="32"/>
          <w:szCs w:val="32"/>
          <w:lang w:val="en-US" w:eastAsia="zh-CN"/>
        </w:rPr>
        <w:t>65</w:t>
      </w:r>
      <w:r>
        <w:rPr>
          <w:rFonts w:hint="eastAsia" w:eastAsia="仿宋"/>
          <w:sz w:val="32"/>
          <w:szCs w:val="32"/>
        </w:rPr>
        <w:t>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，主变及110kV配电装置均户外布置。规划主变容量3×50MVA，110kV出线4回，本期建设主变容量1×50MVA，110kV出线2回。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（二）夏都~滨河Ⅰ、Ⅱ回T接张庄110kV线路工程：新建线路起于110kV张庄变电站，止于夏都~滨河Ⅰ、Ⅱ回线路16#塔附近T接点。线路全长4.9km，其中同塔双回架空线路4.5km，双回电缆敷设0.4km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(GB12348-2008)厂界外2类声环境功能区厂界环境环境噪声排放限值，防止噪声扰民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线路与公路、铁路、电力线等交叉跨越时应按规范要求留有足够的净空距离；线路经过林地时应采取较小塔型、高塔跨越及加大铁塔档距等措施，选择影响较小区域通过，以减少占地和林木砍伐，防止破坏生态环境和景观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（六）加强施工前的环境保护工作，落实各项生态保护和污染防治措施。采取有效防尘、降噪措施，不得施工扰民。项目建成后，应及时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 xml:space="preserve">月 </w:t>
      </w:r>
      <w:bookmarkStart w:id="1" w:name="_GoBack"/>
      <w:r>
        <w:rPr>
          <w:rFonts w:hint="eastAsia" w:eastAsia="仿宋"/>
          <w:sz w:val="32"/>
          <w:szCs w:val="32"/>
          <w:lang w:val="en-US" w:eastAsia="zh-CN"/>
        </w:rPr>
        <w:t>1</w:t>
      </w:r>
      <w:bookmarkEnd w:id="1"/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生态环境局禹州分</w:t>
      </w:r>
      <w:r>
        <w:rPr>
          <w:rFonts w:hint="eastAsia" w:eastAsia="仿宋"/>
          <w:sz w:val="32"/>
          <w:szCs w:val="32"/>
        </w:rPr>
        <w:t>局，</w:t>
      </w:r>
      <w:r>
        <w:rPr>
          <w:rFonts w:hint="eastAsia" w:eastAsia="仿宋"/>
          <w:sz w:val="32"/>
          <w:szCs w:val="32"/>
          <w:lang w:val="en-US" w:eastAsia="zh-CN"/>
        </w:rPr>
        <w:t>国网河南省电力公司许昌供电公司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0A321D9"/>
    <w:rsid w:val="116D5871"/>
    <w:rsid w:val="14701F95"/>
    <w:rsid w:val="15347EF1"/>
    <w:rsid w:val="15AB2A5A"/>
    <w:rsid w:val="1667567B"/>
    <w:rsid w:val="16D67C2A"/>
    <w:rsid w:val="1735373B"/>
    <w:rsid w:val="17B51A35"/>
    <w:rsid w:val="17F461DB"/>
    <w:rsid w:val="18665C72"/>
    <w:rsid w:val="19250C4F"/>
    <w:rsid w:val="1961486A"/>
    <w:rsid w:val="1C745047"/>
    <w:rsid w:val="1EC03777"/>
    <w:rsid w:val="1EEF2370"/>
    <w:rsid w:val="211C4D22"/>
    <w:rsid w:val="21CC58D4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275787A"/>
    <w:rsid w:val="332029EE"/>
    <w:rsid w:val="36CC6667"/>
    <w:rsid w:val="37803B1C"/>
    <w:rsid w:val="3A2401A7"/>
    <w:rsid w:val="3D49138C"/>
    <w:rsid w:val="3D944887"/>
    <w:rsid w:val="3FDA6DFA"/>
    <w:rsid w:val="403C4D98"/>
    <w:rsid w:val="40471F6B"/>
    <w:rsid w:val="40912A54"/>
    <w:rsid w:val="43C75B46"/>
    <w:rsid w:val="443F0F38"/>
    <w:rsid w:val="45080343"/>
    <w:rsid w:val="45E23EF2"/>
    <w:rsid w:val="47E03E09"/>
    <w:rsid w:val="4A501161"/>
    <w:rsid w:val="4F8773E2"/>
    <w:rsid w:val="51A642FD"/>
    <w:rsid w:val="5247484F"/>
    <w:rsid w:val="527F25A9"/>
    <w:rsid w:val="53557B7F"/>
    <w:rsid w:val="53683112"/>
    <w:rsid w:val="53DC3C91"/>
    <w:rsid w:val="54054391"/>
    <w:rsid w:val="57D46814"/>
    <w:rsid w:val="5ADA2A63"/>
    <w:rsid w:val="5CE96CA3"/>
    <w:rsid w:val="5F3F6F06"/>
    <w:rsid w:val="60BE2601"/>
    <w:rsid w:val="640937A2"/>
    <w:rsid w:val="64B43DE8"/>
    <w:rsid w:val="65477E12"/>
    <w:rsid w:val="67C35397"/>
    <w:rsid w:val="68155C51"/>
    <w:rsid w:val="687D3F35"/>
    <w:rsid w:val="69C6599F"/>
    <w:rsid w:val="6C11001F"/>
    <w:rsid w:val="6DD0183E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脚 字符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10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1153</Characters>
  <Lines>9</Lines>
  <Paragraphs>2</Paragraphs>
  <TotalTime>25</TotalTime>
  <ScaleCrop>false</ScaleCrop>
  <LinksUpToDate>false</LinksUpToDate>
  <CharactersWithSpaces>1353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简单</cp:lastModifiedBy>
  <cp:lastPrinted>2019-11-26T08:10:00Z</cp:lastPrinted>
  <dcterms:modified xsi:type="dcterms:W3CDTF">2020-03-31T01:11:25Z</dcterms:modified>
  <dc:title>许环辐审〔2015〕1号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KSORubyTemplateID" linkTarget="0">
    <vt:lpwstr>6</vt:lpwstr>
  </property>
</Properties>
</file>