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襄城县城关镇卫生院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襄城县城关镇卫生院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一、原则同意襄城县城关镇卫生院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</w:rPr>
        <w:t>王文召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</w:t>
      </w:r>
      <w:r>
        <w:rPr>
          <w:rFonts w:hint="eastAsia" w:ascii="仿宋" w:hAnsi="仿宋" w:eastAsia="仿宋" w:cs="仿宋"/>
          <w:bCs/>
          <w:sz w:val="32"/>
          <w:szCs w:val="32"/>
        </w:rPr>
        <w:t>襄城县城关镇北大街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F3D0A4F"/>
    <w:rsid w:val="21FE3053"/>
    <w:rsid w:val="3A7F5EE7"/>
    <w:rsid w:val="3D472AE8"/>
    <w:rsid w:val="549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qFormat/>
    <w:uiPriority w:val="0"/>
  </w:style>
  <w:style w:type="character" w:customStyle="1" w:styleId="8">
    <w:name w:val="first-child"/>
    <w:basedOn w:val="3"/>
    <w:uiPriority w:val="0"/>
  </w:style>
  <w:style w:type="character" w:customStyle="1" w:styleId="9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天宝盛世</cp:lastModifiedBy>
  <dcterms:modified xsi:type="dcterms:W3CDTF">2021-05-31T03:37:53Z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AB24D60007EA4A9CA883F647B3842C32</vt:lpwstr>
  </property>
</Properties>
</file>