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4"/>
          <w:szCs w:val="44"/>
        </w:rPr>
      </w:pPr>
      <w:r>
        <w:rPr>
          <w:rFonts w:hint="eastAsia" w:ascii="黑体" w:hAnsi="黑体" w:eastAsia="黑体" w:cs="黑体"/>
          <w:sz w:val="44"/>
          <w:szCs w:val="44"/>
        </w:rPr>
        <w:t>许昌市生态环境局关于2020年</w:t>
      </w:r>
      <w:r>
        <w:rPr>
          <w:rFonts w:hint="eastAsia" w:ascii="黑体" w:hAnsi="黑体" w:eastAsia="黑体" w:cs="黑体"/>
          <w:sz w:val="44"/>
          <w:szCs w:val="44"/>
          <w:lang w:val="en-US" w:eastAsia="zh-CN"/>
        </w:rPr>
        <w:t>9</w:t>
      </w:r>
      <w:r>
        <w:rPr>
          <w:rFonts w:hint="eastAsia" w:ascii="黑体" w:hAnsi="黑体" w:eastAsia="黑体" w:cs="黑体"/>
          <w:sz w:val="44"/>
          <w:szCs w:val="44"/>
        </w:rPr>
        <w:t>月</w:t>
      </w:r>
      <w:r>
        <w:rPr>
          <w:rFonts w:hint="eastAsia" w:ascii="黑体" w:hAnsi="黑体" w:eastAsia="黑体" w:cs="黑体"/>
          <w:sz w:val="44"/>
          <w:szCs w:val="44"/>
          <w:lang w:val="en-US" w:eastAsia="zh-CN"/>
        </w:rPr>
        <w:t>24</w:t>
      </w:r>
      <w:r>
        <w:rPr>
          <w:rFonts w:hint="eastAsia" w:ascii="黑体" w:hAnsi="黑体" w:eastAsia="黑体" w:cs="黑体"/>
          <w:sz w:val="44"/>
          <w:szCs w:val="44"/>
        </w:rPr>
        <w:t>日作出的辐射类建设项目环境影响评价文件审批决定的公告</w:t>
      </w:r>
    </w:p>
    <w:p>
      <w:pPr>
        <w:jc w:val="center"/>
        <w:rPr>
          <w:rFonts w:hint="default" w:ascii="黑体" w:hAnsi="黑体" w:eastAsia="黑体" w:cs="黑体"/>
          <w:sz w:val="30"/>
          <w:szCs w:val="30"/>
          <w:lang w:val="en-US" w:eastAsia="zh-CN"/>
        </w:rPr>
      </w:pPr>
      <w:r>
        <w:rPr>
          <w:rFonts w:hint="eastAsia" w:ascii="黑体" w:hAnsi="黑体" w:eastAsia="黑体" w:cs="黑体"/>
          <w:sz w:val="30"/>
          <w:szCs w:val="30"/>
        </w:rPr>
        <w:t>2020-</w:t>
      </w:r>
      <w:r>
        <w:rPr>
          <w:rFonts w:hint="eastAsia" w:ascii="黑体" w:hAnsi="黑体" w:eastAsia="黑体" w:cs="黑体"/>
          <w:sz w:val="30"/>
          <w:szCs w:val="30"/>
          <w:lang w:val="en-US" w:eastAsia="zh-CN"/>
        </w:rPr>
        <w:t>9</w:t>
      </w:r>
      <w:r>
        <w:rPr>
          <w:rFonts w:hint="eastAsia" w:ascii="黑体" w:hAnsi="黑体" w:eastAsia="黑体" w:cs="黑体"/>
          <w:sz w:val="30"/>
          <w:szCs w:val="30"/>
        </w:rPr>
        <w:t>-</w:t>
      </w:r>
      <w:r>
        <w:rPr>
          <w:rFonts w:hint="eastAsia" w:ascii="黑体" w:hAnsi="黑体" w:eastAsia="黑体" w:cs="黑体"/>
          <w:sz w:val="30"/>
          <w:szCs w:val="30"/>
          <w:lang w:val="en-US" w:eastAsia="zh-CN"/>
        </w:rPr>
        <w:t>24</w:t>
      </w:r>
    </w:p>
    <w:p>
      <w:r>
        <w:pict>
          <v:rect id="_x0000_i1025" o:spt="1" style="height:1.5pt;width:432pt;" fillcolor="#A0A0A0" filled="t" stroked="f" coordsize="21600,21600" o:hr="t" o:hrstd="t" o:hralign="center">
            <v:path/>
            <v:fill on="t" focussize="0,0"/>
            <v:stroke on="f"/>
            <v:imagedata o:title=""/>
            <o:lock v:ext="edit"/>
            <w10:wrap type="none"/>
            <w10:anchorlock/>
          </v:rect>
        </w:pic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根据建设项目环境影响评价审批程序有关规定，经审查，2020年</w:t>
      </w:r>
      <w:r>
        <w:rPr>
          <w:rFonts w:hint="eastAsia" w:ascii="仿宋" w:hAnsi="仿宋" w:eastAsia="仿宋" w:cs="仿宋"/>
          <w:sz w:val="30"/>
          <w:szCs w:val="30"/>
          <w:lang w:val="en-US" w:eastAsia="zh-CN"/>
        </w:rPr>
        <w:t>9</w:t>
      </w:r>
      <w:r>
        <w:rPr>
          <w:rFonts w:hint="eastAsia" w:ascii="仿宋" w:hAnsi="仿宋" w:eastAsia="仿宋" w:cs="仿宋"/>
          <w:sz w:val="30"/>
          <w:szCs w:val="30"/>
        </w:rPr>
        <w:t>月</w:t>
      </w:r>
      <w:r>
        <w:rPr>
          <w:rFonts w:hint="eastAsia" w:ascii="仿宋" w:hAnsi="仿宋" w:eastAsia="仿宋" w:cs="仿宋"/>
          <w:sz w:val="30"/>
          <w:szCs w:val="30"/>
          <w:lang w:val="en-US" w:eastAsia="zh-CN"/>
        </w:rPr>
        <w:t>24</w:t>
      </w:r>
      <w:r>
        <w:rPr>
          <w:rFonts w:hint="eastAsia" w:ascii="仿宋" w:hAnsi="仿宋" w:eastAsia="仿宋" w:cs="仿宋"/>
          <w:sz w:val="30"/>
          <w:szCs w:val="30"/>
        </w:rPr>
        <w:t>日我局对</w:t>
      </w:r>
      <w:r>
        <w:rPr>
          <w:rFonts w:hint="eastAsia" w:ascii="仿宋" w:hAnsi="仿宋" w:eastAsia="仿宋" w:cs="仿宋"/>
          <w:sz w:val="30"/>
          <w:szCs w:val="30"/>
          <w:lang w:val="en-US" w:eastAsia="zh-CN"/>
        </w:rPr>
        <w:t>2</w:t>
      </w:r>
      <w:r>
        <w:rPr>
          <w:rFonts w:hint="eastAsia" w:ascii="仿宋" w:hAnsi="仿宋" w:eastAsia="仿宋" w:cs="仿宋"/>
          <w:sz w:val="30"/>
          <w:szCs w:val="30"/>
        </w:rPr>
        <w:t>个辐射类建设项目环境影响评价文件作出审批决定。现将作出的审批决定予以公告，公告期为20</w:t>
      </w:r>
      <w:r>
        <w:rPr>
          <w:rFonts w:hint="eastAsia" w:ascii="仿宋" w:hAnsi="仿宋" w:eastAsia="仿宋" w:cs="仿宋"/>
          <w:sz w:val="30"/>
          <w:szCs w:val="30"/>
          <w:lang w:val="en-US" w:eastAsia="zh-CN"/>
        </w:rPr>
        <w:t>20</w:t>
      </w:r>
      <w:r>
        <w:rPr>
          <w:rFonts w:hint="eastAsia" w:ascii="仿宋" w:hAnsi="仿宋" w:eastAsia="仿宋" w:cs="仿宋"/>
          <w:sz w:val="30"/>
          <w:szCs w:val="30"/>
        </w:rPr>
        <w:t>年</w:t>
      </w:r>
      <w:r>
        <w:rPr>
          <w:rFonts w:hint="eastAsia" w:ascii="仿宋" w:hAnsi="仿宋" w:eastAsia="仿宋" w:cs="仿宋"/>
          <w:sz w:val="30"/>
          <w:szCs w:val="30"/>
          <w:lang w:val="en-US" w:eastAsia="zh-CN"/>
        </w:rPr>
        <w:t>9</w:t>
      </w:r>
      <w:r>
        <w:rPr>
          <w:rFonts w:hint="eastAsia" w:ascii="仿宋" w:hAnsi="仿宋" w:eastAsia="仿宋" w:cs="仿宋"/>
          <w:sz w:val="30"/>
          <w:szCs w:val="30"/>
        </w:rPr>
        <w:t>月</w:t>
      </w:r>
      <w:r>
        <w:rPr>
          <w:rFonts w:hint="eastAsia" w:ascii="仿宋" w:hAnsi="仿宋" w:eastAsia="仿宋" w:cs="仿宋"/>
          <w:sz w:val="30"/>
          <w:szCs w:val="30"/>
          <w:lang w:val="en-US" w:eastAsia="zh-CN"/>
        </w:rPr>
        <w:t>24</w:t>
      </w:r>
      <w:r>
        <w:rPr>
          <w:rFonts w:hint="eastAsia" w:ascii="仿宋" w:hAnsi="仿宋" w:eastAsia="仿宋" w:cs="仿宋"/>
          <w:sz w:val="30"/>
          <w:szCs w:val="30"/>
        </w:rPr>
        <w:t>日－2020年</w:t>
      </w:r>
      <w:r>
        <w:rPr>
          <w:rFonts w:hint="eastAsia" w:ascii="仿宋" w:hAnsi="仿宋" w:eastAsia="仿宋" w:cs="仿宋"/>
          <w:sz w:val="30"/>
          <w:szCs w:val="30"/>
          <w:lang w:val="en-US" w:eastAsia="zh-CN"/>
        </w:rPr>
        <w:t>10</w:t>
      </w:r>
      <w:r>
        <w:rPr>
          <w:rFonts w:hint="eastAsia" w:ascii="仿宋" w:hAnsi="仿宋" w:eastAsia="仿宋" w:cs="仿宋"/>
          <w:sz w:val="30"/>
          <w:szCs w:val="30"/>
        </w:rPr>
        <w:t>月</w:t>
      </w:r>
      <w:r>
        <w:rPr>
          <w:rFonts w:hint="eastAsia" w:ascii="仿宋" w:hAnsi="仿宋" w:eastAsia="仿宋" w:cs="仿宋"/>
          <w:sz w:val="30"/>
          <w:szCs w:val="30"/>
          <w:lang w:val="en-US" w:eastAsia="zh-CN"/>
        </w:rPr>
        <w:t>10</w:t>
      </w:r>
      <w:bookmarkStart w:id="0" w:name="_GoBack"/>
      <w:bookmarkEnd w:id="0"/>
      <w:r>
        <w:rPr>
          <w:rFonts w:hint="eastAsia" w:ascii="仿宋" w:hAnsi="仿宋" w:eastAsia="仿宋" w:cs="仿宋"/>
          <w:sz w:val="30"/>
          <w:szCs w:val="30"/>
        </w:rPr>
        <w:t>日（7日）。</w:t>
      </w:r>
    </w:p>
    <w:p>
      <w:pPr>
        <w:spacing w:line="400" w:lineRule="exact"/>
        <w:rPr>
          <w:rFonts w:ascii="仿宋" w:hAnsi="仿宋" w:eastAsia="仿宋" w:cs="仿宋"/>
          <w:sz w:val="30"/>
          <w:szCs w:val="30"/>
        </w:rPr>
      </w:pPr>
      <w:r>
        <w:rPr>
          <w:rFonts w:hint="eastAsia" w:ascii="仿宋" w:hAnsi="仿宋" w:eastAsia="仿宋" w:cs="仿宋"/>
          <w:sz w:val="30"/>
          <w:szCs w:val="30"/>
        </w:rPr>
        <w:t>　　行政复议与行政诉讼权利告知：依据《中华人民共和国行政复议法》和《中华人民共和国行政诉讼法》，公民、法人或者其他组织认为公告的建设项目环境影响评价文件审批决定侵犯其合法权益的，可以自公告期限届满之日起六十日内提起行政复议，也可以自公告期限届满之日起六个月内提起行政诉讼。</w:t>
      </w:r>
    </w:p>
    <w:p>
      <w:pPr>
        <w:spacing w:line="400" w:lineRule="exact"/>
        <w:rPr>
          <w:rFonts w:ascii="仿宋" w:hAnsi="仿宋" w:eastAsia="仿宋" w:cs="仿宋"/>
          <w:sz w:val="30"/>
          <w:szCs w:val="30"/>
        </w:rPr>
      </w:pPr>
      <w:r>
        <w:rPr>
          <w:rFonts w:hint="eastAsia" w:ascii="仿宋" w:hAnsi="仿宋" w:eastAsia="仿宋" w:cs="仿宋"/>
          <w:sz w:val="30"/>
          <w:szCs w:val="30"/>
        </w:rPr>
        <w:t>　　联系电话：0374-2968062（许昌市市民之家生态环境窗口）</w:t>
      </w:r>
    </w:p>
    <w:p>
      <w:pPr>
        <w:spacing w:line="400" w:lineRule="exact"/>
        <w:ind w:firstLine="600"/>
        <w:rPr>
          <w:rFonts w:ascii="仿宋" w:hAnsi="仿宋" w:eastAsia="仿宋" w:cs="仿宋"/>
          <w:sz w:val="30"/>
          <w:szCs w:val="30"/>
        </w:rPr>
      </w:pPr>
      <w:r>
        <w:rPr>
          <w:rFonts w:hint="eastAsia" w:ascii="仿宋" w:hAnsi="仿宋" w:eastAsia="仿宋" w:cs="仿宋"/>
          <w:sz w:val="30"/>
          <w:szCs w:val="30"/>
        </w:rPr>
        <w:t>传　　真：0374-2968059</w:t>
      </w:r>
    </w:p>
    <w:p>
      <w:pPr>
        <w:spacing w:line="400" w:lineRule="exact"/>
        <w:ind w:firstLine="600"/>
        <w:rPr>
          <w:rFonts w:ascii="仿宋" w:hAnsi="仿宋" w:eastAsia="仿宋" w:cs="仿宋"/>
          <w:sz w:val="30"/>
          <w:szCs w:val="30"/>
        </w:rPr>
      </w:pPr>
      <w:r>
        <w:rPr>
          <w:rFonts w:hint="eastAsia" w:ascii="仿宋" w:hAnsi="仿宋" w:eastAsia="仿宋" w:cs="仿宋"/>
          <w:sz w:val="30"/>
          <w:szCs w:val="30"/>
        </w:rPr>
        <w:t>通讯地址：许昌市竹林路市民之家生态环境窗口</w:t>
      </w:r>
    </w:p>
    <w:p>
      <w:pPr>
        <w:spacing w:line="400" w:lineRule="exact"/>
        <w:rPr>
          <w:rFonts w:ascii="仿宋" w:hAnsi="仿宋" w:eastAsia="仿宋" w:cs="仿宋"/>
          <w:sz w:val="30"/>
          <w:szCs w:val="30"/>
        </w:rPr>
      </w:pPr>
      <w:r>
        <w:rPr>
          <w:rFonts w:hint="eastAsia" w:ascii="仿宋" w:hAnsi="仿宋" w:eastAsia="仿宋" w:cs="仿宋"/>
          <w:sz w:val="30"/>
          <w:szCs w:val="30"/>
        </w:rPr>
        <w:t>　　邮　　编：461000</w:t>
      </w:r>
    </w:p>
    <w:p>
      <w:pPr>
        <w:rPr>
          <w:rFonts w:ascii="仿宋" w:hAnsi="仿宋" w:eastAsia="仿宋" w:cs="仿宋"/>
          <w:sz w:val="30"/>
          <w:szCs w:val="30"/>
        </w:rPr>
      </w:pPr>
    </w:p>
    <w:p>
      <w:pPr>
        <w:rPr>
          <w:rFonts w:ascii="仿宋" w:hAnsi="仿宋" w:eastAsia="仿宋" w:cs="仿宋"/>
          <w:sz w:val="30"/>
          <w:szCs w:val="30"/>
        </w:rPr>
      </w:pPr>
    </w:p>
    <w:p>
      <w:pPr>
        <w:rPr>
          <w:rFonts w:ascii="仿宋" w:hAnsi="仿宋" w:eastAsia="仿宋" w:cs="仿宋"/>
          <w:sz w:val="30"/>
          <w:szCs w:val="30"/>
        </w:rPr>
      </w:pPr>
    </w:p>
    <w:p>
      <w:pPr>
        <w:rPr>
          <w:rFonts w:ascii="仿宋" w:hAnsi="仿宋" w:eastAsia="仿宋" w:cs="仿宋"/>
          <w:sz w:val="30"/>
          <w:szCs w:val="30"/>
        </w:rPr>
      </w:pPr>
    </w:p>
    <w:p>
      <w:pPr>
        <w:rPr>
          <w:rFonts w:ascii="仿宋" w:hAnsi="仿宋" w:eastAsia="仿宋" w:cs="仿宋"/>
          <w:sz w:val="30"/>
          <w:szCs w:val="30"/>
        </w:rPr>
      </w:pPr>
    </w:p>
    <w:p>
      <w:pPr>
        <w:rPr>
          <w:rFonts w:ascii="仿宋" w:hAnsi="仿宋" w:eastAsia="仿宋" w:cs="仿宋"/>
          <w:sz w:val="30"/>
          <w:szCs w:val="30"/>
        </w:rPr>
      </w:pPr>
    </w:p>
    <w:p>
      <w:pPr>
        <w:rPr>
          <w:rFonts w:ascii="仿宋" w:hAnsi="仿宋" w:eastAsia="仿宋" w:cs="仿宋"/>
          <w:sz w:val="30"/>
          <w:szCs w:val="30"/>
        </w:rPr>
      </w:pPr>
    </w:p>
    <w:p>
      <w:pPr>
        <w:jc w:val="center"/>
        <w:rPr>
          <w:rFonts w:ascii="仿宋" w:hAnsi="仿宋" w:eastAsia="仿宋" w:cs="仿宋"/>
          <w:sz w:val="30"/>
          <w:szCs w:val="30"/>
        </w:rPr>
      </w:pPr>
      <w:r>
        <w:rPr>
          <w:rFonts w:hint="eastAsia" w:ascii="仿宋" w:hAnsi="仿宋" w:eastAsia="仿宋" w:cs="仿宋"/>
          <w:sz w:val="30"/>
          <w:szCs w:val="30"/>
        </w:rPr>
        <w:t>作出的建设项目环境影响评价文件审批决定</w:t>
      </w:r>
    </w:p>
    <w:tbl>
      <w:tblPr>
        <w:tblStyle w:val="5"/>
        <w:tblW w:w="13980"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8415"/>
        <w:gridCol w:w="2685"/>
        <w:gridCol w:w="2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697" w:type="dxa"/>
            <w:vAlign w:val="center"/>
          </w:tcPr>
          <w:p>
            <w:pPr>
              <w:jc w:val="center"/>
              <w:rPr>
                <w:color w:val="000000" w:themeColor="text1"/>
              </w:rPr>
            </w:pPr>
            <w:r>
              <w:rPr>
                <w:rFonts w:hint="eastAsia"/>
                <w:color w:val="000000" w:themeColor="text1"/>
              </w:rPr>
              <w:t>序号</w:t>
            </w:r>
          </w:p>
        </w:tc>
        <w:tc>
          <w:tcPr>
            <w:tcW w:w="8415" w:type="dxa"/>
            <w:vAlign w:val="center"/>
          </w:tcPr>
          <w:p>
            <w:pPr>
              <w:jc w:val="center"/>
              <w:rPr>
                <w:color w:val="000000" w:themeColor="text1"/>
              </w:rPr>
            </w:pPr>
            <w:r>
              <w:rPr>
                <w:rFonts w:hint="eastAsia"/>
                <w:color w:val="000000" w:themeColor="text1"/>
              </w:rPr>
              <w:t>文件名称</w:t>
            </w:r>
          </w:p>
        </w:tc>
        <w:tc>
          <w:tcPr>
            <w:tcW w:w="2685" w:type="dxa"/>
            <w:vAlign w:val="center"/>
          </w:tcPr>
          <w:p>
            <w:pPr>
              <w:jc w:val="center"/>
              <w:rPr>
                <w:color w:val="000000" w:themeColor="text1"/>
              </w:rPr>
            </w:pPr>
            <w:r>
              <w:rPr>
                <w:rFonts w:hint="eastAsia"/>
                <w:color w:val="000000" w:themeColor="text1"/>
              </w:rPr>
              <w:t>文号</w:t>
            </w:r>
          </w:p>
        </w:tc>
        <w:tc>
          <w:tcPr>
            <w:tcW w:w="2183" w:type="dxa"/>
            <w:vAlign w:val="center"/>
          </w:tcPr>
          <w:p>
            <w:pPr>
              <w:jc w:val="center"/>
              <w:rPr>
                <w:color w:val="000000" w:themeColor="text1"/>
              </w:rPr>
            </w:pPr>
            <w:r>
              <w:rPr>
                <w:rFonts w:hint="eastAsia"/>
                <w:color w:val="000000" w:themeColor="text1"/>
              </w:rPr>
              <w:t>发文时间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697" w:type="dxa"/>
            <w:vAlign w:val="center"/>
          </w:tcPr>
          <w:p>
            <w:pPr>
              <w:jc w:val="center"/>
              <w:rPr>
                <w:color w:val="000000" w:themeColor="text1"/>
              </w:rPr>
            </w:pPr>
            <w:r>
              <w:rPr>
                <w:rFonts w:hint="eastAsia"/>
                <w:color w:val="000000" w:themeColor="text1"/>
              </w:rPr>
              <w:t>1</w:t>
            </w:r>
          </w:p>
        </w:tc>
        <w:tc>
          <w:tcPr>
            <w:tcW w:w="8415" w:type="dxa"/>
            <w:vAlign w:val="center"/>
          </w:tcPr>
          <w:p>
            <w:pPr>
              <w:rPr>
                <w:color w:val="000000" w:themeColor="text1"/>
              </w:rPr>
            </w:pPr>
            <w:r>
              <w:rPr>
                <w:rFonts w:hint="eastAsia"/>
                <w:color w:val="000000" w:themeColor="text1"/>
                <w:lang w:val="en-US" w:eastAsia="zh-CN"/>
              </w:rPr>
              <w:t>关于中广核禹州市苌庄80MW风电场110kV升压站及送出线路工程</w:t>
            </w:r>
            <w:r>
              <w:rPr>
                <w:rFonts w:hint="eastAsia"/>
                <w:color w:val="000000" w:themeColor="text1"/>
              </w:rPr>
              <w:t>环境影响报告表的批复</w:t>
            </w:r>
          </w:p>
          <w:p>
            <w:pPr>
              <w:jc w:val="center"/>
              <w:rPr>
                <w:rFonts w:hint="default" w:eastAsiaTheme="minorEastAsia"/>
                <w:color w:val="000000" w:themeColor="text1"/>
                <w:lang w:val="en-US" w:eastAsia="zh-CN"/>
              </w:rPr>
            </w:pPr>
          </w:p>
        </w:tc>
        <w:tc>
          <w:tcPr>
            <w:tcW w:w="2685" w:type="dxa"/>
            <w:vAlign w:val="center"/>
          </w:tcPr>
          <w:p>
            <w:pPr>
              <w:jc w:val="center"/>
              <w:rPr>
                <w:color w:val="000000" w:themeColor="text1"/>
              </w:rPr>
            </w:pPr>
            <w:r>
              <w:rPr>
                <w:rFonts w:hint="eastAsia"/>
                <w:color w:val="000000" w:themeColor="text1"/>
              </w:rPr>
              <w:t>许环辐审[2020]1</w:t>
            </w:r>
            <w:r>
              <w:rPr>
                <w:rFonts w:hint="eastAsia"/>
                <w:color w:val="000000" w:themeColor="text1"/>
                <w:lang w:val="en-US" w:eastAsia="zh-CN"/>
              </w:rPr>
              <w:t>0</w:t>
            </w:r>
            <w:r>
              <w:rPr>
                <w:rFonts w:hint="eastAsia"/>
                <w:color w:val="000000" w:themeColor="text1"/>
              </w:rPr>
              <w:t>号</w:t>
            </w:r>
          </w:p>
        </w:tc>
        <w:tc>
          <w:tcPr>
            <w:tcW w:w="2183" w:type="dxa"/>
            <w:vAlign w:val="center"/>
          </w:tcPr>
          <w:p>
            <w:pPr>
              <w:jc w:val="center"/>
              <w:rPr>
                <w:rFonts w:hint="default" w:eastAsiaTheme="minorEastAsia"/>
                <w:color w:val="000000" w:themeColor="text1"/>
                <w:lang w:val="en-US" w:eastAsia="zh-CN"/>
              </w:rPr>
            </w:pPr>
            <w:r>
              <w:rPr>
                <w:rFonts w:hint="eastAsia"/>
                <w:color w:val="000000" w:themeColor="text1"/>
              </w:rPr>
              <w:t>2020.</w:t>
            </w:r>
            <w:r>
              <w:rPr>
                <w:rFonts w:hint="eastAsia"/>
                <w:color w:val="000000" w:themeColor="text1"/>
                <w:lang w:val="en-US" w:eastAsia="zh-CN"/>
              </w:rPr>
              <w:t>9</w:t>
            </w:r>
            <w:r>
              <w:rPr>
                <w:rFonts w:hint="eastAsia"/>
                <w:color w:val="000000" w:themeColor="text1"/>
              </w:rPr>
              <w:t>.</w:t>
            </w:r>
            <w:r>
              <w:rPr>
                <w:rFonts w:hint="eastAsia"/>
                <w:color w:val="000000" w:themeColor="text1"/>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697" w:type="dxa"/>
            <w:vAlign w:val="center"/>
          </w:tcPr>
          <w:p>
            <w:pPr>
              <w:jc w:val="center"/>
              <w:rPr>
                <w:color w:val="000000" w:themeColor="text1"/>
              </w:rPr>
            </w:pPr>
            <w:r>
              <w:rPr>
                <w:rFonts w:hint="eastAsia"/>
                <w:color w:val="000000" w:themeColor="text1"/>
              </w:rPr>
              <w:t>2</w:t>
            </w:r>
          </w:p>
        </w:tc>
        <w:tc>
          <w:tcPr>
            <w:tcW w:w="8415" w:type="dxa"/>
            <w:vAlign w:val="center"/>
          </w:tcPr>
          <w:p>
            <w:pPr>
              <w:rPr>
                <w:color w:val="000000" w:themeColor="text1"/>
              </w:rPr>
            </w:pPr>
            <w:r>
              <w:rPr>
                <w:rFonts w:hint="eastAsia"/>
                <w:color w:val="000000" w:themeColor="text1"/>
              </w:rPr>
              <w:t>关于</w:t>
            </w:r>
            <w:r>
              <w:rPr>
                <w:rFonts w:hint="eastAsia"/>
                <w:color w:val="000000" w:themeColor="text1"/>
                <w:lang w:eastAsia="zh-CN"/>
              </w:rPr>
              <w:t>襄城县人民医院新增一台数字减影血管造影机项目</w:t>
            </w:r>
            <w:r>
              <w:rPr>
                <w:rFonts w:hint="eastAsia"/>
                <w:color w:val="000000" w:themeColor="text1"/>
              </w:rPr>
              <w:t>环境影响报告表的批复</w:t>
            </w:r>
          </w:p>
          <w:p>
            <w:pPr>
              <w:jc w:val="center"/>
              <w:rPr>
                <w:color w:val="000000" w:themeColor="text1"/>
              </w:rPr>
            </w:pPr>
          </w:p>
        </w:tc>
        <w:tc>
          <w:tcPr>
            <w:tcW w:w="2685" w:type="dxa"/>
            <w:vAlign w:val="center"/>
          </w:tcPr>
          <w:p>
            <w:pPr>
              <w:jc w:val="center"/>
              <w:rPr>
                <w:color w:val="000000" w:themeColor="text1"/>
              </w:rPr>
            </w:pPr>
            <w:r>
              <w:rPr>
                <w:rFonts w:hint="eastAsia"/>
                <w:color w:val="000000" w:themeColor="text1"/>
              </w:rPr>
              <w:t>许环辐审[2020]</w:t>
            </w:r>
            <w:r>
              <w:rPr>
                <w:rFonts w:hint="eastAsia"/>
                <w:color w:val="000000" w:themeColor="text1"/>
                <w:lang w:val="en-US" w:eastAsia="zh-CN"/>
              </w:rPr>
              <w:t>11</w:t>
            </w:r>
            <w:r>
              <w:rPr>
                <w:rFonts w:hint="eastAsia"/>
                <w:color w:val="000000" w:themeColor="text1"/>
              </w:rPr>
              <w:t>号</w:t>
            </w:r>
          </w:p>
        </w:tc>
        <w:tc>
          <w:tcPr>
            <w:tcW w:w="2183" w:type="dxa"/>
            <w:vAlign w:val="center"/>
          </w:tcPr>
          <w:p>
            <w:pPr>
              <w:jc w:val="center"/>
              <w:rPr>
                <w:rFonts w:hint="default" w:eastAsiaTheme="minorEastAsia"/>
                <w:color w:val="000000" w:themeColor="text1"/>
                <w:lang w:val="en-US" w:eastAsia="zh-CN"/>
              </w:rPr>
            </w:pPr>
            <w:r>
              <w:rPr>
                <w:rFonts w:hint="eastAsia"/>
                <w:color w:val="000000" w:themeColor="text1"/>
              </w:rPr>
              <w:t>2020.</w:t>
            </w:r>
            <w:r>
              <w:rPr>
                <w:rFonts w:hint="eastAsia"/>
                <w:color w:val="000000" w:themeColor="text1"/>
                <w:lang w:val="en-US" w:eastAsia="zh-CN"/>
              </w:rPr>
              <w:t>9</w:t>
            </w:r>
            <w:r>
              <w:rPr>
                <w:rFonts w:hint="eastAsia"/>
                <w:color w:val="000000" w:themeColor="text1"/>
              </w:rPr>
              <w:t>.</w:t>
            </w:r>
            <w:r>
              <w:rPr>
                <w:rFonts w:hint="eastAsia"/>
                <w:color w:val="000000" w:themeColor="text1"/>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697" w:type="dxa"/>
            <w:vAlign w:val="center"/>
          </w:tcPr>
          <w:p>
            <w:pPr>
              <w:jc w:val="center"/>
              <w:rPr>
                <w:color w:val="000000" w:themeColor="text1"/>
              </w:rPr>
            </w:pPr>
          </w:p>
        </w:tc>
        <w:tc>
          <w:tcPr>
            <w:tcW w:w="8415" w:type="dxa"/>
            <w:vAlign w:val="center"/>
          </w:tcPr>
          <w:p>
            <w:pPr>
              <w:jc w:val="center"/>
              <w:rPr>
                <w:color w:val="000000" w:themeColor="text1"/>
              </w:rPr>
            </w:pPr>
          </w:p>
        </w:tc>
        <w:tc>
          <w:tcPr>
            <w:tcW w:w="2685" w:type="dxa"/>
            <w:vAlign w:val="center"/>
          </w:tcPr>
          <w:p>
            <w:pPr>
              <w:jc w:val="center"/>
              <w:rPr>
                <w:color w:val="000000" w:themeColor="text1"/>
              </w:rPr>
            </w:pPr>
          </w:p>
        </w:tc>
        <w:tc>
          <w:tcPr>
            <w:tcW w:w="2183" w:type="dxa"/>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697" w:type="dxa"/>
            <w:vAlign w:val="center"/>
          </w:tcPr>
          <w:p>
            <w:pPr>
              <w:jc w:val="center"/>
              <w:rPr>
                <w:color w:val="000000" w:themeColor="text1"/>
              </w:rPr>
            </w:pPr>
          </w:p>
        </w:tc>
        <w:tc>
          <w:tcPr>
            <w:tcW w:w="8415" w:type="dxa"/>
            <w:vAlign w:val="center"/>
          </w:tcPr>
          <w:p>
            <w:pPr>
              <w:rPr>
                <w:color w:val="000000" w:themeColor="text1"/>
              </w:rPr>
            </w:pPr>
          </w:p>
        </w:tc>
        <w:tc>
          <w:tcPr>
            <w:tcW w:w="2685" w:type="dxa"/>
            <w:vAlign w:val="center"/>
          </w:tcPr>
          <w:p>
            <w:pPr>
              <w:jc w:val="center"/>
              <w:rPr>
                <w:color w:val="000000" w:themeColor="text1"/>
              </w:rPr>
            </w:pPr>
          </w:p>
        </w:tc>
        <w:tc>
          <w:tcPr>
            <w:tcW w:w="2183" w:type="dxa"/>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697" w:type="dxa"/>
            <w:vAlign w:val="center"/>
          </w:tcPr>
          <w:p>
            <w:pPr>
              <w:jc w:val="center"/>
              <w:rPr>
                <w:color w:val="000000" w:themeColor="text1"/>
              </w:rPr>
            </w:pPr>
          </w:p>
        </w:tc>
        <w:tc>
          <w:tcPr>
            <w:tcW w:w="8415" w:type="dxa"/>
            <w:vAlign w:val="center"/>
          </w:tcPr>
          <w:p>
            <w:pPr>
              <w:jc w:val="center"/>
              <w:rPr>
                <w:color w:val="000000" w:themeColor="text1"/>
              </w:rPr>
            </w:pPr>
          </w:p>
        </w:tc>
        <w:tc>
          <w:tcPr>
            <w:tcW w:w="2685" w:type="dxa"/>
            <w:vAlign w:val="center"/>
          </w:tcPr>
          <w:p>
            <w:pPr>
              <w:jc w:val="center"/>
              <w:rPr>
                <w:color w:val="000000" w:themeColor="text1"/>
              </w:rPr>
            </w:pPr>
          </w:p>
        </w:tc>
        <w:tc>
          <w:tcPr>
            <w:tcW w:w="2183" w:type="dxa"/>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697" w:type="dxa"/>
            <w:vAlign w:val="center"/>
          </w:tcPr>
          <w:p>
            <w:pPr>
              <w:jc w:val="center"/>
              <w:rPr>
                <w:color w:val="000000" w:themeColor="text1"/>
              </w:rPr>
            </w:pPr>
          </w:p>
        </w:tc>
        <w:tc>
          <w:tcPr>
            <w:tcW w:w="8415" w:type="dxa"/>
            <w:vAlign w:val="center"/>
          </w:tcPr>
          <w:p>
            <w:pPr>
              <w:jc w:val="center"/>
              <w:rPr>
                <w:color w:val="000000" w:themeColor="text1"/>
              </w:rPr>
            </w:pPr>
          </w:p>
        </w:tc>
        <w:tc>
          <w:tcPr>
            <w:tcW w:w="2685" w:type="dxa"/>
            <w:vAlign w:val="center"/>
          </w:tcPr>
          <w:p>
            <w:pPr>
              <w:jc w:val="center"/>
              <w:rPr>
                <w:color w:val="000000" w:themeColor="text1"/>
              </w:rPr>
            </w:pPr>
          </w:p>
        </w:tc>
        <w:tc>
          <w:tcPr>
            <w:tcW w:w="2183" w:type="dxa"/>
            <w:vAlign w:val="center"/>
          </w:tcPr>
          <w:p>
            <w:pPr>
              <w:jc w:val="center"/>
              <w:rPr>
                <w:color w:val="000000" w:themeColor="text1"/>
              </w:rPr>
            </w:pPr>
          </w:p>
        </w:tc>
      </w:tr>
    </w:tbl>
    <w:p>
      <w:pPr>
        <w:rPr>
          <w:color w:val="000000" w:themeColor="text1"/>
        </w:rPr>
      </w:pPr>
    </w:p>
    <w:p>
      <w:pPr>
        <w:rPr>
          <w:color w:val="000000" w:themeColor="text1"/>
        </w:rPr>
      </w:pPr>
      <w:r>
        <w:rPr>
          <w:rFonts w:hint="eastAsia"/>
          <w:color w:val="000000" w:themeColor="text1"/>
        </w:rPr>
        <w:t xml:space="preserve"> </w:t>
      </w:r>
      <w:r>
        <w:rPr>
          <w:rFonts w:hint="eastAsia"/>
          <w:color w:val="FF0000"/>
        </w:rPr>
        <w:t xml:space="preserve">   </w:t>
      </w:r>
    </w:p>
    <w:sectPr>
      <w:pgSz w:w="16838" w:h="11906" w:orient="landscape"/>
      <w:pgMar w:top="612" w:right="1440" w:bottom="612"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nforcement="0"/>
  <w:defaultTabStop w:val="420"/>
  <w:drawingGridVerticalSpacing w:val="159"/>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251F3"/>
    <w:rsid w:val="00253371"/>
    <w:rsid w:val="005251F3"/>
    <w:rsid w:val="00DA22B5"/>
    <w:rsid w:val="07287552"/>
    <w:rsid w:val="0A9E43B5"/>
    <w:rsid w:val="0B7E7376"/>
    <w:rsid w:val="0CCB5DF6"/>
    <w:rsid w:val="14451D5D"/>
    <w:rsid w:val="15A24CEE"/>
    <w:rsid w:val="175522A3"/>
    <w:rsid w:val="1A7B2CC4"/>
    <w:rsid w:val="1E9575FA"/>
    <w:rsid w:val="1FF502D5"/>
    <w:rsid w:val="2C3D0D2F"/>
    <w:rsid w:val="2E746829"/>
    <w:rsid w:val="30407BF2"/>
    <w:rsid w:val="32A34198"/>
    <w:rsid w:val="402E58E7"/>
    <w:rsid w:val="433579FD"/>
    <w:rsid w:val="472D6F0B"/>
    <w:rsid w:val="4BF21894"/>
    <w:rsid w:val="4BF61A72"/>
    <w:rsid w:val="4E4D6E48"/>
    <w:rsid w:val="522968ED"/>
    <w:rsid w:val="52DB151D"/>
    <w:rsid w:val="56266E85"/>
    <w:rsid w:val="56644DD8"/>
    <w:rsid w:val="5EDF223D"/>
    <w:rsid w:val="64776873"/>
    <w:rsid w:val="68A608BC"/>
    <w:rsid w:val="68E73CA0"/>
    <w:rsid w:val="6DCD41A9"/>
    <w:rsid w:val="6F636122"/>
    <w:rsid w:val="78497D98"/>
    <w:rsid w:val="7E416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ascii="宋体" w:hAnsi="宋体" w:eastAsiaTheme="minorEastAsia" w:cstheme="minorBidi"/>
      <w:color w:val="000000"/>
      <w:sz w:val="24"/>
      <w:szCs w:val="22"/>
      <w:lang w:val="en-US" w:eastAsia="zh-CN" w:bidi="ar-SA"/>
    </w:rPr>
  </w:style>
  <w:style w:type="paragraph" w:styleId="3">
    <w:name w:val="Normal (Web)"/>
    <w:basedOn w:val="1"/>
    <w:qFormat/>
    <w:uiPriority w:val="0"/>
    <w:pPr>
      <w:spacing w:beforeAutospacing="1" w:afterAutospacing="1"/>
      <w:jc w:val="left"/>
    </w:pPr>
    <w:rPr>
      <w:rFonts w:cs="Times New Roman"/>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118</Words>
  <Characters>673</Characters>
  <Lines>5</Lines>
  <Paragraphs>1</Paragraphs>
  <TotalTime>13</TotalTime>
  <ScaleCrop>false</ScaleCrop>
  <LinksUpToDate>false</LinksUpToDate>
  <CharactersWithSpaces>790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简单</cp:lastModifiedBy>
  <dcterms:modified xsi:type="dcterms:W3CDTF">2020-09-24T03:46:53Z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