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ind w:firstLine="5120" w:firstLineChars="1600"/>
        <w:textAlignment w:val="baseline"/>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firstLine="5100" w:firstLineChars="1700"/>
        <w:textAlignment w:val="baseline"/>
        <w:rPr>
          <w:rFonts w:hint="eastAsia" w:ascii="仿宋" w:hAnsi="仿宋" w:eastAsia="仿宋" w:cs="仿宋"/>
          <w:sz w:val="30"/>
          <w:szCs w:val="30"/>
        </w:rPr>
      </w:pPr>
    </w:p>
    <w:p>
      <w:pPr>
        <w:adjustRightInd w:val="0"/>
        <w:snapToGrid w:val="0"/>
        <w:spacing w:line="460" w:lineRule="exact"/>
        <w:ind w:firstLine="5100" w:firstLineChars="1700"/>
        <w:textAlignment w:val="baseline"/>
        <w:rPr>
          <w:rFonts w:hint="eastAsia" w:ascii="仿宋" w:hAnsi="仿宋" w:eastAsia="仿宋" w:cs="仿宋"/>
          <w:sz w:val="30"/>
          <w:szCs w:val="30"/>
        </w:rPr>
      </w:pPr>
    </w:p>
    <w:p>
      <w:pPr>
        <w:adjustRightInd w:val="0"/>
        <w:snapToGrid w:val="0"/>
        <w:spacing w:line="460" w:lineRule="exact"/>
        <w:ind w:firstLine="5100" w:firstLineChars="1700"/>
        <w:textAlignment w:val="baseline"/>
        <w:rPr>
          <w:rFonts w:hint="eastAsia" w:ascii="仿宋" w:hAnsi="仿宋" w:eastAsia="仿宋" w:cs="仿宋"/>
          <w:sz w:val="30"/>
          <w:szCs w:val="30"/>
        </w:rPr>
      </w:pPr>
    </w:p>
    <w:p>
      <w:pPr>
        <w:adjustRightInd w:val="0"/>
        <w:snapToGrid w:val="0"/>
        <w:spacing w:line="460" w:lineRule="exact"/>
        <w:ind w:firstLine="5100" w:firstLineChars="1700"/>
        <w:textAlignment w:val="baseline"/>
        <w:rPr>
          <w:rFonts w:hint="eastAsia" w:ascii="仿宋" w:hAnsi="仿宋" w:eastAsia="仿宋" w:cs="仿宋"/>
          <w:sz w:val="30"/>
          <w:szCs w:val="30"/>
        </w:rPr>
      </w:pPr>
      <w:r>
        <w:rPr>
          <w:rFonts w:hint="eastAsia" w:ascii="仿宋" w:hAnsi="仿宋" w:eastAsia="仿宋" w:cs="仿宋"/>
          <w:sz w:val="30"/>
          <w:szCs w:val="30"/>
        </w:rPr>
        <w:t>许环辐审〔2020〕</w:t>
      </w:r>
      <w:r>
        <w:rPr>
          <w:rFonts w:hint="eastAsia" w:ascii="仿宋" w:hAnsi="仿宋" w:eastAsia="仿宋" w:cs="仿宋"/>
          <w:sz w:val="30"/>
          <w:szCs w:val="30"/>
          <w:lang w:val="en-US" w:eastAsia="zh-CN"/>
        </w:rPr>
        <w:t>10</w:t>
      </w:r>
      <w:r>
        <w:rPr>
          <w:rFonts w:hint="eastAsia" w:ascii="仿宋" w:hAnsi="仿宋" w:eastAsia="仿宋" w:cs="仿宋"/>
          <w:sz w:val="30"/>
          <w:szCs w:val="30"/>
        </w:rPr>
        <w:t>号</w:t>
      </w:r>
    </w:p>
    <w:p>
      <w:pPr>
        <w:pBdr>
          <w:top w:val="none" w:color="auto" w:sz="0" w:space="0"/>
          <w:left w:val="none" w:color="auto" w:sz="0" w:space="0"/>
          <w:bottom w:val="none" w:color="auto" w:sz="0" w:space="0"/>
          <w:right w:val="none" w:color="auto" w:sz="0" w:space="0"/>
          <w:between w:val="none" w:color="auto" w:sz="0" w:space="0"/>
        </w:pBdr>
        <w:spacing w:line="500" w:lineRule="exact"/>
        <w:jc w:val="center"/>
        <w:rPr>
          <w:rFonts w:eastAsia="黑体"/>
          <w:sz w:val="44"/>
          <w:szCs w:val="44"/>
        </w:rPr>
      </w:pPr>
      <w:r>
        <w:rPr>
          <w:rFonts w:hint="eastAsia" w:eastAsia="黑体"/>
          <w:sz w:val="44"/>
          <w:szCs w:val="44"/>
          <w:lang w:val="en-US" w:eastAsia="zh-CN"/>
        </w:rPr>
        <w:t>许昌市生态环境局</w:t>
      </w:r>
      <w:r>
        <w:rPr>
          <w:rFonts w:eastAsia="黑体"/>
          <w:sz w:val="44"/>
          <w:szCs w:val="44"/>
        </w:rPr>
        <w:t>关于</w:t>
      </w:r>
      <w:r>
        <w:rPr>
          <w:rFonts w:hint="eastAsia" w:eastAsia="黑体"/>
          <w:sz w:val="44"/>
          <w:szCs w:val="44"/>
        </w:rPr>
        <w:t>中广核禹州市苌庄80MW风电场110kV升压站及送出线路工程</w:t>
      </w:r>
      <w:r>
        <w:rPr>
          <w:rFonts w:eastAsia="黑体"/>
          <w:sz w:val="44"/>
          <w:szCs w:val="44"/>
        </w:rPr>
        <w:t>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pacing w:line="500" w:lineRule="exact"/>
        <w:rPr>
          <w:rFonts w:hint="eastAsia" w:ascii="仿宋" w:hAnsi="仿宋" w:eastAsia="仿宋" w:cs="仿宋"/>
          <w:sz w:val="30"/>
          <w:szCs w:val="30"/>
        </w:rPr>
      </w:pPr>
      <w:r>
        <w:rPr>
          <w:rFonts w:hint="eastAsia" w:ascii="仿宋" w:hAnsi="仿宋" w:eastAsia="仿宋" w:cs="仿宋"/>
          <w:sz w:val="30"/>
          <w:szCs w:val="30"/>
        </w:rPr>
        <w:t>禹州中广核新能源有限公司:</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你公司（统一社会信用代码:91411000MA40LFCA89）报送的《中广核禹州市苌庄80MW风电场110kV升压站及送出线路工程建设项目环境影响报告表》（报批版，以下简称《报告表》）收悉，该项目环评审批事项已在我局网站公示期满。经认真研究，批复如下：</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 xml:space="preserve">一、原则批准由河南雅文环保技术有限公司编制的《报告表》，建设单位应据此认真落实环保投资和各项污染防治措施。  </w:t>
      </w:r>
    </w:p>
    <w:p>
      <w:pPr>
        <w:keepNext w:val="0"/>
        <w:keepLines w:val="0"/>
        <w:pageBreakBefore w:val="0"/>
        <w:widowControl w:val="0"/>
        <w:numPr>
          <w:ilvl w:val="0"/>
          <w:numId w:val="1"/>
        </w:numPr>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项目位于许昌市禹州市苌庄乡、浅井镇。工程总投资2250.73万元，其中环境保护投资37万元。</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中广核禹州市苌庄80MW风电场110kV升压站及送出线路工程：站址位于河南省许昌市禹州市苌庄乡、浅井镇。占地面积为6580m</w:t>
      </w:r>
      <w:r>
        <w:rPr>
          <w:rFonts w:hint="eastAsia" w:ascii="仿宋" w:hAnsi="仿宋" w:eastAsia="仿宋" w:cs="仿宋"/>
          <w:sz w:val="30"/>
          <w:szCs w:val="30"/>
          <w:vertAlign w:val="superscript"/>
        </w:rPr>
        <w:t>2</w:t>
      </w:r>
      <w:r>
        <w:rPr>
          <w:rFonts w:hint="eastAsia" w:ascii="仿宋" w:hAnsi="仿宋" w:eastAsia="仿宋" w:cs="仿宋"/>
          <w:sz w:val="30"/>
          <w:szCs w:val="30"/>
        </w:rPr>
        <w:t>（升压站占地面积为4030m</w:t>
      </w:r>
      <w:r>
        <w:rPr>
          <w:rFonts w:hint="eastAsia" w:ascii="仿宋" w:hAnsi="仿宋" w:eastAsia="仿宋" w:cs="仿宋"/>
          <w:sz w:val="30"/>
          <w:szCs w:val="30"/>
          <w:vertAlign w:val="superscript"/>
        </w:rPr>
        <w:t>2</w:t>
      </w:r>
      <w:r>
        <w:rPr>
          <w:rFonts w:hint="eastAsia" w:ascii="仿宋" w:hAnsi="仿宋" w:eastAsia="仿宋" w:cs="仿宋"/>
          <w:sz w:val="30"/>
          <w:szCs w:val="30"/>
        </w:rPr>
        <w:t xml:space="preserve"> +线路升压站占地面积为2550m</w:t>
      </w:r>
      <w:r>
        <w:rPr>
          <w:rFonts w:hint="eastAsia" w:ascii="仿宋" w:hAnsi="仿宋" w:eastAsia="仿宋" w:cs="仿宋"/>
          <w:sz w:val="30"/>
          <w:szCs w:val="30"/>
          <w:vertAlign w:val="superscript"/>
        </w:rPr>
        <w:t>2</w:t>
      </w:r>
      <w:r>
        <w:rPr>
          <w:rFonts w:hint="eastAsia" w:ascii="仿宋" w:hAnsi="仿宋" w:eastAsia="仿宋" w:cs="仿宋"/>
          <w:sz w:val="30"/>
          <w:szCs w:val="30"/>
        </w:rPr>
        <w:t>），主变及110kV配电装置均户外布置。规划主变容量80MVA，外送线路 14.56km。本期新建主变容量1×80MVA，110kV线路出线1回，单回路架设，外送线路 14.56km。</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三、项目建设和运营期间须重点做好的工作。</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（一）项目建设和运营中应严格按照《报告表》和本批复的要求，确保各项环境保护措施得到落实。</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（二）严格落实防治工频电场、工频磁场等环保措施，确保升压</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p>
    <w:p>
      <w:pPr>
        <w:keepNext w:val="0"/>
        <w:keepLines w:val="0"/>
        <w:pageBreakBefore w:val="0"/>
        <w:widowControl w:val="0"/>
        <w:kinsoku/>
        <w:overflowPunct/>
        <w:topLinePunct w:val="0"/>
        <w:autoSpaceDE/>
        <w:autoSpaceDN/>
        <w:bidi w:val="0"/>
        <w:adjustRightInd w:val="0"/>
        <w:snapToGrid w:val="0"/>
        <w:spacing w:line="500" w:lineRule="exact"/>
        <w:textAlignment w:val="baseline"/>
        <w:rPr>
          <w:rFonts w:hint="eastAsia" w:ascii="仿宋" w:hAnsi="仿宋" w:eastAsia="仿宋" w:cs="仿宋"/>
          <w:sz w:val="30"/>
          <w:szCs w:val="30"/>
        </w:rPr>
      </w:pPr>
      <w:r>
        <w:rPr>
          <w:rFonts w:hint="eastAsia" w:ascii="仿宋" w:hAnsi="仿宋" w:eastAsia="仿宋" w:cs="仿宋"/>
          <w:sz w:val="30"/>
          <w:szCs w:val="30"/>
        </w:rPr>
        <w:t>站及外送线路周边区域的工频电场强度、工频磁感应强度应符合《电磁环境控制限值》（GB8702-2014）4000V/m和100μT公众曝露控制限值</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配套110</w:t>
      </w:r>
      <w:r>
        <w:rPr>
          <w:rFonts w:hint="eastAsia" w:ascii="仿宋" w:hAnsi="仿宋" w:eastAsia="仿宋" w:cs="仿宋"/>
          <w:sz w:val="30"/>
          <w:szCs w:val="30"/>
        </w:rPr>
        <w:t>kV</w:t>
      </w:r>
      <w:r>
        <w:rPr>
          <w:rFonts w:hint="eastAsia" w:ascii="仿宋" w:hAnsi="仿宋" w:eastAsia="仿宋" w:cs="仿宋"/>
          <w:sz w:val="30"/>
          <w:szCs w:val="30"/>
          <w:lang w:eastAsia="zh-CN"/>
        </w:rPr>
        <w:t>输电线路线下耕地、园地、牧草地、畜禽饲养地、养殖水面和道路等场所执行</w:t>
      </w:r>
      <w:r>
        <w:rPr>
          <w:rFonts w:hint="eastAsia" w:ascii="仿宋" w:hAnsi="仿宋" w:eastAsia="仿宋" w:cs="仿宋"/>
          <w:sz w:val="30"/>
          <w:szCs w:val="30"/>
          <w:lang w:val="en-US" w:eastAsia="zh-CN"/>
        </w:rPr>
        <w:t>10kV/m的工频电场强度控制限值</w:t>
      </w:r>
      <w:r>
        <w:rPr>
          <w:rFonts w:hint="eastAsia" w:ascii="仿宋" w:hAnsi="仿宋" w:eastAsia="仿宋" w:cs="仿宋"/>
          <w:sz w:val="30"/>
          <w:szCs w:val="30"/>
        </w:rPr>
        <w:t>。</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三）项目建设应合理布局，选用低噪声设备，采取隔声降噪措施,确保升压站厂界噪声、升压站周围各功能区噪声符合《工业企业厂界环境噪声排放标准》(GB12348-2008)厂界外1类声环境功能区厂界环境环境噪声排放限值。</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（四）升压站生活污水经化粪池和一体化污水处理设施处理后用于站区绿化，不外排。升压站产生的油烟废气经油烟净化器处理后，满足《餐饮业油烟污染物排放标准》（小型：1.5mg/m</w:t>
      </w:r>
      <w:r>
        <w:rPr>
          <w:rFonts w:hint="eastAsia" w:ascii="仿宋" w:hAnsi="仿宋" w:eastAsia="仿宋" w:cs="仿宋"/>
          <w:sz w:val="30"/>
          <w:szCs w:val="30"/>
          <w:vertAlign w:val="superscript"/>
        </w:rPr>
        <w:t>3</w:t>
      </w:r>
      <w:r>
        <w:rPr>
          <w:rFonts w:hint="eastAsia" w:ascii="仿宋" w:hAnsi="仿宋" w:eastAsia="仿宋" w:cs="仿宋"/>
          <w:sz w:val="30"/>
          <w:szCs w:val="30"/>
        </w:rPr>
        <w:t>），升压站设置足够容量的事故油池（50m</w:t>
      </w:r>
      <w:r>
        <w:rPr>
          <w:rFonts w:hint="eastAsia" w:ascii="仿宋" w:hAnsi="仿宋" w:eastAsia="仿宋" w:cs="仿宋"/>
          <w:sz w:val="30"/>
          <w:szCs w:val="30"/>
          <w:vertAlign w:val="superscript"/>
        </w:rPr>
        <w:t>3</w:t>
      </w:r>
      <w:r>
        <w:rPr>
          <w:rFonts w:hint="eastAsia" w:ascii="仿宋" w:hAnsi="仿宋" w:eastAsia="仿宋" w:cs="仿宋"/>
          <w:sz w:val="30"/>
          <w:szCs w:val="30"/>
        </w:rPr>
        <w:t>），产生的废变压器油、废铅蓄电池等危险废物应交有资质的单位回收处理，不得擅自处置。</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五）项目建设应严格执行配套建设的环境保护设施与主体工程同时设计、同时施工、同时投产使用的环境保护“三同时”制度，落实各项环保措施。工程竣工后，建设单位应当按照国务院生态环境行政主管部门规定的标准和程序，对配套建设的环境保护设施进行验收，编制验收报告。经验收合格后，项目方可投入正式运行。</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四、建设及运营单位应建立环保管理和监测制度，及时消除事故隐患，确保各项污染因子达到环保标准要求；制定详细的风险事故应急预案，确保发生事故时可及时得到妥善处理。</w:t>
      </w:r>
    </w:p>
    <w:p>
      <w:pPr>
        <w:keepNext w:val="0"/>
        <w:keepLines w:val="0"/>
        <w:pageBreakBefore w:val="0"/>
        <w:widowControl w:val="0"/>
        <w:kinsoku/>
        <w:overflowPunct/>
        <w:topLinePunct w:val="0"/>
        <w:autoSpaceDE/>
        <w:autoSpaceDN/>
        <w:bidi w:val="0"/>
        <w:adjustRightInd w:val="0"/>
        <w:snapToGrid w:val="0"/>
        <w:spacing w:line="50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五、本批复有效期五年。本项目自批复之日起五年后开工建设的，应报我局重新审核。本批复生效后，建设项目的地点、工艺、规模等发生重大变化时，应重新编制环境影响评价文件报我局审批。</w:t>
      </w:r>
    </w:p>
    <w:p>
      <w:pPr>
        <w:pStyle w:val="2"/>
        <w:ind w:firstLine="6600" w:firstLineChars="2200"/>
        <w:rPr>
          <w:rFonts w:hint="eastAsia" w:ascii="仿宋" w:hAnsi="仿宋" w:eastAsia="仿宋" w:cs="仿宋"/>
          <w:sz w:val="30"/>
          <w:szCs w:val="30"/>
        </w:rPr>
      </w:pPr>
      <w:r>
        <w:rPr>
          <w:rFonts w:hint="eastAsia" w:ascii="仿宋" w:hAnsi="仿宋" w:eastAsia="仿宋" w:cs="仿宋"/>
          <w:sz w:val="30"/>
          <w:szCs w:val="30"/>
        </w:rPr>
        <w:t>2020年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24</w:t>
      </w:r>
      <w:r>
        <w:rPr>
          <w:rFonts w:hint="eastAsia" w:ascii="仿宋" w:hAnsi="仿宋" w:eastAsia="仿宋" w:cs="仿宋"/>
          <w:sz w:val="30"/>
          <w:szCs w:val="30"/>
        </w:rPr>
        <w:t>日</w:t>
      </w: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snapToGrid/>
        <w:spacing w:line="500" w:lineRule="exact"/>
        <w:ind w:left="0" w:leftChars="0" w:right="0" w:rightChars="0"/>
        <w:textAlignment w:val="auto"/>
        <w:outlineLvl w:val="9"/>
        <w:rPr>
          <w:rFonts w:hint="eastAsia" w:ascii="仿宋" w:hAnsi="仿宋" w:eastAsia="仿宋" w:cs="仿宋"/>
          <w:sz w:val="30"/>
          <w:szCs w:val="30"/>
        </w:rPr>
      </w:pPr>
      <w:r>
        <w:rPr>
          <w:rFonts w:hint="eastAsia" w:ascii="仿宋" w:hAnsi="仿宋" w:eastAsia="仿宋" w:cs="仿宋"/>
          <w:sz w:val="30"/>
          <w:szCs w:val="30"/>
        </w:rPr>
        <w:t>抄送：</w:t>
      </w:r>
      <w:r>
        <w:rPr>
          <w:rFonts w:hint="eastAsia" w:ascii="仿宋" w:hAnsi="仿宋" w:eastAsia="仿宋" w:cs="仿宋"/>
          <w:sz w:val="30"/>
          <w:szCs w:val="30"/>
          <w:lang w:val="en-US" w:eastAsia="zh-CN"/>
        </w:rPr>
        <w:t>许昌市生态环境综合行政执法支队</w:t>
      </w:r>
      <w:r>
        <w:rPr>
          <w:rFonts w:hint="eastAsia" w:ascii="仿宋" w:hAnsi="仿宋" w:eastAsia="仿宋" w:cs="仿宋"/>
          <w:sz w:val="30"/>
          <w:szCs w:val="30"/>
        </w:rPr>
        <w:t>，许昌市</w:t>
      </w:r>
      <w:r>
        <w:rPr>
          <w:rFonts w:hint="eastAsia" w:ascii="仿宋" w:hAnsi="仿宋" w:eastAsia="仿宋" w:cs="仿宋"/>
          <w:sz w:val="30"/>
          <w:szCs w:val="30"/>
          <w:lang w:val="en-US" w:eastAsia="zh-CN"/>
        </w:rPr>
        <w:t>生态环境局禹州分</w:t>
      </w:r>
      <w:r>
        <w:rPr>
          <w:rFonts w:hint="eastAsia" w:ascii="仿宋" w:hAnsi="仿宋" w:eastAsia="仿宋" w:cs="仿宋"/>
          <w:sz w:val="30"/>
          <w:szCs w:val="30"/>
        </w:rPr>
        <w:t>局，</w:t>
      </w:r>
      <w:r>
        <w:rPr>
          <w:rFonts w:hint="eastAsia" w:ascii="仿宋" w:hAnsi="仿宋" w:eastAsia="仿宋" w:cs="仿宋"/>
          <w:sz w:val="30"/>
          <w:szCs w:val="30"/>
          <w:lang w:eastAsia="zh-CN"/>
        </w:rPr>
        <w:t>河南雅文环保技术</w:t>
      </w:r>
      <w:r>
        <w:rPr>
          <w:rFonts w:hint="eastAsia" w:ascii="仿宋" w:hAnsi="仿宋" w:eastAsia="仿宋" w:cs="仿宋"/>
          <w:sz w:val="30"/>
          <w:szCs w:val="30"/>
        </w:rPr>
        <w:t>有限公司。</w:t>
      </w:r>
      <w:bookmarkStart w:id="0" w:name="_GoBack"/>
      <w:bookmarkEnd w:id="0"/>
    </w:p>
    <w:p>
      <w:pPr>
        <w:keepNext w:val="0"/>
        <w:keepLines w:val="0"/>
        <w:pageBreakBefore w:val="0"/>
        <w:widowControl w:val="0"/>
        <w:kinsoku/>
        <w:overflowPunct/>
        <w:topLinePunct w:val="0"/>
        <w:autoSpaceDE/>
        <w:autoSpaceDN/>
        <w:bidi w:val="0"/>
        <w:adjustRightInd w:val="0"/>
        <w:snapToGrid w:val="0"/>
        <w:spacing w:line="520" w:lineRule="exact"/>
        <w:jc w:val="center"/>
        <w:textAlignment w:val="baseline"/>
        <w:rPr>
          <w:rFonts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463" w:bottom="1440" w:left="1463"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rPr>
        <w:rStyle w:val="8"/>
      </w:rPr>
    </w:pPr>
    <w:r>
      <w:rPr>
        <w:rStyle w:val="8"/>
      </w:rPr>
      <w:fldChar w:fldCharType="begin"/>
    </w:r>
    <w:r>
      <w:rPr>
        <w:rStyle w:val="8"/>
      </w:rPr>
      <w:instrText xml:space="preserve">PAGE  </w:instrText>
    </w:r>
    <w:r>
      <w:rPr>
        <w:rStyle w:val="8"/>
      </w:rPr>
      <w:fldChar w:fldCharType="end"/>
    </w:r>
  </w:p>
  <w:p>
    <w:pPr>
      <w:pStyle w:val="4"/>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34F84"/>
    <w:multiLevelType w:val="singleLevel"/>
    <w:tmpl w:val="5DF34F8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22438B1"/>
    <w:rsid w:val="00093BBC"/>
    <w:rsid w:val="00134447"/>
    <w:rsid w:val="00331F6B"/>
    <w:rsid w:val="00475952"/>
    <w:rsid w:val="00506557"/>
    <w:rsid w:val="00672CA1"/>
    <w:rsid w:val="00736CDC"/>
    <w:rsid w:val="007F227E"/>
    <w:rsid w:val="0093111C"/>
    <w:rsid w:val="00AB33CD"/>
    <w:rsid w:val="00C05EFF"/>
    <w:rsid w:val="00CF03CB"/>
    <w:rsid w:val="00DE1744"/>
    <w:rsid w:val="00E656A5"/>
    <w:rsid w:val="00E70823"/>
    <w:rsid w:val="00F51D38"/>
    <w:rsid w:val="00F775B4"/>
    <w:rsid w:val="022438B1"/>
    <w:rsid w:val="02F44599"/>
    <w:rsid w:val="096B3BC4"/>
    <w:rsid w:val="0B520AE3"/>
    <w:rsid w:val="0C4B0E46"/>
    <w:rsid w:val="0D0C27FC"/>
    <w:rsid w:val="0FCF7040"/>
    <w:rsid w:val="14AE63C6"/>
    <w:rsid w:val="1FC32C87"/>
    <w:rsid w:val="278F6EF8"/>
    <w:rsid w:val="2A341D30"/>
    <w:rsid w:val="30306B26"/>
    <w:rsid w:val="410A1B91"/>
    <w:rsid w:val="41210F68"/>
    <w:rsid w:val="4EFD6BD7"/>
    <w:rsid w:val="56181BA5"/>
    <w:rsid w:val="5905467F"/>
    <w:rsid w:val="594A4C08"/>
    <w:rsid w:val="61BE39CB"/>
    <w:rsid w:val="630D148C"/>
    <w:rsid w:val="660C7486"/>
    <w:rsid w:val="673B7705"/>
    <w:rsid w:val="679B657F"/>
    <w:rsid w:val="71722D7E"/>
    <w:rsid w:val="74FE0B1B"/>
    <w:rsid w:val="79F23EC8"/>
    <w:rsid w:val="7CCB40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lang w:val="en-US" w:eastAsia="zh-CN" w:bidi="ar-SA"/>
    </w:rPr>
  </w:style>
  <w:style w:type="paragraph" w:styleId="3">
    <w:name w:val="heading 1"/>
    <w:basedOn w:val="1"/>
    <w:next w:val="1"/>
    <w:qFormat/>
    <w:uiPriority w:val="9"/>
    <w:pPr>
      <w:keepNext/>
      <w:keepLines/>
      <w:spacing w:line="360" w:lineRule="auto"/>
      <w:outlineLvl w:val="0"/>
    </w:pPr>
    <w:rPr>
      <w:b/>
      <w:bCs/>
      <w:kern w:val="44"/>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4">
    <w:name w:val="footer"/>
    <w:basedOn w:val="1"/>
    <w:qFormat/>
    <w:uiPriority w:val="99"/>
    <w:pPr>
      <w:pBdr>
        <w:top w:val="none" w:color="000000" w:sz="0" w:space="3"/>
        <w:left w:val="none" w:color="000000" w:sz="0" w:space="3"/>
        <w:bottom w:val="none" w:color="000000" w:sz="0" w:space="3"/>
        <w:right w:val="none" w:color="000000" w:sz="0" w:space="3"/>
      </w:pBdr>
      <w:tabs>
        <w:tab w:val="center" w:pos="4153"/>
        <w:tab w:val="right" w:pos="8306"/>
      </w:tabs>
      <w:jc w:val="left"/>
    </w:pPr>
    <w:rPr>
      <w:sz w:val="18"/>
      <w:szCs w:val="18"/>
    </w:rPr>
  </w:style>
  <w:style w:type="paragraph" w:styleId="5">
    <w:name w:val="header"/>
    <w:basedOn w:val="1"/>
    <w:qFormat/>
    <w:uiPriority w:val="99"/>
    <w:pPr>
      <w:pBdr>
        <w:top w:val="none" w:color="000000" w:sz="0" w:space="3"/>
        <w:left w:val="none" w:color="000000" w:sz="0" w:space="3"/>
        <w:bottom w:val="single" w:color="000000" w:sz="6" w:space="1"/>
        <w:right w:val="none" w:color="000000" w:sz="0" w:space="3"/>
      </w:pBdr>
      <w:tabs>
        <w:tab w:val="center" w:pos="4153"/>
        <w:tab w:val="right" w:pos="8306"/>
      </w:tabs>
      <w:jc w:val="center"/>
    </w:pPr>
    <w:rPr>
      <w:sz w:val="18"/>
      <w:szCs w:val="18"/>
    </w:rPr>
  </w:style>
  <w:style w:type="character" w:styleId="8">
    <w:name w:val="page number"/>
    <w:basedOn w:val="7"/>
    <w:qFormat/>
    <w:uiPriority w:val="99"/>
    <w:rPr>
      <w:rFonts w:cs="Times New Roman"/>
    </w:rPr>
  </w:style>
  <w:style w:type="paragraph" w:customStyle="1" w:styleId="9">
    <w:name w:val="表格文字"/>
    <w:basedOn w:val="1"/>
    <w:qFormat/>
    <w:uiPriority w:val="0"/>
    <w:pPr>
      <w:spacing w:line="360" w:lineRule="auto"/>
      <w:jc w:val="center"/>
    </w:pPr>
    <w:rPr>
      <w:rFonts w:eastAsia="仿宋_GB231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2</Pages>
  <Words>186</Words>
  <Characters>1063</Characters>
  <Lines>8</Lines>
  <Paragraphs>2</Paragraphs>
  <TotalTime>6</TotalTime>
  <ScaleCrop>false</ScaleCrop>
  <LinksUpToDate>false</LinksUpToDate>
  <CharactersWithSpaces>1247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2020-09-08T09:01:00Z</dcterms:created>
  <dc:creator>江火似流萤</dc:creator>
  <cp:lastModifiedBy>简单</cp:lastModifiedBy>
  <cp:lastPrinted>2020-09-24T03:03:00Z</cp:lastPrinted>
  <dcterms:modified xsi:type="dcterms:W3CDTF">2020-09-24T03:14:06Z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