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许环建审〔2019〕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许昌市生态环境局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于许昌天恩食品有限责任公司年产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270吨腐竹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项目环境影响报告表</w:t>
      </w:r>
      <w:r>
        <w:rPr>
          <w:rFonts w:hint="eastAsia" w:ascii="宋体" w:hAnsi="宋体" w:cs="宋体"/>
          <w:b/>
          <w:sz w:val="44"/>
          <w:szCs w:val="44"/>
        </w:rPr>
        <w:t>的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批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44"/>
          <w:szCs w:val="44"/>
        </w:rPr>
        <w:t>复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许昌天恩食品有限责任公司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你公司（统一社会信用代码：91411000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MA410RUXX3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）上报的由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江苏圣泰环境科技股份有限公司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编制完成的《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许昌天恩食品有限责任公司年产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270吨腐竹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项目环境影响报告表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批版）》（以下简称《报告表》）收悉，并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》内容符合国家有关法律法规要求和建设项目环境管理规定，评价结论可信。我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批准该《报告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》，原则同意你公司按照《报告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》所列项目的性质、规模、地点、采用的生产工艺和环境保护对策进行项目建设。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你公司应按照《关于印发建设项目环境影响评价信息公开机制方案的通知》（环发〔2015〕162号）要求，主动公开业经批准的《报告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三、你公司应全面落实《报告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（一）向设计单位提供《报告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（二）依据《报告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》和本批复文件，对项目建设过程中产生的废水、废气、固体废物、噪声等污染，采取相应的防治措施。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项目外排污染物应满足以下要求：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1、废水。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项目生产过程中产生的泡豆废水、设备及车间冲洗废水，生活污水经化粪池处理，经地埋式一体化污水处理设备处理，达到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《污水综合排放标准》（GB8978-1996）表4三级标准及污水处理厂进水水质要求，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经市政污水管网排入许昌市瑞贝卡污水净化有限公司进行深度处理；废浆作为饲料当天外售给养殖企业，不外排。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2、废气。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项目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使用能信热电厂的热源，严禁安装使用锅炉。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煮浆、成型、烘干工段废气以及豆渣处理车间内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安装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排风扇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，加强通风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3、噪声。</w:t>
      </w:r>
      <w:r>
        <w:rPr>
          <w:rFonts w:ascii="Times New Roman" w:hAnsi="Times New Roman" w:eastAsia="仿宋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设备</w:t>
      </w:r>
      <w:r>
        <w:rPr>
          <w:rFonts w:ascii="Times New Roman" w:hAnsi="Times New Roman" w:eastAsia="仿宋"/>
          <w:color w:val="auto"/>
          <w:sz w:val="32"/>
          <w:szCs w:val="32"/>
        </w:rPr>
        <w:t>噪声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采取隔音、减震等</w:t>
      </w:r>
      <w:r>
        <w:rPr>
          <w:rFonts w:ascii="Times New Roman" w:hAnsi="Times New Roman" w:eastAsia="仿宋"/>
          <w:color w:val="auto"/>
          <w:sz w:val="32"/>
          <w:szCs w:val="32"/>
        </w:rPr>
        <w:t>降噪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措施</w:t>
      </w:r>
      <w:r>
        <w:rPr>
          <w:rFonts w:ascii="Times New Roman" w:hAnsi="Times New Roman" w:eastAsia="仿宋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达到</w:t>
      </w:r>
      <w:r>
        <w:rPr>
          <w:rFonts w:ascii="Times New Roman" w:hAnsi="Times New Roman" w:eastAsia="仿宋"/>
          <w:color w:val="auto"/>
          <w:sz w:val="32"/>
          <w:szCs w:val="32"/>
        </w:rPr>
        <w:t>《工业企业厂界环境噪声排放标准》（GB12348-2008）2类标准要求。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4、固废。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污水处理站污泥经袋装后与废包装箱袋共同暂存于一般固废暂存间，定期外售；豆渣使用密封桶储存，做到日产日清，及时</w:t>
      </w:r>
      <w:r>
        <w:rPr>
          <w:rFonts w:hint="eastAsia" w:ascii="仿宋_GB2312" w:hAnsi="黑体" w:eastAsia="仿宋_GB2312"/>
          <w:sz w:val="32"/>
          <w:szCs w:val="32"/>
        </w:rPr>
        <w:t>外售；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生产固废做到日产日清，设备和地面完工后及时清洗，保持车间地面卫生，避免废弃物长期堆置，防止蚊蝇及恶臭滋生。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生活垃圾定期交由环卫部门清运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tabs>
          <w:tab w:val="left" w:pos="8598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（四）本项目建成后，主要污染物控制指标（出厂量）为：化学需氧量0.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1227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吨/年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，氨氮0.0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吨/年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项目建设严格执行环境保护设施与主体工程同时设计、同时施工、同时投入使用的环境保护“三同时”制度。项目建成后，须按规定程序进行竣工环境保护验收，验收合格后，方可投入正式运行。市环境监察支队负责项目的日常监管工作，加强监督检查，如发现违法行为应立即纠正。</w:t>
      </w:r>
      <w:r>
        <w:rPr>
          <w:rFonts w:hint="eastAsia" w:ascii="仿宋_GB2312" w:eastAsia="仿宋_GB2312"/>
          <w:sz w:val="32"/>
          <w:szCs w:val="32"/>
        </w:rPr>
        <w:t>如果今后国家或我省颁布严于本批复指标的新标准，届时你公司应按新标准执行。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。如建设项目的性质、规模、地点、采用的生产工艺或者防治污染措施发生重大变动，应当重新报批建设项目的环境影响评价文件。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抄送：许昌市环境监察支队，许昌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市生态环境局东城区分局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江苏圣泰环境科技股份有限公司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F13C"/>
    <w:multiLevelType w:val="singleLevel"/>
    <w:tmpl w:val="6997F1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5157"/>
    <w:rsid w:val="059F5301"/>
    <w:rsid w:val="080F1832"/>
    <w:rsid w:val="097D4C0A"/>
    <w:rsid w:val="0A113DC7"/>
    <w:rsid w:val="0C0C63BE"/>
    <w:rsid w:val="129E011C"/>
    <w:rsid w:val="13652CB2"/>
    <w:rsid w:val="15B82DC2"/>
    <w:rsid w:val="1BE3219D"/>
    <w:rsid w:val="22CF4760"/>
    <w:rsid w:val="238D2524"/>
    <w:rsid w:val="26327123"/>
    <w:rsid w:val="2A080641"/>
    <w:rsid w:val="2B0854F2"/>
    <w:rsid w:val="34CA3F2F"/>
    <w:rsid w:val="3B0D296C"/>
    <w:rsid w:val="3BF108D7"/>
    <w:rsid w:val="41284460"/>
    <w:rsid w:val="416D13BD"/>
    <w:rsid w:val="417F2E28"/>
    <w:rsid w:val="45855241"/>
    <w:rsid w:val="491C3269"/>
    <w:rsid w:val="4F6C3D81"/>
    <w:rsid w:val="57A62878"/>
    <w:rsid w:val="5A834BF5"/>
    <w:rsid w:val="5AD75656"/>
    <w:rsid w:val="5D5A7F57"/>
    <w:rsid w:val="66806FED"/>
    <w:rsid w:val="6ADC76EF"/>
    <w:rsid w:val="6E8C11C3"/>
    <w:rsid w:val="779F2643"/>
    <w:rsid w:val="78CB5B53"/>
    <w:rsid w:val="794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2019-11-26T05:51:36Z</cp:lastPrinted>
  <dcterms:modified xsi:type="dcterms:W3CDTF">2019-11-26T05:51:53Z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