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textAlignment w:val="baseline"/>
        <w:rPr>
          <w:rFonts w:eastAsia="仿宋"/>
          <w:sz w:val="32"/>
          <w:szCs w:val="32"/>
        </w:rPr>
      </w:pPr>
    </w:p>
    <w:p>
      <w:pPr>
        <w:adjustRightInd w:val="0"/>
        <w:snapToGrid w:val="0"/>
        <w:spacing w:line="520" w:lineRule="exact"/>
        <w:ind w:firstLine="5120" w:firstLineChars="1600"/>
        <w:textAlignment w:val="baseline"/>
        <w:rPr>
          <w:rFonts w:hint="eastAsia" w:ascii="仿宋" w:hAnsi="仿宋" w:eastAsia="仿宋" w:cs="仿宋"/>
          <w:sz w:val="32"/>
          <w:szCs w:val="32"/>
        </w:rPr>
      </w:pPr>
      <w:r>
        <w:rPr>
          <w:rFonts w:hint="eastAsia" w:ascii="仿宋" w:hAnsi="仿宋" w:eastAsia="仿宋" w:cs="仿宋"/>
          <w:sz w:val="32"/>
          <w:szCs w:val="32"/>
        </w:rPr>
        <w:t>许环辐审〔202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default" w:ascii="仿宋" w:hAnsi="仿宋" w:eastAsia="仿宋" w:cs="仿宋"/>
          <w:sz w:val="32"/>
          <w:szCs w:val="32"/>
          <w:lang w:val="en" w:eastAsia="zh-CN"/>
        </w:rPr>
        <w:t>7</w:t>
      </w:r>
      <w:r>
        <w:rPr>
          <w:rFonts w:hint="eastAsia" w:ascii="仿宋" w:hAnsi="仿宋" w:eastAsia="仿宋" w:cs="仿宋"/>
          <w:sz w:val="32"/>
          <w:szCs w:val="32"/>
        </w:rPr>
        <w:t>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0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关于</w:t>
      </w:r>
      <w:r>
        <w:rPr>
          <w:rFonts w:hint="eastAsia" w:ascii="黑体" w:hAnsi="黑体" w:eastAsia="黑体" w:cs="黑体"/>
          <w:sz w:val="44"/>
          <w:szCs w:val="44"/>
          <w:lang w:eastAsia="zh-CN"/>
        </w:rPr>
        <w:t>禹州市第二人民医院数字减影血管造影机应用项目环境影响报告表</w:t>
      </w:r>
      <w:r>
        <w:rPr>
          <w:rFonts w:hint="eastAsia" w:ascii="黑体" w:hAnsi="黑体" w:eastAsia="黑体" w:cs="黑体"/>
          <w:sz w:val="44"/>
          <w:szCs w:val="44"/>
        </w:rPr>
        <w:t>的批复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禹州市第二人民医院</w:t>
      </w:r>
      <w:r>
        <w:rPr>
          <w:rFonts w:hint="eastAsia" w:ascii="仿宋" w:hAnsi="仿宋" w:eastAsia="仿宋" w:cs="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你</w:t>
      </w:r>
      <w:r>
        <w:rPr>
          <w:rFonts w:hint="eastAsia" w:ascii="仿宋" w:hAnsi="仿宋" w:eastAsia="仿宋" w:cs="仿宋"/>
          <w:sz w:val="32"/>
          <w:szCs w:val="32"/>
          <w:lang w:eastAsia="zh-CN"/>
        </w:rPr>
        <w:t>单位</w:t>
      </w:r>
      <w:bookmarkStart w:id="0" w:name="_GoBack"/>
      <w:bookmarkEnd w:id="0"/>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1</w:t>
      </w:r>
      <w:r>
        <w:rPr>
          <w:rFonts w:hint="eastAsia" w:ascii="仿宋" w:hAnsi="仿宋" w:eastAsia="仿宋" w:cs="仿宋"/>
          <w:sz w:val="32"/>
          <w:szCs w:val="32"/>
        </w:rPr>
        <w:t>24110814181232948）报送的《</w:t>
      </w:r>
      <w:r>
        <w:rPr>
          <w:rFonts w:hint="eastAsia" w:ascii="仿宋" w:hAnsi="仿宋" w:eastAsia="仿宋" w:cs="仿宋"/>
          <w:sz w:val="32"/>
          <w:szCs w:val="32"/>
          <w:lang w:eastAsia="zh-CN"/>
        </w:rPr>
        <w:t>禹州市第二人民医院数字减影血管造影机应用项目环境影响报告表</w:t>
      </w:r>
      <w:r>
        <w:rPr>
          <w:rFonts w:hint="eastAsia" w:ascii="仿宋" w:hAnsi="仿宋" w:eastAsia="仿宋" w:cs="仿宋"/>
          <w:sz w:val="32"/>
          <w:szCs w:val="32"/>
        </w:rPr>
        <w:t>》（报批版，以下简称《报告表》）收悉，该项目环评审批事项已在我</w:t>
      </w:r>
      <w:r>
        <w:rPr>
          <w:rFonts w:hint="eastAsia" w:ascii="仿宋" w:hAnsi="仿宋" w:eastAsia="仿宋" w:cs="仿宋"/>
          <w:sz w:val="32"/>
          <w:szCs w:val="32"/>
          <w:lang w:eastAsia="zh-CN"/>
        </w:rPr>
        <w:t>局</w:t>
      </w:r>
      <w:r>
        <w:rPr>
          <w:rFonts w:hint="eastAsia" w:ascii="仿宋" w:hAnsi="仿宋" w:eastAsia="仿宋" w:cs="仿宋"/>
          <w:sz w:val="32"/>
          <w:szCs w:val="32"/>
        </w:rPr>
        <w:t>网站公示期满。根据《中华人民共和国放射性污染防治法》《中华人民共和国环境影响评价法》《建设项目环境保护管理条例》《放射性同位素与射线装置安全和防护条例》等法律法规规定，经认真研究，批复如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一、原则批准由</w:t>
      </w:r>
      <w:r>
        <w:rPr>
          <w:rFonts w:hint="eastAsia" w:ascii="仿宋" w:hAnsi="仿宋" w:eastAsia="仿宋" w:cs="仿宋"/>
          <w:sz w:val="32"/>
          <w:szCs w:val="32"/>
          <w:lang w:val="en-US" w:eastAsia="zh-CN"/>
        </w:rPr>
        <w:t>河南鑫安利职业健康科技有限公司</w:t>
      </w:r>
      <w:r>
        <w:rPr>
          <w:rFonts w:hint="eastAsia" w:ascii="仿宋" w:hAnsi="仿宋" w:eastAsia="仿宋" w:cs="仿宋"/>
          <w:sz w:val="32"/>
          <w:szCs w:val="32"/>
        </w:rPr>
        <w:t>编制的《报告表》，建设单位应据此认真落实环保投资和各项污染防治措施。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审批内容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（一）种类和范围：使用</w:t>
      </w:r>
      <w:r>
        <w:rPr>
          <w:rFonts w:hint="eastAsia" w:ascii="仿宋" w:hAnsi="仿宋" w:eastAsia="仿宋" w:cs="仿宋"/>
          <w:sz w:val="32"/>
          <w:szCs w:val="32"/>
        </w:rPr>
        <w:t>Ⅱ</w:t>
      </w:r>
      <w:r>
        <w:rPr>
          <w:rFonts w:hint="eastAsia" w:ascii="仿宋" w:hAnsi="仿宋" w:eastAsia="仿宋" w:cs="仿宋"/>
          <w:sz w:val="32"/>
          <w:szCs w:val="32"/>
          <w:lang w:eastAsia="zh-CN"/>
        </w:rPr>
        <w:t>类射线装置。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（二）项目内容：本项目建设地点位于禹州市滨河大道153号，禹州市第二人民医院院内。</w:t>
      </w:r>
      <w:r>
        <w:rPr>
          <w:rFonts w:hint="eastAsia" w:ascii="仿宋" w:hAnsi="仿宋" w:eastAsia="仿宋" w:cs="仿宋"/>
          <w:sz w:val="32"/>
          <w:szCs w:val="32"/>
        </w:rPr>
        <w:t>拟</w:t>
      </w:r>
      <w:r>
        <w:rPr>
          <w:rFonts w:hint="eastAsia" w:ascii="仿宋" w:hAnsi="仿宋" w:eastAsia="仿宋" w:cs="仿宋"/>
          <w:sz w:val="32"/>
          <w:szCs w:val="32"/>
          <w:lang w:eastAsia="zh-CN"/>
        </w:rPr>
        <w:t>在</w:t>
      </w:r>
      <w:r>
        <w:rPr>
          <w:rFonts w:hint="eastAsia" w:ascii="仿宋" w:hAnsi="仿宋" w:eastAsia="仿宋" w:cs="仿宋"/>
          <w:sz w:val="32"/>
          <w:szCs w:val="32"/>
        </w:rPr>
        <w:t>医院住院部楼西侧新建DSA手术室</w:t>
      </w:r>
      <w:r>
        <w:rPr>
          <w:rFonts w:hint="eastAsia" w:ascii="仿宋" w:hAnsi="仿宋" w:eastAsia="仿宋" w:cs="仿宋"/>
          <w:sz w:val="32"/>
          <w:szCs w:val="32"/>
          <w:lang w:val="en-US" w:eastAsia="zh-CN"/>
        </w:rPr>
        <w:t>,</w:t>
      </w:r>
      <w:r>
        <w:rPr>
          <w:rFonts w:hint="eastAsia" w:ascii="仿宋" w:hAnsi="仿宋" w:eastAsia="仿宋" w:cs="仿宋"/>
          <w:sz w:val="32"/>
          <w:szCs w:val="32"/>
        </w:rPr>
        <w:t>配置</w:t>
      </w:r>
      <w:r>
        <w:rPr>
          <w:rFonts w:hint="eastAsia" w:ascii="仿宋" w:hAnsi="仿宋" w:eastAsia="仿宋" w:cs="仿宋"/>
          <w:sz w:val="32"/>
          <w:szCs w:val="32"/>
          <w:lang w:eastAsia="zh-CN"/>
        </w:rPr>
        <w:t>Ⅱ类射线装置</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台</w:t>
      </w:r>
      <w:r>
        <w:rPr>
          <w:rFonts w:hint="eastAsia" w:ascii="仿宋" w:hAnsi="仿宋" w:eastAsia="仿宋" w:cs="仿宋"/>
          <w:sz w:val="32"/>
          <w:szCs w:val="32"/>
        </w:rPr>
        <w:t>DSA</w:t>
      </w:r>
      <w:r>
        <w:rPr>
          <w:rFonts w:hint="eastAsia" w:ascii="仿宋" w:hAnsi="仿宋" w:eastAsia="仿宋" w:cs="仿宋"/>
          <w:sz w:val="32"/>
          <w:szCs w:val="32"/>
          <w:lang w:eastAsia="zh-CN"/>
        </w:rPr>
        <w:t>进行介入诊疗</w:t>
      </w:r>
      <w:r>
        <w:rPr>
          <w:rFonts w:hint="eastAsia" w:ascii="仿宋" w:hAnsi="仿宋" w:eastAsia="仿宋" w:cs="仿宋"/>
          <w:sz w:val="32"/>
          <w:szCs w:val="32"/>
        </w:rPr>
        <w:t>，</w:t>
      </w:r>
      <w:r>
        <w:rPr>
          <w:rFonts w:hint="eastAsia" w:ascii="仿宋" w:hAnsi="仿宋" w:eastAsia="仿宋" w:cs="仿宋"/>
          <w:sz w:val="32"/>
          <w:szCs w:val="32"/>
          <w:lang w:eastAsia="zh-CN"/>
        </w:rPr>
        <w:t>最大</w:t>
      </w:r>
      <w:r>
        <w:rPr>
          <w:rFonts w:hint="eastAsia" w:ascii="仿宋" w:hAnsi="仿宋" w:eastAsia="仿宋" w:cs="仿宋"/>
          <w:sz w:val="32"/>
          <w:szCs w:val="32"/>
        </w:rPr>
        <w:t>管电压125kV，管电流1250mA，总投资1000万元，环保投资15万元。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三、你单位应在项目建成后30日内向社会公众主动公开本项目环评及许可情况，并接受相关方的咨询。同时，应将经批准的《报告表》报送许昌市生态环境局</w:t>
      </w:r>
      <w:r>
        <w:rPr>
          <w:rFonts w:hint="eastAsia" w:ascii="仿宋" w:hAnsi="仿宋" w:eastAsia="仿宋" w:cs="仿宋"/>
          <w:sz w:val="32"/>
          <w:szCs w:val="32"/>
          <w:lang w:eastAsia="zh-CN"/>
        </w:rPr>
        <w:t>禹州</w:t>
      </w:r>
      <w:r>
        <w:rPr>
          <w:rFonts w:hint="eastAsia" w:ascii="仿宋" w:hAnsi="仿宋" w:eastAsia="仿宋" w:cs="仿宋"/>
          <w:sz w:val="32"/>
          <w:szCs w:val="32"/>
          <w:lang w:val="en-US" w:eastAsia="zh-CN"/>
        </w:rPr>
        <w:t>分局，并接受监督管理。</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tabs>
          <w:tab w:val="left" w:pos="898"/>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项目</w:t>
      </w:r>
      <w:r>
        <w:rPr>
          <w:rFonts w:hint="eastAsia" w:ascii="仿宋" w:hAnsi="仿宋" w:eastAsia="仿宋" w:cs="仿宋"/>
          <w:sz w:val="32"/>
          <w:szCs w:val="32"/>
          <w:lang w:eastAsia="zh-CN"/>
        </w:rPr>
        <w:t>建设和</w:t>
      </w:r>
      <w:r>
        <w:rPr>
          <w:rFonts w:hint="eastAsia" w:ascii="仿宋" w:hAnsi="仿宋" w:eastAsia="仿宋" w:cs="仿宋"/>
          <w:sz w:val="32"/>
          <w:szCs w:val="32"/>
        </w:rPr>
        <w:t>运营期间须重点做好的工作。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（一）你单位应将《报告表》中各项污染防治措施落实到工程建设中，切实加强施工监督管理，确保项目的工程建设质量。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（二）你单位应设置辐射环境安全专（兼）职管理人员，建立并落实辐射防护、环境安全管理、事故预防、应急处理等规章制度。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（三）辐射工作场所须设置明显的电离辐射标志和中文警示说明。配备相应辐射监测仪器，制定监测计划定期对辐射工作场所及周围环境进行辐射监测，监测记录长期保存。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（四）从事辐射工作的人员必须通过辐射安全和防护专业知识及相关法律法规的培训，经考核合格后上岗，并定期进行个人剂量监测，建立和完善个人剂量档案。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（五）按时组织开展辐射安全与防护状况年度评估工作，发现安全隐患的，应立即进行整改，年度评估报告每年1月31日前报送原发证机关，同时抄送</w:t>
      </w:r>
      <w:r>
        <w:rPr>
          <w:rFonts w:hint="eastAsia" w:eastAsia="仿宋"/>
          <w:sz w:val="30"/>
          <w:szCs w:val="30"/>
        </w:rPr>
        <w:t>许昌市</w:t>
      </w:r>
      <w:r>
        <w:rPr>
          <w:rFonts w:hint="eastAsia" w:eastAsia="仿宋"/>
          <w:sz w:val="30"/>
          <w:szCs w:val="30"/>
          <w:lang w:val="en-US" w:eastAsia="zh-CN"/>
        </w:rPr>
        <w:t>生态环境局</w:t>
      </w:r>
      <w:r>
        <w:rPr>
          <w:rFonts w:hint="eastAsia" w:ascii="仿宋" w:hAnsi="仿宋" w:eastAsia="仿宋" w:cs="仿宋"/>
          <w:sz w:val="32"/>
          <w:szCs w:val="32"/>
          <w:lang w:eastAsia="zh-CN"/>
        </w:rPr>
        <w:t>禹州</w:t>
      </w:r>
      <w:r>
        <w:rPr>
          <w:rFonts w:hint="eastAsia" w:eastAsia="仿宋"/>
          <w:sz w:val="30"/>
          <w:szCs w:val="30"/>
          <w:lang w:val="en-US" w:eastAsia="zh-CN"/>
        </w:rPr>
        <w:t>分</w:t>
      </w:r>
      <w:r>
        <w:rPr>
          <w:rFonts w:hint="eastAsia" w:eastAsia="仿宋"/>
          <w:sz w:val="30"/>
          <w:szCs w:val="30"/>
        </w:rPr>
        <w:t>局</w:t>
      </w:r>
      <w:r>
        <w:rPr>
          <w:rFonts w:hint="eastAsia" w:ascii="仿宋" w:hAnsi="仿宋" w:eastAsia="仿宋" w:cs="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（六）按规定重新申领“辐射安全许可证”，并报告当地生态环境部门。取得“辐射安全许可证”后，该项目方可投入运行。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（七）该项目竣工后，其配套建设的放射防护设施须经验收合格，方可投入生产或者使用</w:t>
      </w:r>
      <w:r>
        <w:rPr>
          <w:rFonts w:hint="eastAsia" w:ascii="仿宋" w:hAnsi="仿宋" w:eastAsia="仿宋" w:cs="仿宋"/>
          <w:sz w:val="32"/>
          <w:szCs w:val="32"/>
          <w:lang w:eastAsia="zh-CN"/>
        </w:rPr>
        <w:t>，</w:t>
      </w:r>
      <w:r>
        <w:rPr>
          <w:rFonts w:hint="eastAsia" w:ascii="仿宋" w:hAnsi="仿宋" w:eastAsia="仿宋" w:cs="仿宋"/>
          <w:sz w:val="32"/>
          <w:szCs w:val="32"/>
        </w:rPr>
        <w:t>未经验收或者验收不合格的，不得投入生产或者使用。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（八）项目自本批复下达之日起，超过5年方决定开工建设的，环境影响评价文件应报我局重新审核。建设项目的地点、工艺、规模等发生重大变动的，应当重新报批项目的环境影响评价文件。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bidi w:val="0"/>
        <w:spacing w:line="600" w:lineRule="exact"/>
        <w:rPr>
          <w:rFonts w:eastAsia="仿宋"/>
          <w:color w:val="000000" w:themeColor="text1"/>
          <w:sz w:val="30"/>
          <w:szCs w:val="30"/>
          <w:u w:val="thick"/>
          <w14:textFill>
            <w14:solidFill>
              <w14:schemeClr w14:val="tx1"/>
            </w14:solidFill>
          </w14:textFill>
        </w:rPr>
      </w:pPr>
    </w:p>
    <w:p>
      <w:pPr>
        <w:keepNext w:val="0"/>
        <w:keepLines w:val="0"/>
        <w:pageBreakBefore w:val="0"/>
        <w:widowControl w:val="0"/>
        <w:pBdr>
          <w:top w:val="single" w:color="auto" w:sz="4" w:space="0"/>
          <w:bottom w:val="single" w:color="auto" w:sz="4" w:space="0"/>
        </w:pBdr>
        <w:kinsoku/>
        <w:wordWrap w:val="0"/>
        <w:overflowPunct/>
        <w:topLinePunct w:val="0"/>
        <w:bidi w:val="0"/>
        <w:snapToGrid/>
        <w:spacing w:line="600" w:lineRule="exact"/>
        <w:ind w:left="0" w:leftChars="0" w:right="0" w:rightChars="0"/>
        <w:jc w:val="left"/>
        <w:textAlignment w:val="auto"/>
        <w:outlineLvl w:val="9"/>
      </w:pPr>
      <w:r>
        <w:rPr>
          <w:rFonts w:hint="eastAsia" w:eastAsia="仿宋"/>
          <w:sz w:val="30"/>
          <w:szCs w:val="30"/>
        </w:rPr>
        <w:t>抄送：</w:t>
      </w:r>
      <w:r>
        <w:rPr>
          <w:rFonts w:hint="eastAsia" w:eastAsia="仿宋"/>
          <w:sz w:val="30"/>
          <w:szCs w:val="30"/>
          <w:lang w:val="en-US" w:eastAsia="zh-CN"/>
        </w:rPr>
        <w:t>许昌市生态环境综合行政执法支队</w:t>
      </w:r>
      <w:r>
        <w:rPr>
          <w:rFonts w:hint="eastAsia" w:eastAsia="仿宋"/>
          <w:sz w:val="30"/>
          <w:szCs w:val="30"/>
        </w:rPr>
        <w:t>，许昌市</w:t>
      </w:r>
      <w:r>
        <w:rPr>
          <w:rFonts w:hint="eastAsia" w:eastAsia="仿宋"/>
          <w:sz w:val="30"/>
          <w:szCs w:val="30"/>
          <w:lang w:val="en-US" w:eastAsia="zh-CN"/>
        </w:rPr>
        <w:t>生态环境局</w:t>
      </w:r>
      <w:r>
        <w:rPr>
          <w:rFonts w:hint="eastAsia" w:ascii="仿宋" w:hAnsi="仿宋" w:eastAsia="仿宋" w:cs="仿宋"/>
          <w:sz w:val="32"/>
          <w:szCs w:val="32"/>
          <w:lang w:eastAsia="zh-CN"/>
        </w:rPr>
        <w:t>禹州</w:t>
      </w:r>
      <w:r>
        <w:rPr>
          <w:rFonts w:hint="eastAsia" w:eastAsia="仿宋"/>
          <w:sz w:val="30"/>
          <w:szCs w:val="30"/>
          <w:lang w:val="en-US" w:eastAsia="zh-CN"/>
        </w:rPr>
        <w:t>分</w:t>
      </w:r>
      <w:r>
        <w:rPr>
          <w:rFonts w:hint="eastAsia" w:eastAsia="仿宋"/>
          <w:sz w:val="30"/>
          <w:szCs w:val="30"/>
        </w:rPr>
        <w:t>局，</w:t>
      </w:r>
      <w:r>
        <w:rPr>
          <w:rFonts w:hint="eastAsia" w:ascii="仿宋" w:hAnsi="仿宋" w:eastAsia="仿宋" w:cs="仿宋"/>
          <w:sz w:val="32"/>
          <w:szCs w:val="32"/>
          <w:lang w:val="en-US" w:eastAsia="zh-CN"/>
        </w:rPr>
        <w:t>河南鑫安利职业健康科技有限公司</w:t>
      </w:r>
      <w:r>
        <w:rPr>
          <w:rFonts w:hint="eastAsia" w:ascii="仿宋_GB2312" w:hAnsi="仿宋_GB2312" w:eastAsia="仿宋_GB2312" w:cs="仿宋_GB2312"/>
          <w:sz w:val="30"/>
          <w:szCs w:val="30"/>
        </w:rPr>
        <w:t>。</w:t>
      </w:r>
    </w:p>
    <w:p>
      <w:pPr>
        <w:pStyle w:val="2"/>
        <w:rPr>
          <w:rFonts w:hint="eastAsia"/>
        </w:rPr>
      </w:pPr>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Bdr>
        <w:top w:val="none" w:color="auto" w:sz="0" w:space="0"/>
        <w:left w:val="none" w:color="auto" w:sz="0" w:space="0"/>
        <w:bottom w:val="none" w:color="auto" w:sz="0" w:space="0"/>
        <w:right w:val="none" w:color="auto" w:sz="0" w:space="0"/>
        <w:between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rPr>
        <w:rStyle w:val="9"/>
      </w:rPr>
    </w:pPr>
    <w:r>
      <w:rPr>
        <w:rStyle w:val="9"/>
      </w:rPr>
      <w:fldChar w:fldCharType="begin"/>
    </w:r>
    <w:r>
      <w:rPr>
        <w:rStyle w:val="9"/>
      </w:rPr>
      <w:instrText xml:space="preserve">PAGE  </w:instrText>
    </w:r>
    <w:r>
      <w:rPr>
        <w:rStyle w:val="9"/>
      </w:rPr>
      <w:fldChar w:fldCharType="end"/>
    </w:r>
  </w:p>
  <w:p>
    <w:pPr>
      <w:pStyle w:val="4"/>
      <w:pBdr>
        <w:top w:val="none" w:color="auto" w:sz="0" w:space="0"/>
        <w:left w:val="none" w:color="auto" w:sz="0" w:space="0"/>
        <w:bottom w:val="none" w:color="auto" w:sz="0" w:space="0"/>
        <w:right w:val="none" w:color="auto" w:sz="0" w:space="0"/>
        <w:between w:val="none" w:color="auto" w:sz="0"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between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0"/>
  <w:drawingGridVerticalSpacing w:val="156"/>
  <w:characterSpacingControl w:val="doNotCompress"/>
  <w:noLineBreaksAfter w:lang="zh-CN" w:val="$([{£¥·‘“〈《「『【〔〖〝﹙﹛﹝＄（．［｛￡￥"/>
  <w:noLineBreaksBefore w:lang="zh-CN" w:val="!%),.:;&gt;?]}¢¨°·ˇˉ―‖’”…‰′″›℃∶、。〃〉》」』】〕〗〞︶︺︾﹀﹄﹚﹜﹞！＂％＇），．：；？］｀｜｝～￠"/>
  <w:endnotePr>
    <w:numFmt w:val="decimal"/>
  </w:endnotePr>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44"/>
    <w:rsid w:val="000F3002"/>
    <w:rsid w:val="00234A7A"/>
    <w:rsid w:val="00271A56"/>
    <w:rsid w:val="00275844"/>
    <w:rsid w:val="002B7570"/>
    <w:rsid w:val="002D3A3C"/>
    <w:rsid w:val="002D5C8C"/>
    <w:rsid w:val="00331A56"/>
    <w:rsid w:val="003C4FF3"/>
    <w:rsid w:val="003F774C"/>
    <w:rsid w:val="0043588C"/>
    <w:rsid w:val="004F725F"/>
    <w:rsid w:val="005D17A1"/>
    <w:rsid w:val="005E4B77"/>
    <w:rsid w:val="00640F12"/>
    <w:rsid w:val="00672E34"/>
    <w:rsid w:val="0069585E"/>
    <w:rsid w:val="006D0F32"/>
    <w:rsid w:val="00772EB9"/>
    <w:rsid w:val="007D7563"/>
    <w:rsid w:val="00860DA4"/>
    <w:rsid w:val="0092050D"/>
    <w:rsid w:val="00A22559"/>
    <w:rsid w:val="00A40E01"/>
    <w:rsid w:val="00A569BF"/>
    <w:rsid w:val="00AA60EC"/>
    <w:rsid w:val="00AF011A"/>
    <w:rsid w:val="00AF7526"/>
    <w:rsid w:val="00B029F6"/>
    <w:rsid w:val="00B2691C"/>
    <w:rsid w:val="00BF0118"/>
    <w:rsid w:val="00BF0DDC"/>
    <w:rsid w:val="00C424F6"/>
    <w:rsid w:val="00CD3488"/>
    <w:rsid w:val="00E01E3C"/>
    <w:rsid w:val="00E92444"/>
    <w:rsid w:val="00EE1324"/>
    <w:rsid w:val="00F97B33"/>
    <w:rsid w:val="02E758B8"/>
    <w:rsid w:val="03AA7A7C"/>
    <w:rsid w:val="04312852"/>
    <w:rsid w:val="056B5980"/>
    <w:rsid w:val="066D6A9F"/>
    <w:rsid w:val="08100C02"/>
    <w:rsid w:val="0A2B58D8"/>
    <w:rsid w:val="0AC85F05"/>
    <w:rsid w:val="0BE55213"/>
    <w:rsid w:val="0E636F69"/>
    <w:rsid w:val="0F2C62E2"/>
    <w:rsid w:val="104B6073"/>
    <w:rsid w:val="107433AE"/>
    <w:rsid w:val="14701F95"/>
    <w:rsid w:val="15B55286"/>
    <w:rsid w:val="17F461DB"/>
    <w:rsid w:val="185B4FCB"/>
    <w:rsid w:val="18665C72"/>
    <w:rsid w:val="1C745047"/>
    <w:rsid w:val="1EC03777"/>
    <w:rsid w:val="211C4D22"/>
    <w:rsid w:val="24605CFD"/>
    <w:rsid w:val="251A57A0"/>
    <w:rsid w:val="25EF30E1"/>
    <w:rsid w:val="26A53152"/>
    <w:rsid w:val="27CF34B1"/>
    <w:rsid w:val="289E0881"/>
    <w:rsid w:val="28D65AAF"/>
    <w:rsid w:val="2AE86639"/>
    <w:rsid w:val="2B9B7698"/>
    <w:rsid w:val="2BFE5C0C"/>
    <w:rsid w:val="2C0D3A63"/>
    <w:rsid w:val="2E0919EE"/>
    <w:rsid w:val="2E697240"/>
    <w:rsid w:val="2F6E1C1A"/>
    <w:rsid w:val="306D6ECB"/>
    <w:rsid w:val="332029EE"/>
    <w:rsid w:val="33B54CFE"/>
    <w:rsid w:val="36CC6667"/>
    <w:rsid w:val="3C13414E"/>
    <w:rsid w:val="3D49138C"/>
    <w:rsid w:val="403C4D98"/>
    <w:rsid w:val="40912A54"/>
    <w:rsid w:val="43C75B46"/>
    <w:rsid w:val="4986342D"/>
    <w:rsid w:val="4FB631CB"/>
    <w:rsid w:val="51A642FD"/>
    <w:rsid w:val="5247484F"/>
    <w:rsid w:val="57D46814"/>
    <w:rsid w:val="5ADA2A63"/>
    <w:rsid w:val="5CB03E69"/>
    <w:rsid w:val="5CE96CA3"/>
    <w:rsid w:val="5EBD12BA"/>
    <w:rsid w:val="60BE2601"/>
    <w:rsid w:val="65477E12"/>
    <w:rsid w:val="67C35397"/>
    <w:rsid w:val="6B865DC7"/>
    <w:rsid w:val="6C11001F"/>
    <w:rsid w:val="6D035CB4"/>
    <w:rsid w:val="6DBBC6B3"/>
    <w:rsid w:val="6DD0183E"/>
    <w:rsid w:val="6F5D9702"/>
    <w:rsid w:val="6FEE78F0"/>
    <w:rsid w:val="6FFD9066"/>
    <w:rsid w:val="702E2A47"/>
    <w:rsid w:val="70F125FD"/>
    <w:rsid w:val="75BC6DEE"/>
    <w:rsid w:val="76D51ACD"/>
    <w:rsid w:val="7B1EEB91"/>
    <w:rsid w:val="7BB76E70"/>
    <w:rsid w:val="7EF78386"/>
    <w:rsid w:val="7FAC3CD6"/>
    <w:rsid w:val="DA0E21D9"/>
    <w:rsid w:val="EFFEB688"/>
    <w:rsid w:val="FEF73A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0"/>
      <w:lang w:val="en-US" w:eastAsia="zh-CN" w:bidi="ar-SA"/>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styleId="3">
    <w:name w:val="Normal Indent"/>
    <w:basedOn w:val="1"/>
    <w:qFormat/>
    <w:uiPriority w:val="99"/>
    <w:pPr>
      <w:ind w:firstLine="420" w:firstLineChars="200"/>
    </w:pPr>
  </w:style>
  <w:style w:type="paragraph" w:styleId="4">
    <w:name w:val="footer"/>
    <w:basedOn w:val="1"/>
    <w:link w:val="10"/>
    <w:qFormat/>
    <w:uiPriority w:val="99"/>
    <w:pPr>
      <w:pBdr>
        <w:top w:val="none" w:color="000000" w:sz="0" w:space="3"/>
        <w:left w:val="none" w:color="000000" w:sz="0" w:space="3"/>
        <w:bottom w:val="none" w:color="000000" w:sz="0" w:space="3"/>
        <w:right w:val="none" w:color="000000" w:sz="0" w:space="3"/>
      </w:pBdr>
      <w:tabs>
        <w:tab w:val="center" w:pos="4153"/>
        <w:tab w:val="right" w:pos="8306"/>
      </w:tabs>
      <w:jc w:val="left"/>
    </w:pPr>
    <w:rPr>
      <w:sz w:val="18"/>
      <w:szCs w:val="18"/>
    </w:rPr>
  </w:style>
  <w:style w:type="paragraph" w:styleId="5">
    <w:name w:val="header"/>
    <w:basedOn w:val="1"/>
    <w:link w:val="11"/>
    <w:qFormat/>
    <w:uiPriority w:val="99"/>
    <w:pPr>
      <w:pBdr>
        <w:top w:val="none" w:color="000000" w:sz="0" w:space="3"/>
        <w:left w:val="none" w:color="000000" w:sz="0" w:space="3"/>
        <w:bottom w:val="single" w:color="000000" w:sz="6" w:space="1"/>
        <w:right w:val="none" w:color="000000" w:sz="0" w:space="3"/>
      </w:pBdr>
      <w:tabs>
        <w:tab w:val="center" w:pos="4153"/>
        <w:tab w:val="right" w:pos="8306"/>
      </w:tabs>
      <w:jc w:val="center"/>
    </w:pPr>
    <w:rPr>
      <w:sz w:val="18"/>
      <w:szCs w:val="18"/>
    </w:rPr>
  </w:style>
  <w:style w:type="paragraph" w:styleId="6">
    <w:name w:val="Normal (Web)"/>
    <w:basedOn w:val="1"/>
    <w:qFormat/>
    <w:uiPriority w:val="99"/>
    <w:pPr>
      <w:widowControl/>
      <w:pBdr>
        <w:top w:val="none" w:color="000000" w:sz="0" w:space="3"/>
        <w:left w:val="none" w:color="000000" w:sz="0" w:space="3"/>
        <w:bottom w:val="none" w:color="000000" w:sz="0" w:space="3"/>
        <w:right w:val="none" w:color="000000" w:sz="0" w:space="3"/>
      </w:pBdr>
      <w:spacing w:before="100" w:beforeAutospacing="1" w:after="100" w:afterAutospacing="1"/>
      <w:jc w:val="left"/>
    </w:pPr>
    <w:rPr>
      <w:rFonts w:ascii="宋体" w:hAnsi="宋体" w:cs="宋体"/>
      <w:sz w:val="24"/>
      <w:szCs w:val="24"/>
    </w:rPr>
  </w:style>
  <w:style w:type="character" w:styleId="9">
    <w:name w:val="page number"/>
    <w:basedOn w:val="8"/>
    <w:qFormat/>
    <w:uiPriority w:val="99"/>
    <w:rPr>
      <w:rFonts w:cs="Times New Roman"/>
    </w:rPr>
  </w:style>
  <w:style w:type="character" w:customStyle="1" w:styleId="10">
    <w:name w:val="Footer Char"/>
    <w:basedOn w:val="8"/>
    <w:link w:val="4"/>
    <w:qFormat/>
    <w:locked/>
    <w:uiPriority w:val="99"/>
    <w:rPr>
      <w:rFonts w:cs="Times New Roman"/>
      <w:sz w:val="18"/>
    </w:rPr>
  </w:style>
  <w:style w:type="character" w:customStyle="1" w:styleId="11">
    <w:name w:val="Header Char"/>
    <w:basedOn w:val="8"/>
    <w:link w:val="5"/>
    <w:qFormat/>
    <w:locked/>
    <w:uiPriority w:val="99"/>
    <w:rPr>
      <w:rFonts w:cs="Times New Roman"/>
      <w:sz w:val="18"/>
    </w:rPr>
  </w:style>
  <w:style w:type="paragraph" w:customStyle="1" w:styleId="12">
    <w:name w:val="样式 正文缩进s4标题4表正文正文非缩进图标题段1Body Text(ch)缩进ALT+Z特点四号正文不..."/>
    <w:basedOn w:val="3"/>
    <w:qFormat/>
    <w:uiPriority w:val="99"/>
    <w:pPr>
      <w:pBdr>
        <w:top w:val="none" w:color="auto" w:sz="0" w:space="0"/>
        <w:left w:val="none" w:color="auto" w:sz="0" w:space="0"/>
        <w:bottom w:val="none" w:color="auto" w:sz="0" w:space="0"/>
        <w:right w:val="none" w:color="auto" w:sz="0" w:space="0"/>
        <w:between w:val="none" w:color="auto" w:sz="0" w:space="0"/>
      </w:pBdr>
      <w:spacing w:line="360" w:lineRule="auto"/>
      <w:ind w:firstLine="472" w:firstLineChars="0"/>
      <w:outlineLvl w:val="4"/>
    </w:pPr>
    <w:rPr>
      <w:rFonts w:ascii="宋体" w:hAnsi="宋体" w:cs="宋体"/>
      <w:color w:val="000000"/>
      <w:spacing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199</Words>
  <Characters>1138</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2016-09-29T03:06:00Z</dcterms:created>
  <dc:creator>Administrator</dc:creator>
  <cp:lastModifiedBy>蒋金杰</cp:lastModifiedBy>
  <cp:lastPrinted>2018-10-17T01:29:00Z</cp:lastPrinted>
  <dcterms:modified xsi:type="dcterms:W3CDTF">2021-10-28T02:42:49Z</dcterms:modified>
  <dc:title>许环辐审〔2015〕1号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RubyTemplateID" linkTarget="0">
    <vt:lpwstr>6</vt:lpwstr>
  </property>
  <property fmtid="{D5CDD505-2E9C-101B-9397-08002B2CF9AE}" pid="4" name="ICV">
    <vt:lpwstr>5F4C0A4D106F43D2B87B23E1672E12EB</vt:lpwstr>
  </property>
</Properties>
</file>