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许环建审〔20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许昌市生态环境局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val="en-US" w:eastAsia="zh-CN"/>
        </w:rPr>
        <w:t>许昌富森生物科技股份有限公司核苷氨基酸及其衍生物深加工</w:t>
      </w:r>
      <w:r>
        <w:rPr>
          <w:rFonts w:hint="eastAsia" w:ascii="方正小标宋简体" w:hAnsi="方正小标宋简体" w:eastAsia="方正小标宋简体" w:cs="方正小标宋简体"/>
          <w:b w:val="0"/>
          <w:bCs/>
          <w:sz w:val="44"/>
          <w:szCs w:val="44"/>
          <w:lang w:eastAsia="zh-CN"/>
        </w:rPr>
        <w:t>项目</w:t>
      </w:r>
      <w:r>
        <w:rPr>
          <w:rFonts w:hint="eastAsia" w:ascii="方正小标宋简体" w:hAnsi="方正小标宋简体" w:eastAsia="方正小标宋简体" w:cs="方正小标宋简体"/>
          <w:b w:val="0"/>
          <w:bCs/>
          <w:sz w:val="44"/>
          <w:szCs w:val="44"/>
        </w:rPr>
        <w:t>环境影响报告书的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z w:val="44"/>
          <w:szCs w:val="44"/>
        </w:rPr>
        <w:t>批</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许昌富森生物科技股份有限公司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你公司（统一社会信用代码：</w:t>
      </w:r>
      <w:r>
        <w:rPr>
          <w:rFonts w:hint="eastAsia" w:ascii="仿宋" w:hAnsi="仿宋" w:eastAsia="仿宋" w:cs="仿宋"/>
          <w:sz w:val="32"/>
          <w:szCs w:val="32"/>
          <w:lang w:val="en-US" w:eastAsia="zh-CN"/>
        </w:rPr>
        <w:t>91411000MA44TQLX0B</w:t>
      </w:r>
      <w:r>
        <w:rPr>
          <w:rFonts w:hint="eastAsia" w:ascii="仿宋" w:hAnsi="仿宋" w:eastAsia="仿宋" w:cs="仿宋"/>
          <w:sz w:val="32"/>
          <w:szCs w:val="32"/>
        </w:rPr>
        <w:t>）</w:t>
      </w:r>
      <w:r>
        <w:rPr>
          <w:rFonts w:hint="eastAsia" w:ascii="仿宋" w:hAnsi="仿宋" w:eastAsia="仿宋" w:cs="仿宋"/>
          <w:sz w:val="32"/>
          <w:szCs w:val="32"/>
          <w:lang w:val="en-US" w:eastAsia="zh-CN"/>
        </w:rPr>
        <w:t>报送</w:t>
      </w:r>
      <w:r>
        <w:rPr>
          <w:rFonts w:hint="eastAsia" w:ascii="仿宋" w:hAnsi="仿宋" w:eastAsia="仿宋" w:cs="仿宋"/>
          <w:sz w:val="32"/>
          <w:szCs w:val="32"/>
        </w:rPr>
        <w:t>的由河南</w:t>
      </w:r>
      <w:r>
        <w:rPr>
          <w:rFonts w:hint="eastAsia" w:ascii="仿宋" w:hAnsi="仿宋" w:eastAsia="仿宋" w:cs="仿宋"/>
          <w:sz w:val="32"/>
          <w:szCs w:val="32"/>
          <w:lang w:val="en-US" w:eastAsia="zh-CN"/>
        </w:rPr>
        <w:t>咏蓝环境科技</w:t>
      </w:r>
      <w:r>
        <w:rPr>
          <w:rFonts w:hint="eastAsia" w:ascii="仿宋" w:hAnsi="仿宋" w:eastAsia="仿宋" w:cs="仿宋"/>
          <w:sz w:val="32"/>
          <w:szCs w:val="32"/>
        </w:rPr>
        <w:t>有限公司编制完成的《</w:t>
      </w:r>
      <w:r>
        <w:rPr>
          <w:rFonts w:hint="eastAsia" w:ascii="仿宋" w:hAnsi="仿宋" w:eastAsia="仿宋" w:cs="仿宋"/>
          <w:b w:val="0"/>
          <w:bCs/>
          <w:sz w:val="32"/>
          <w:szCs w:val="32"/>
          <w:lang w:val="en-US" w:eastAsia="zh-CN"/>
        </w:rPr>
        <w:t>许昌富森生物科技股份有限公司核苷氨基酸及其衍生物深加工</w:t>
      </w:r>
      <w:r>
        <w:rPr>
          <w:rFonts w:hint="eastAsia" w:ascii="仿宋" w:hAnsi="仿宋" w:eastAsia="仿宋" w:cs="仿宋"/>
          <w:sz w:val="32"/>
          <w:szCs w:val="32"/>
          <w:lang w:eastAsia="zh-CN"/>
        </w:rPr>
        <w:t>项目</w:t>
      </w:r>
      <w:r>
        <w:rPr>
          <w:rFonts w:hint="eastAsia" w:ascii="仿宋" w:hAnsi="仿宋" w:eastAsia="仿宋" w:cs="仿宋"/>
          <w:sz w:val="32"/>
          <w:szCs w:val="32"/>
        </w:rPr>
        <w:t>环境影响报告书》（以下简称《报告书》）收悉，并已在我</w:t>
      </w:r>
      <w:r>
        <w:rPr>
          <w:rFonts w:hint="eastAsia" w:ascii="仿宋" w:hAnsi="仿宋" w:eastAsia="仿宋" w:cs="仿宋"/>
          <w:sz w:val="32"/>
          <w:szCs w:val="32"/>
          <w:lang w:val="en-US" w:eastAsia="zh-CN"/>
        </w:rPr>
        <w:t>局</w:t>
      </w:r>
      <w:r>
        <w:rPr>
          <w:rFonts w:hint="eastAsia" w:ascii="仿宋" w:hAnsi="仿宋" w:eastAsia="仿宋" w:cs="仿宋"/>
          <w:sz w:val="32"/>
          <w:szCs w:val="32"/>
        </w:rPr>
        <w:t>网站公示期满。根据《中华人民共和国环境保护法》《中华人民共和国行政许可法》《中华人民共和国环境影响评价法》《建设项目环境保护管理条例》等法律法规规定，经研究，批复如下：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一、《报告书》内容符合国家有关法律法规要求和建设项目环境管理规定，评价结论可信，我</w:t>
      </w:r>
      <w:r>
        <w:rPr>
          <w:rFonts w:hint="eastAsia" w:ascii="仿宋" w:hAnsi="仿宋" w:eastAsia="仿宋" w:cs="仿宋"/>
          <w:sz w:val="32"/>
          <w:szCs w:val="32"/>
          <w:lang w:val="en-US" w:eastAsia="zh-CN"/>
        </w:rPr>
        <w:t>局</w:t>
      </w:r>
      <w:r>
        <w:rPr>
          <w:rFonts w:hint="eastAsia" w:ascii="仿宋" w:hAnsi="仿宋" w:eastAsia="仿宋" w:cs="仿宋"/>
          <w:sz w:val="32"/>
          <w:szCs w:val="32"/>
        </w:rPr>
        <w:t>原则同意你公司按照《报告书》所列项目的性质、规模、地点、采用的生产工艺和环境保护对策进行建设。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二、你公司应向社会公众主动公开业经批准的《报告书》，并接受相关方的垂询。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三、你公司应全面落实《报告书》提出的各项环境保护措施，确保各项环境保护设施与主体工程同时设计、同时施工、同时投入使用，确保各项污染物达标排放。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（一）向设计单位提供《报告书》和本批复文件，确保项目设计按照环境保护设计规范要求，落实防治环境污染和生态破坏的措施以及环保设施投资概算。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（二）依据《报告书》和本批复文件，对项目建设过程中产生的废水、废气、噪声、固体废物等污染，以及因施工对自然、生态环境造成的破坏，采取相应的防治措施。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位于许昌经济技术产业集聚区的许昌生物医药产业园，屯田路以南、杏园路以东、金龙街以北、西外环以西，总投资37051.68万元，项目以淀粉等为原料，利用现代生物技术手段，通过微生物发酵、酶工程技术生产5大类12种产品，分别为氨基酸类、核苷类、嘌呤、核糖类及I+G等高附加值产品，合计全年产量10455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项目外排污染物应满足以下要求：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1、废水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项目废水按照浓度和废水处理方式，分特高浓度废液、高浓度废水、低浓度废水以及清净下水四大类。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特高浓度废液与菌渣一起经浓缩、干燥制作有机肥，其他废水进入厂内自建污水处理站进行处理。污水处理站处理能力2500m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/d，采用“厌氧+生物脱氮+二级A/O+絮凝气浮”工艺，其中厌氧段规模为1500m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d。高浓度废水先经厌氧段处理后，再进入“生物脱氮+二级A/O+絮凝气浮”工艺进行处理，低浓度废水和清净下水直接进入“生物脱氮+二级A/O+絮凝气浮”工艺进行处理，处理达标后排入许昌市生物医药产业园污水处理厂进一步处理。外排废水排放浓度应满足《化学合成类制药工业水污染物间接排放标准》（DB41/756-2012）及生物医药产业园污水处理厂进水水质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生活污水直接进入两段A/O生物处理系统，再经沉淀和絮凝气浮处理达标后，通过放流池进入园区污水管网，进入园区污水处理厂深度处理。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废气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本项目</w:t>
      </w:r>
      <w:r>
        <w:rPr>
          <w:rFonts w:hint="eastAsia" w:ascii="仿宋" w:hAnsi="仿宋" w:eastAsia="仿宋" w:cs="仿宋"/>
          <w:sz w:val="32"/>
          <w:szCs w:val="32"/>
        </w:rPr>
        <w:t>废气主要</w:t>
      </w:r>
      <w:r>
        <w:rPr>
          <w:rFonts w:hint="eastAsia" w:ascii="仿宋" w:hAnsi="仿宋" w:eastAsia="仿宋" w:cs="仿宋"/>
          <w:sz w:val="32"/>
          <w:szCs w:val="32"/>
          <w:lang w:val="en-US" w:eastAsia="zh-CN"/>
        </w:rPr>
        <w:t>为物料投放、产品干燥及包装产生的含尘废气、有机废气，发酵环节产生的发酵尾气，物料储罐呼吸废气，有机肥生产废气及污水处理站废气。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料、包装环节含尘废气通过集气罩收集后经袋式除尘器处理后经15m高排气筒排放，干燥环节产生的含尘废气通过集气罩收集后经旋风除尘+袋式除尘器处理后经15m高排气筒排放；核糖、脯氨酸及I+G干燥、分离环节产生的有机废气通过二级冷凝+热力燃烧装置处理后经15m高排气筒排放；发酵罐尾气采用旋风分离+碱洗+氧化+水洗+生物滤池处理后经15m高排气筒排放；氨水、盐酸、乙醇储罐呼吸废气经水喷淋处理后高空排放；有机肥生产废气采用旋风分离/袋式除尘+碱洗+氧化+水洗+生物滤池（污水处理站共用）处理，污水处理站对调节池、反硝化池、硝化池、曝气池等区域进行密闭，废气收集后采用水洗+生物滤池处理后与有机肥生产废气共用15m高排气筒高空排放。上述有组织废气排放应满足《制药工业大气污染物排放标准》（GB37823-2019）表1、表3标准（颗粒物30mg/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、氨气30mg/m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、硫化氢5mg/m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、氯化氢30mg/m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、二氧化硫200mg/m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、氮氧化物200mg/m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）、《关于全省开展工业企业挥发性有机物专项治理工作中排放建议值的通知》（豫环攻坚办[2017]162号）要求（非甲烷总烃60mg/m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）、《恶臭污染物排放标准》（GB14554-93）表2标准及《大气污染物综合排放标准》（GB16297-1996）表2二级标准（硫酸雾45mg/m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要求。加强生产全过程废气排放与收集处理的管控，做到应收尽收，最大程度地减少废气无组织排放，厂界无组织废气排放应满足《制药工业大气污染物排放标准》（GB37823-2019）无组织排放控制要求及表4企业边界大气污染物浓度限值、《挥发性有机物无组织排放标准》（GB37822-2019）限值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本项目</w:t>
      </w:r>
      <w:r>
        <w:rPr>
          <w:rFonts w:hint="eastAsia" w:ascii="仿宋" w:hAnsi="仿宋" w:eastAsia="仿宋" w:cs="仿宋"/>
          <w:sz w:val="32"/>
          <w:szCs w:val="32"/>
          <w:lang w:val="en-US" w:eastAsia="zh-CN"/>
        </w:rPr>
        <w:t>对高噪声</w:t>
      </w:r>
      <w:r>
        <w:rPr>
          <w:rFonts w:hint="eastAsia" w:ascii="仿宋" w:hAnsi="仿宋" w:eastAsia="仿宋" w:cs="仿宋"/>
          <w:sz w:val="32"/>
          <w:szCs w:val="32"/>
        </w:rPr>
        <w:t>设备采取隔</w:t>
      </w:r>
      <w:r>
        <w:rPr>
          <w:rFonts w:hint="eastAsia" w:ascii="仿宋" w:hAnsi="仿宋" w:eastAsia="仿宋" w:cs="仿宋"/>
          <w:sz w:val="32"/>
          <w:szCs w:val="32"/>
          <w:lang w:val="en-US" w:eastAsia="zh-CN"/>
        </w:rPr>
        <w:t>音</w:t>
      </w:r>
      <w:r>
        <w:rPr>
          <w:rFonts w:hint="eastAsia" w:ascii="仿宋" w:hAnsi="仿宋" w:eastAsia="仿宋" w:cs="仿宋"/>
          <w:sz w:val="32"/>
          <w:szCs w:val="32"/>
        </w:rPr>
        <w:t>、减</w:t>
      </w:r>
      <w:r>
        <w:rPr>
          <w:rFonts w:hint="eastAsia" w:ascii="仿宋" w:hAnsi="仿宋" w:eastAsia="仿宋" w:cs="仿宋"/>
          <w:sz w:val="32"/>
          <w:szCs w:val="32"/>
          <w:lang w:val="en-US" w:eastAsia="zh-CN"/>
        </w:rPr>
        <w:t>振</w:t>
      </w:r>
      <w:r>
        <w:rPr>
          <w:rFonts w:hint="eastAsia" w:ascii="仿宋" w:hAnsi="仿宋" w:eastAsia="仿宋" w:cs="仿宋"/>
          <w:sz w:val="32"/>
          <w:szCs w:val="32"/>
        </w:rPr>
        <w:t>等措施后，项目厂界噪声</w:t>
      </w:r>
      <w:r>
        <w:rPr>
          <w:rFonts w:hint="eastAsia" w:ascii="仿宋" w:hAnsi="仿宋" w:eastAsia="仿宋" w:cs="仿宋"/>
          <w:sz w:val="32"/>
          <w:szCs w:val="32"/>
          <w:lang w:val="en-US" w:eastAsia="zh-CN"/>
        </w:rPr>
        <w:t>应</w:t>
      </w:r>
      <w:r>
        <w:rPr>
          <w:rFonts w:hint="eastAsia" w:ascii="仿宋" w:hAnsi="仿宋" w:eastAsia="仿宋" w:cs="仿宋"/>
          <w:sz w:val="32"/>
          <w:szCs w:val="32"/>
        </w:rPr>
        <w:t>满足《工业企业厂界噪声排放标准》（GB12348-2008）中的2类标准限值要求。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4、固废。项目营运期产生的</w:t>
      </w:r>
      <w:r>
        <w:rPr>
          <w:rFonts w:hint="eastAsia" w:ascii="仿宋" w:hAnsi="仿宋" w:eastAsia="仿宋" w:cs="仿宋"/>
          <w:sz w:val="32"/>
          <w:szCs w:val="32"/>
          <w:lang w:val="en-US" w:eastAsia="zh-CN"/>
        </w:rPr>
        <w:t>过滤糖渣、菌渣等</w:t>
      </w:r>
      <w:r>
        <w:rPr>
          <w:rFonts w:hint="eastAsia" w:ascii="仿宋" w:hAnsi="仿宋" w:eastAsia="仿宋" w:cs="仿宋"/>
          <w:sz w:val="32"/>
          <w:szCs w:val="32"/>
        </w:rPr>
        <w:t>一般固废</w:t>
      </w:r>
      <w:r>
        <w:rPr>
          <w:rFonts w:hint="eastAsia" w:ascii="仿宋" w:hAnsi="仿宋" w:eastAsia="仿宋" w:cs="仿宋"/>
          <w:sz w:val="32"/>
          <w:szCs w:val="32"/>
          <w:lang w:val="en-US" w:eastAsia="zh-CN"/>
        </w:rPr>
        <w:t>收集暂存后</w:t>
      </w:r>
      <w:r>
        <w:rPr>
          <w:rFonts w:hint="eastAsia" w:ascii="仿宋" w:hAnsi="仿宋" w:eastAsia="仿宋" w:cs="仿宋"/>
          <w:sz w:val="32"/>
          <w:szCs w:val="32"/>
          <w:lang w:eastAsia="zh-CN"/>
        </w:rPr>
        <w:t>外售</w:t>
      </w:r>
      <w:r>
        <w:rPr>
          <w:rFonts w:hint="eastAsia" w:ascii="仿宋" w:hAnsi="仿宋" w:eastAsia="仿宋" w:cs="仿宋"/>
          <w:sz w:val="32"/>
          <w:szCs w:val="32"/>
        </w:rPr>
        <w:t>综合利用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污水处理站污泥脱水后送许昌魏清污泥处置有限公司；废活性炭等危废收集暂存于危废暂存间定期交有资质单位处置。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5、风险。项目应按照《报告书》要求，对大气、地表水、地下水和原料储存、运输环节建立</w:t>
      </w:r>
      <w:r>
        <w:rPr>
          <w:rFonts w:hint="eastAsia" w:ascii="仿宋" w:hAnsi="仿宋" w:eastAsia="仿宋" w:cs="仿宋"/>
          <w:sz w:val="32"/>
          <w:szCs w:val="32"/>
        </w:rPr>
        <w:t>完善的风险防范措施及应急预案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设置事故水池</w:t>
      </w:r>
      <w:r>
        <w:rPr>
          <w:rFonts w:hint="eastAsia" w:ascii="仿宋" w:hAnsi="仿宋" w:eastAsia="仿宋" w:cs="仿宋"/>
          <w:sz w:val="32"/>
          <w:szCs w:val="32"/>
          <w:lang w:eastAsia="zh-CN"/>
        </w:rPr>
        <w:t>。</w:t>
      </w:r>
    </w:p>
    <w:p>
      <w:pPr>
        <w:pStyle w:val="9"/>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严格落实</w:t>
      </w:r>
      <w:r>
        <w:rPr>
          <w:rFonts w:hint="eastAsia" w:ascii="仿宋" w:hAnsi="仿宋" w:eastAsia="仿宋" w:cs="仿宋"/>
          <w:sz w:val="32"/>
          <w:szCs w:val="32"/>
          <w:lang w:val="en-US" w:eastAsia="zh-CN"/>
        </w:rPr>
        <w:t>《报告书》及《排污许可证申请与核发技术规范 制药工业-原料药制造》的要求，开展废水、地表水、地下水、大气及噪声等污染因子的监测。</w:t>
      </w:r>
    </w:p>
    <w:p>
      <w:pPr>
        <w:pStyle w:val="4"/>
        <w:keepNext w:val="0"/>
        <w:keepLines w:val="0"/>
        <w:pageBreakBefore w:val="0"/>
        <w:widowControl w:val="0"/>
        <w:numPr>
          <w:ilvl w:val="0"/>
          <w:numId w:val="0"/>
        </w:numPr>
        <w:kinsoku/>
        <w:overflowPunct/>
        <w:topLinePunct w:val="0"/>
        <w:autoSpaceDE/>
        <w:autoSpaceDN/>
        <w:bidi w:val="0"/>
        <w:adjustRightInd/>
        <w:snapToGrid/>
        <w:spacing w:after="0" w:line="600" w:lineRule="exact"/>
        <w:ind w:right="0" w:rightChars="0"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sz w:val="32"/>
          <w:szCs w:val="32"/>
          <w:lang w:eastAsia="zh-CN"/>
        </w:rPr>
        <w:t>七、本</w:t>
      </w:r>
      <w:r>
        <w:rPr>
          <w:rFonts w:hint="eastAsia" w:ascii="仿宋" w:hAnsi="仿宋" w:eastAsia="仿宋" w:cs="仿宋"/>
          <w:sz w:val="32"/>
          <w:szCs w:val="32"/>
        </w:rPr>
        <w:t>项目</w:t>
      </w:r>
      <w:r>
        <w:rPr>
          <w:rFonts w:hint="eastAsia" w:ascii="仿宋" w:hAnsi="仿宋" w:eastAsia="仿宋" w:cs="仿宋"/>
          <w:sz w:val="32"/>
          <w:szCs w:val="32"/>
          <w:lang w:eastAsia="zh-CN"/>
        </w:rPr>
        <w:t>新增</w:t>
      </w:r>
      <w:r>
        <w:rPr>
          <w:rFonts w:hint="eastAsia" w:ascii="仿宋" w:hAnsi="仿宋" w:eastAsia="仿宋" w:cs="仿宋"/>
          <w:sz w:val="32"/>
          <w:szCs w:val="32"/>
        </w:rPr>
        <w:t>主要污染物</w:t>
      </w:r>
      <w:r>
        <w:rPr>
          <w:rFonts w:hint="eastAsia" w:ascii="仿宋" w:hAnsi="仿宋" w:eastAsia="仿宋" w:cs="仿宋"/>
          <w:sz w:val="32"/>
          <w:szCs w:val="32"/>
          <w:lang w:eastAsia="zh-CN"/>
        </w:rPr>
        <w:t>及</w:t>
      </w:r>
      <w:r>
        <w:rPr>
          <w:rFonts w:hint="eastAsia" w:ascii="仿宋" w:hAnsi="仿宋" w:eastAsia="仿宋" w:cs="仿宋"/>
          <w:sz w:val="32"/>
          <w:szCs w:val="32"/>
        </w:rPr>
        <w:t>排放总量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出厂量</w:t>
      </w:r>
      <w:r>
        <w:rPr>
          <w:rFonts w:hint="eastAsia" w:ascii="仿宋" w:hAnsi="仿宋" w:eastAsia="仿宋" w:cs="仿宋"/>
          <w:sz w:val="32"/>
          <w:szCs w:val="32"/>
          <w:lang w:eastAsia="zh-CN"/>
        </w:rPr>
        <w:t>）</w:t>
      </w:r>
      <w:r>
        <w:rPr>
          <w:rFonts w:hint="eastAsia" w:ascii="仿宋" w:hAnsi="仿宋" w:eastAsia="仿宋" w:cs="仿宋"/>
          <w:sz w:val="32"/>
          <w:szCs w:val="32"/>
        </w:rPr>
        <w:t>控制</w:t>
      </w:r>
      <w:r>
        <w:rPr>
          <w:rFonts w:hint="eastAsia" w:ascii="仿宋" w:hAnsi="仿宋" w:eastAsia="仿宋" w:cs="仿宋"/>
          <w:sz w:val="32"/>
          <w:szCs w:val="32"/>
          <w:lang w:val="en-US" w:eastAsia="zh-CN"/>
        </w:rPr>
        <w:t>如下：</w:t>
      </w:r>
      <w:r>
        <w:rPr>
          <w:rFonts w:hint="eastAsia" w:ascii="仿宋" w:hAnsi="仿宋" w:eastAsia="仿宋" w:cs="仿宋"/>
          <w:sz w:val="32"/>
          <w:szCs w:val="32"/>
          <w:lang w:eastAsia="zh-CN"/>
        </w:rPr>
        <w:t>COD</w:t>
      </w:r>
      <w:r>
        <w:rPr>
          <w:rFonts w:hint="eastAsia" w:ascii="仿宋" w:hAnsi="仿宋" w:eastAsia="仿宋" w:cs="仿宋"/>
          <w:sz w:val="32"/>
          <w:szCs w:val="32"/>
          <w:lang w:val="en-US" w:eastAsia="zh-CN"/>
        </w:rPr>
        <w:t xml:space="preserve"> 90.3331</w:t>
      </w:r>
      <w:r>
        <w:rPr>
          <w:rFonts w:hint="eastAsia" w:ascii="仿宋" w:hAnsi="仿宋" w:eastAsia="仿宋" w:cs="仿宋"/>
          <w:sz w:val="32"/>
          <w:szCs w:val="32"/>
          <w:lang w:eastAsia="zh-CN"/>
        </w:rPr>
        <w:t>t/a、氨氮</w:t>
      </w:r>
      <w:r>
        <w:rPr>
          <w:rFonts w:hint="eastAsia" w:ascii="仿宋" w:hAnsi="仿宋" w:eastAsia="仿宋" w:cs="仿宋"/>
          <w:sz w:val="32"/>
          <w:szCs w:val="32"/>
          <w:lang w:val="en-US" w:eastAsia="zh-CN"/>
        </w:rPr>
        <w:t>14.4664</w:t>
      </w:r>
      <w:r>
        <w:rPr>
          <w:rFonts w:hint="eastAsia" w:ascii="仿宋" w:hAnsi="仿宋" w:eastAsia="仿宋" w:cs="仿宋"/>
          <w:sz w:val="32"/>
          <w:szCs w:val="32"/>
          <w:lang w:eastAsia="zh-CN"/>
        </w:rPr>
        <w:t>t/a，</w:t>
      </w:r>
      <w:r>
        <w:rPr>
          <w:rFonts w:hint="eastAsia" w:ascii="仿宋" w:hAnsi="仿宋" w:eastAsia="仿宋" w:cs="仿宋"/>
          <w:sz w:val="32"/>
          <w:szCs w:val="32"/>
          <w:lang w:val="en-US" w:eastAsia="zh-CN"/>
        </w:rPr>
        <w:t>SO</w:t>
      </w:r>
      <w:r>
        <w:rPr>
          <w:rFonts w:hint="eastAsia" w:ascii="仿宋" w:hAnsi="仿宋" w:eastAsia="仿宋" w:cs="仿宋"/>
          <w:sz w:val="32"/>
          <w:szCs w:val="32"/>
          <w:vertAlign w:val="subscript"/>
          <w:lang w:val="en-US" w:eastAsia="zh-CN"/>
        </w:rPr>
        <w:t xml:space="preserve">2 </w:t>
      </w:r>
      <w:r>
        <w:rPr>
          <w:rFonts w:hint="eastAsia" w:ascii="仿宋" w:hAnsi="仿宋" w:eastAsia="仿宋" w:cs="仿宋"/>
          <w:sz w:val="32"/>
          <w:szCs w:val="32"/>
          <w:lang w:val="en-US" w:eastAsia="zh-CN"/>
        </w:rPr>
        <w:t>0.0268 t/a，NOx4.1976t/a、非甲烷总烃3.1106t/a</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SO</w:t>
      </w:r>
      <w:r>
        <w:rPr>
          <w:rFonts w:hint="eastAsia" w:ascii="仿宋" w:hAnsi="仿宋" w:eastAsia="仿宋" w:cs="仿宋"/>
          <w:sz w:val="32"/>
          <w:szCs w:val="32"/>
          <w:vertAlign w:val="subscript"/>
          <w:lang w:val="en-US" w:eastAsia="zh-CN"/>
        </w:rPr>
        <w:t>2</w:t>
      </w:r>
      <w:r>
        <w:rPr>
          <w:rFonts w:hint="eastAsia" w:ascii="仿宋" w:hAnsi="仿宋" w:eastAsia="仿宋" w:cs="仿宋"/>
          <w:sz w:val="32"/>
          <w:szCs w:val="32"/>
          <w:lang w:val="en-US" w:eastAsia="zh-CN"/>
        </w:rPr>
        <w:t>、NOx总量从津药瑞达（许昌）生物科技有限公司超低排放改造中进行倍量替代，非甲烷总烃总量从许昌永昌印务有限公司中进行倍量替代。公司应</w:t>
      </w:r>
      <w:r>
        <w:rPr>
          <w:rFonts w:hint="eastAsia" w:ascii="仿宋" w:hAnsi="仿宋" w:eastAsia="仿宋" w:cs="仿宋"/>
          <w:b w:val="0"/>
          <w:bCs w:val="0"/>
          <w:color w:val="000000"/>
          <w:sz w:val="32"/>
          <w:szCs w:val="32"/>
          <w:lang w:val="en-US" w:eastAsia="zh-CN"/>
        </w:rPr>
        <w:t>安装废水、废气在线监控设施，并与生态环境部门联网。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八、项目建设严格执行环境保护设施与主体工程同时设计、同时施工、同时投入使用的环境保护“三同时”制度</w:t>
      </w:r>
      <w:r>
        <w:rPr>
          <w:rFonts w:hint="eastAsia" w:ascii="仿宋" w:hAnsi="仿宋" w:eastAsia="仿宋" w:cs="仿宋"/>
          <w:sz w:val="32"/>
          <w:szCs w:val="32"/>
          <w:lang w:val="en-US" w:eastAsia="zh-CN"/>
        </w:rPr>
        <w:t>；项目投入生产前应申请排污许可证</w:t>
      </w:r>
      <w:r>
        <w:rPr>
          <w:rFonts w:hint="eastAsia" w:ascii="仿宋" w:hAnsi="仿宋" w:eastAsia="仿宋" w:cs="仿宋"/>
          <w:sz w:val="32"/>
          <w:szCs w:val="32"/>
          <w:lang w:eastAsia="zh-CN"/>
        </w:rPr>
        <w:t>，做到持证排污；项目建成后，按规定程序进行竣工环境保护验收，验收合格后，方可投入正式运行。</w:t>
      </w:r>
      <w:r>
        <w:rPr>
          <w:rFonts w:hint="eastAsia" w:ascii="仿宋" w:hAnsi="仿宋" w:eastAsia="仿宋" w:cs="仿宋"/>
          <w:sz w:val="32"/>
          <w:szCs w:val="32"/>
        </w:rPr>
        <w:t>如果今后国家或我省颁布污染物排放限值的新标准，届时你公司应按新的排放标准执行。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w:t>
      </w:r>
      <w:r>
        <w:rPr>
          <w:rFonts w:hint="eastAsia" w:ascii="仿宋" w:hAnsi="仿宋" w:eastAsia="仿宋" w:cs="仿宋"/>
          <w:sz w:val="32"/>
          <w:szCs w:val="32"/>
          <w:lang w:eastAsia="zh-CN"/>
        </w:rPr>
        <w:t>项目</w:t>
      </w:r>
      <w:r>
        <w:rPr>
          <w:rFonts w:hint="eastAsia" w:ascii="仿宋" w:hAnsi="仿宋" w:eastAsia="仿宋" w:cs="仿宋"/>
          <w:sz w:val="32"/>
          <w:szCs w:val="32"/>
        </w:rPr>
        <w:t>自本批复下达之日起</w:t>
      </w:r>
      <w:r>
        <w:rPr>
          <w:rFonts w:hint="eastAsia" w:ascii="仿宋" w:hAnsi="仿宋" w:eastAsia="仿宋" w:cs="仿宋"/>
          <w:sz w:val="32"/>
          <w:szCs w:val="32"/>
          <w:lang w:eastAsia="zh-CN"/>
        </w:rPr>
        <w:t>，超过</w:t>
      </w:r>
      <w:r>
        <w:rPr>
          <w:rFonts w:hint="eastAsia" w:ascii="仿宋" w:hAnsi="仿宋" w:eastAsia="仿宋" w:cs="仿宋"/>
          <w:sz w:val="32"/>
          <w:szCs w:val="32"/>
        </w:rPr>
        <w:t>5年</w:t>
      </w:r>
      <w:r>
        <w:rPr>
          <w:rFonts w:hint="eastAsia" w:ascii="仿宋" w:hAnsi="仿宋" w:eastAsia="仿宋" w:cs="仿宋"/>
          <w:sz w:val="32"/>
          <w:szCs w:val="32"/>
          <w:lang w:eastAsia="zh-CN"/>
        </w:rPr>
        <w:t>方决定开工建设的，环境影响评价文件应报我局重新审核</w:t>
      </w:r>
      <w:r>
        <w:rPr>
          <w:rFonts w:hint="eastAsia" w:ascii="仿宋" w:hAnsi="仿宋" w:eastAsia="仿宋" w:cs="仿宋"/>
          <w:sz w:val="32"/>
          <w:szCs w:val="32"/>
        </w:rPr>
        <w:t>。项目的性质、规模、地点、采用的工艺或防治污染、防治生态破坏的措施发生重大变动的，应当重新报批项目的环境影响评价文件。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120" w:firstLineChars="1600"/>
        <w:textAlignment w:val="auto"/>
        <w:outlineLvl w:val="9"/>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pPr>
        <w:pStyle w:val="9"/>
        <w:keepNext w:val="0"/>
        <w:keepLines w:val="0"/>
        <w:pageBreakBefore w:val="0"/>
        <w:widowControl w:val="0"/>
        <w:kinsoku/>
        <w:overflowPunct/>
        <w:topLinePunct w:val="0"/>
        <w:autoSpaceDE/>
        <w:autoSpaceDN/>
        <w:bidi w:val="0"/>
        <w:adjustRightInd/>
        <w:snapToGrid/>
        <w:spacing w:line="600" w:lineRule="exact"/>
        <w:ind w:left="0" w:leftChars="0" w:right="0" w:rightChars="0" w:firstLine="0" w:firstLineChars="0"/>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600" w:lineRule="exact"/>
        <w:ind w:right="0" w:rightChars="0"/>
        <w:textAlignment w:val="auto"/>
        <w:rPr>
          <w:rFonts w:hint="eastAsia" w:ascii="仿宋" w:hAnsi="仿宋" w:eastAsia="仿宋" w:cs="仿宋"/>
          <w:sz w:val="32"/>
          <w:szCs w:val="32"/>
        </w:rPr>
      </w:pPr>
    </w:p>
    <w:p>
      <w:pPr>
        <w:pStyle w:val="5"/>
        <w:keepNext w:val="0"/>
        <w:keepLines w:val="0"/>
        <w:pageBreakBefore w:val="0"/>
        <w:widowControl w:val="0"/>
        <w:kinsoku/>
        <w:overflowPunct/>
        <w:topLinePunct w:val="0"/>
        <w:autoSpaceDE/>
        <w:autoSpaceDN/>
        <w:bidi w:val="0"/>
        <w:adjustRightInd/>
        <w:snapToGrid/>
        <w:spacing w:after="0" w:line="600" w:lineRule="exact"/>
        <w:ind w:right="0" w:rightChars="0"/>
        <w:jc w:val="both"/>
        <w:textAlignment w:val="auto"/>
        <w:rPr>
          <w:rFonts w:hint="eastAsia" w:ascii="仿宋" w:hAnsi="仿宋" w:eastAsia="仿宋" w:cs="仿宋"/>
          <w:sz w:val="32"/>
          <w:szCs w:val="32"/>
        </w:rPr>
      </w:pPr>
    </w:p>
    <w:p>
      <w:pPr>
        <w:pStyle w:val="6"/>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6"/>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6"/>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6"/>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6"/>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6"/>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6"/>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6"/>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6"/>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sz w:val="32"/>
          <w:szCs w:val="32"/>
        </w:rPr>
      </w:pPr>
      <w:bookmarkStart w:id="0" w:name="_GoBack"/>
      <w:bookmarkEnd w:id="0"/>
    </w:p>
    <w:p>
      <w:pPr>
        <w:keepNext w:val="0"/>
        <w:keepLines w:val="0"/>
        <w:pageBreakBefore w:val="0"/>
        <w:widowControl w:val="0"/>
        <w:pBdr>
          <w:top w:val="single" w:color="auto" w:sz="4" w:space="0"/>
          <w:bottom w:val="single" w:color="auto" w:sz="4" w:space="0"/>
        </w:pBdr>
        <w:kinsoku/>
        <w:wordWrap w:val="0"/>
        <w:overflowPunct/>
        <w:topLinePunct w:val="0"/>
        <w:autoSpaceDE/>
        <w:autoSpaceDN/>
        <w:bidi w:val="0"/>
        <w:adjustRightInd/>
        <w:snapToGrid/>
        <w:spacing w:line="600" w:lineRule="exact"/>
        <w:ind w:left="960" w:leftChars="0" w:right="0" w:rightChars="0" w:hanging="960" w:hangingChars="300"/>
        <w:textAlignment w:val="auto"/>
        <w:outlineLvl w:val="9"/>
        <w:rPr>
          <w:rFonts w:hint="eastAsia" w:ascii="仿宋" w:hAnsi="仿宋" w:eastAsia="仿宋" w:cs="仿宋"/>
          <w:sz w:val="32"/>
          <w:szCs w:val="32"/>
        </w:rPr>
      </w:pPr>
      <w:r>
        <w:rPr>
          <w:rFonts w:hint="eastAsia" w:ascii="仿宋" w:hAnsi="仿宋" w:eastAsia="仿宋" w:cs="仿宋"/>
          <w:sz w:val="32"/>
          <w:szCs w:val="32"/>
        </w:rPr>
        <w:t>抄送：</w:t>
      </w:r>
      <w:r>
        <w:rPr>
          <w:rFonts w:hint="eastAsia" w:ascii="仿宋" w:hAnsi="仿宋" w:eastAsia="仿宋" w:cs="仿宋"/>
          <w:sz w:val="32"/>
          <w:szCs w:val="32"/>
          <w:lang w:val="en-US" w:eastAsia="zh-CN"/>
        </w:rPr>
        <w:t>许昌市生态环境综合行政执法支队</w:t>
      </w:r>
      <w:r>
        <w:rPr>
          <w:rFonts w:hint="eastAsia" w:ascii="仿宋" w:hAnsi="仿宋" w:eastAsia="仿宋" w:cs="仿宋"/>
          <w:sz w:val="32"/>
          <w:szCs w:val="32"/>
        </w:rPr>
        <w:t>，许昌市</w:t>
      </w:r>
      <w:r>
        <w:rPr>
          <w:rFonts w:hint="eastAsia" w:ascii="仿宋" w:hAnsi="仿宋" w:eastAsia="仿宋" w:cs="仿宋"/>
          <w:sz w:val="32"/>
          <w:szCs w:val="32"/>
          <w:lang w:val="en-US" w:eastAsia="zh-CN"/>
        </w:rPr>
        <w:t>生态环境局开发区分</w:t>
      </w:r>
      <w:r>
        <w:rPr>
          <w:rFonts w:hint="eastAsia" w:ascii="仿宋" w:hAnsi="仿宋" w:eastAsia="仿宋" w:cs="仿宋"/>
          <w:sz w:val="32"/>
          <w:szCs w:val="32"/>
        </w:rPr>
        <w:t>局，</w:t>
      </w:r>
      <w:r>
        <w:rPr>
          <w:rFonts w:hint="eastAsia" w:ascii="仿宋" w:hAnsi="仿宋" w:eastAsia="仿宋" w:cs="仿宋"/>
          <w:sz w:val="32"/>
          <w:szCs w:val="32"/>
          <w:lang w:val="en-US" w:eastAsia="zh-CN"/>
        </w:rPr>
        <w:t>河南咏蓝环境科技</w:t>
      </w:r>
      <w:r>
        <w:rPr>
          <w:rFonts w:hint="eastAsia" w:ascii="仿宋" w:hAnsi="仿宋" w:eastAsia="仿宋" w:cs="仿宋"/>
          <w:sz w:val="32"/>
          <w:szCs w:val="32"/>
        </w:rPr>
        <w:t>有限公司。</w:t>
      </w:r>
    </w:p>
    <w:sectPr>
      <w:footerReference r:id="rId3" w:type="default"/>
      <w:footerReference r:id="rId4" w:type="even"/>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119CA"/>
    <w:rsid w:val="055C1AD9"/>
    <w:rsid w:val="0D6F33A2"/>
    <w:rsid w:val="1D251EAC"/>
    <w:rsid w:val="23484443"/>
    <w:rsid w:val="24930A87"/>
    <w:rsid w:val="262555B8"/>
    <w:rsid w:val="2C562597"/>
    <w:rsid w:val="2DDB3F63"/>
    <w:rsid w:val="364F38D7"/>
    <w:rsid w:val="48392C3F"/>
    <w:rsid w:val="4C7B6626"/>
    <w:rsid w:val="4E9E64C2"/>
    <w:rsid w:val="5185267E"/>
    <w:rsid w:val="565E36C9"/>
    <w:rsid w:val="5DB1513C"/>
    <w:rsid w:val="5F8445EC"/>
    <w:rsid w:val="628D34B6"/>
    <w:rsid w:val="66B91AE4"/>
    <w:rsid w:val="6B8E5642"/>
    <w:rsid w:val="6C6F405A"/>
    <w:rsid w:val="6E232D8F"/>
    <w:rsid w:val="79302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paragraph" w:styleId="3">
    <w:name w:val="heading 1"/>
    <w:basedOn w:val="1"/>
    <w:next w:val="1"/>
    <w:qFormat/>
    <w:uiPriority w:val="0"/>
    <w:pPr>
      <w:pBdr>
        <w:bottom w:val="none" w:color="auto" w:sz="0" w:space="0"/>
      </w:pBdr>
      <w:tabs>
        <w:tab w:val="center" w:pos="4153"/>
        <w:tab w:val="right" w:pos="8306"/>
      </w:tabs>
      <w:spacing w:line="240" w:lineRule="auto"/>
      <w:ind w:firstLine="0" w:firstLineChars="0"/>
      <w:jc w:val="left"/>
      <w:outlineLvl w:val="0"/>
    </w:pPr>
    <w:rPr>
      <w:rFonts w:ascii="黑体" w:hAnsi="黑体" w:eastAsia="黑体"/>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首行缩进2个字符"/>
    <w:basedOn w:val="1"/>
    <w:qFormat/>
    <w:uiPriority w:val="0"/>
    <w:pPr>
      <w:spacing w:line="360" w:lineRule="auto"/>
      <w:ind w:firstLine="200" w:firstLineChars="200"/>
    </w:pPr>
    <w:rPr>
      <w:rFonts w:ascii="宋体"/>
      <w:kern w:val="28"/>
      <w:sz w:val="28"/>
      <w:szCs w:val="28"/>
    </w:rPr>
  </w:style>
  <w:style w:type="paragraph" w:styleId="4">
    <w:name w:val="Normal Indent"/>
    <w:basedOn w:val="1"/>
    <w:qFormat/>
    <w:uiPriority w:val="0"/>
    <w:pPr>
      <w:widowControl w:val="0"/>
      <w:adjustRightInd/>
      <w:snapToGrid/>
      <w:spacing w:after="0"/>
      <w:ind w:firstLine="420" w:firstLineChars="200"/>
      <w:jc w:val="both"/>
    </w:pPr>
    <w:rPr>
      <w:rFonts w:ascii="Times New Roman" w:hAnsi="Times New Roman"/>
      <w:kern w:val="2"/>
      <w:sz w:val="21"/>
      <w:szCs w:val="24"/>
    </w:rPr>
  </w:style>
  <w:style w:type="paragraph" w:styleId="5">
    <w:name w:val="Body Text"/>
    <w:basedOn w:val="1"/>
    <w:next w:val="6"/>
    <w:qFormat/>
    <w:uiPriority w:val="0"/>
    <w:pPr>
      <w:widowControl w:val="0"/>
      <w:adjustRightInd/>
      <w:snapToGrid/>
      <w:spacing w:after="0" w:line="640" w:lineRule="exact"/>
      <w:jc w:val="center"/>
    </w:pPr>
    <w:rPr>
      <w:rFonts w:ascii="华文中宋" w:hAnsi="华文中宋" w:eastAsia="华文中宋"/>
      <w:b/>
      <w:bCs/>
      <w:kern w:val="2"/>
      <w:sz w:val="44"/>
      <w:szCs w:val="44"/>
    </w:rPr>
  </w:style>
  <w:style w:type="paragraph" w:styleId="6">
    <w:name w:val="Body Text 2"/>
    <w:basedOn w:val="1"/>
    <w:qFormat/>
    <w:uiPriority w:val="0"/>
    <w:pPr>
      <w:spacing w:line="480"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w:basedOn w:val="5"/>
    <w:next w:val="9"/>
    <w:qFormat/>
    <w:uiPriority w:val="0"/>
    <w:pPr>
      <w:ind w:firstLine="480" w:firstLineChars="200"/>
    </w:pPr>
  </w:style>
  <w:style w:type="paragraph" w:styleId="9">
    <w:name w:val="Body Text First Indent 2"/>
    <w:basedOn w:val="1"/>
    <w:next w:val="1"/>
    <w:qFormat/>
    <w:uiPriority w:val="0"/>
    <w:pPr>
      <w:ind w:firstLine="42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yue</cp:lastModifiedBy>
  <cp:lastPrinted>2021-03-18T04:02:53Z</cp:lastPrinted>
  <dcterms:modified xsi:type="dcterms:W3CDTF">2021-03-18T04:03:47Z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40022C753D8149CC8D2B922C6D362703</vt:lpwstr>
  </property>
</Properties>
</file>