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44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44"/>
          <w:lang w:val="en-US" w:eastAsia="zh-CN"/>
        </w:rPr>
        <w:t>18</w:t>
      </w:r>
      <w:r>
        <w:rPr>
          <w:rFonts w:hint="eastAsia" w:ascii="仿宋_GB2312" w:hAnsi="黑体" w:eastAsia="仿宋_GB2312" w:cs="黑体"/>
          <w:sz w:val="32"/>
          <w:szCs w:val="4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许昌恒友电气有限责任公司年产5000台配电柜项目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环境影响报告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表告知承诺制审批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许昌恒友电气有限责任公司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你公司（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91411000584355832A</w:t>
      </w:r>
      <w:r>
        <w:rPr>
          <w:rFonts w:hint="eastAsia" w:ascii="仿宋_GB2312" w:hAnsi="仿宋_GB2312" w:eastAsia="仿宋_GB2312" w:cs="仿宋_GB2312"/>
          <w:sz w:val="32"/>
          <w:szCs w:val="32"/>
        </w:rPr>
        <w:t>）关于《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年产5000台配电柜项目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环境影响报告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》的报批申请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收悉。该项目审批事项在网站公示期满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根据《中华人民共和国环境保护法》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《中华人民共和国行政许可法》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《中华人民共和国环境影响评价法》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《建设项目环境保护管理条例》等法律法规规定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一、根据你公司及环评文件编制单位的承诺，我局原则同意你公司按照环评文件所列项目的性质、规模、地点、采用的生产工艺和环境保护对策措施进行项目建设。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二、你公司应全面落实环评文件提出的各项环境保护措施，各项环境保护设施与主体工程同时设计、同时施工、同时投入使用，确保各项污染物达标排放，并满足总量控制要求。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_GB2312" w:hAnsi="仿宋_GB2312" w:eastAsia="仿宋_GB2312" w:cs="仿宋_GB2312"/>
          <w:sz w:val="32"/>
          <w:szCs w:val="32"/>
        </w:rPr>
        <w:t>。项目建成后建设单位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440" w:firstLineChars="1700"/>
        <w:textAlignment w:val="auto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940" w:firstLineChars="1400"/>
        <w:textAlignment w:val="auto"/>
        <w:outlineLvl w:val="9"/>
      </w:pPr>
    </w:p>
    <w:p/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430A4F"/>
    <w:rsid w:val="5ADC220E"/>
    <w:rsid w:val="619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yue</cp:lastModifiedBy>
  <cp:lastPrinted>2020-06-11T02:20:15Z</cp:lastPrinted>
  <dcterms:modified xsi:type="dcterms:W3CDTF">2020-06-11T02:20:52Z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