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许环建审〔20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许昌市生态环境局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许昌晨鸣纸业股份有限公司年产10万吨高档文化纸、10万吨特种纸生产线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影响报告书的批复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许昌晨鸣纸业股份有限公司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你公司（统一社会信用代码：91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411000MA3XEMYPXF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的由河南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绿韵环保技术服务</w:t>
      </w:r>
      <w:r>
        <w:rPr>
          <w:rFonts w:hint="eastAsia" w:ascii="仿宋" w:hAnsi="仿宋" w:eastAsia="仿宋" w:cs="仿宋"/>
          <w:sz w:val="32"/>
          <w:szCs w:val="32"/>
        </w:rPr>
        <w:t>有限公司编制完成的《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许昌晨鸣纸业股份有限公司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年产10万吨高档文化纸、10万吨特种纸生产线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环境影响报告书》（以下简称《报告书》）收悉，并已在我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一、《报告书》内容符合国家有关法律法规要求和建设项目环境管理规定，评价结论可信，我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原则同意你公司按照《报告书》所列项目的性质、规模、地点、采用的生产工艺和环境保护对策进行建设。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二、你公司应向社会公众主动公开业经批准的《报告书》，并接受相关方的垂询。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三、你公司应全面落实《报告书》提出的各项环境保护措施，确保各项环境保护设施与主体工程同时设计、同时施工、同时投入使用，确保各项污染物达标排放。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（一）向设计单位提供《报告书》和本批复文件，确保项目设计按照环境保护设计规范要求，落实防治环境污染和生态破坏的措施以及环保设施投资概算。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（二）依据《报告书》和本批复文件，对项目建设过程中产生的废水、废气、噪声、固体废物等污染，以及因施工对自然、生态环境造成的破坏，采取相应的防治措施。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四、项目位于许昌（魏都）循环经济产业园区许昌晨鸣纸业股份有限公司现有厂区内，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本项目不制化机浆，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化机浆以外购为主，《年产10万吨化学木浆技改项目》（豫环审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）节余的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化学木浆可用于本项目，通过碎解、配浆、抄纸、切纸等工艺，生产文化纸和特种纸。项目拟建设1条10万t/a文化纸生产线和1条10万t/a特种纸生产线。建设性质为改扩建，不新增占地，项目总投资50000万元，其中环保投资215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项目外排污染物应满足以下要求：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1、废水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废水包括文化纸抄造车间和特种纸抄造车间产生的白水；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文化纸白水全部回用于现有工程化学木浆制浆车间，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特种纸白水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排入厂内污水处理站进行处理；废水处理工艺采用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“厌氧预酸化+UASB+气浮+好氧曝气+芬顿催化氧化+沉淀+深度处理（CTI反应塔+混凝气浮+过滤）”工艺，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废水排放浓度执行《清潩河流域水污染排放标准》（DB41/790-2013）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及《许昌市2019年水污染防治攻坚战实施方案》要求，其中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COD≤30mg/L，氨氮≤1.5mg/L、总磷≤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mg/L。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2、废气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。本项目不新增热源，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项目生产所用蒸汽来源于集中供热二期工程。公司对现有碱炉提标改造，碱炉废气治理新增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SCR脱硝和湿电除尘，碱炉废气采用“SNCR脱硝+袋式除尘+SCR脱硝+湿电除尘”，经80米高烟囱排放，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改造后烟尘、二氧化硫、氮氧化物排放浓度应满足：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烟尘≤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0mg/L，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二氧化硫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mg/L、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氮氧化物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mg/L。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3、噪声。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对高噪声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设备采取隔声、减震等措施后，项目厂界处噪声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满足《工业企业厂界噪声排放标准》（GB12348-2008）中的2类标准限值要求。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4、固废。项目营运期产生的固体废弃物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一般固废。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其中浆渣外售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综合利用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污水处理站污泥脱水后送垃圾电厂焚烧处置；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生活垃圾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交由当地环卫部门处置。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5、风险。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项目应按照《报告书》要求，对大气、地表水、地下水和原料储存、运输环节建立</w:t>
      </w:r>
      <w:r>
        <w:rPr>
          <w:rFonts w:hint="eastAsia" w:ascii="仿宋" w:hAnsi="仿宋" w:eastAsia="仿宋" w:cs="仿宋"/>
          <w:sz w:val="32"/>
          <w:szCs w:val="32"/>
        </w:rPr>
        <w:t>完善的风险防范措施及应急预案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六、本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sz w:val="32"/>
          <w:szCs w:val="32"/>
        </w:rPr>
        <w:t>主要污染物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排放总量控制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COD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t/a、氨氮1.0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t/a，新增污染物排放量从原河南一林纸业股份有限公司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重组腾出的总量中解决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项目建成后全厂主要污染物排放及总量控制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标如下：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COD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t/a、氨氮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t/a；烟尘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25.414</w:t>
      </w:r>
      <w:r>
        <w:rPr>
          <w:rFonts w:hint="eastAsia" w:ascii="仿宋" w:hAnsi="仿宋" w:eastAsia="仿宋" w:cs="仿宋"/>
          <w:sz w:val="32"/>
          <w:szCs w:val="32"/>
        </w:rPr>
        <w:t>t/a、SO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60.8633</w:t>
      </w:r>
      <w:r>
        <w:rPr>
          <w:rFonts w:hint="eastAsia" w:ascii="仿宋" w:hAnsi="仿宋" w:eastAsia="仿宋" w:cs="仿宋"/>
          <w:sz w:val="32"/>
          <w:szCs w:val="32"/>
        </w:rPr>
        <w:t>t/a、N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sz w:val="32"/>
          <w:szCs w:val="32"/>
        </w:rPr>
        <w:t>x为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131.1456t</w:t>
      </w:r>
      <w:r>
        <w:rPr>
          <w:rFonts w:hint="eastAsia" w:ascii="仿宋" w:hAnsi="仿宋" w:eastAsia="仿宋" w:cs="仿宋"/>
          <w:sz w:val="32"/>
          <w:szCs w:val="32"/>
        </w:rPr>
        <w:t>/a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七、按照“以新带老”原则，你公司应对现有工程存在的问题按照环评《报告书》提出的整改措施抓紧进行整改；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安装废气、废水在线监控设施，并与生态环境管理部门联网；严格落实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《报告书》及《造纸行业排污许可证申请与核发技术规范》要求，开展废水、地表水、地下水、大气及噪声等污染因子开展监测。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八、项目建设严格执行环境保护设施与主体工程同时设计、同时施工、同时投入使用的环境保护“三同时”制度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；项目投入生产前应进行排污许可证变更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，做到持证排污；项目建成后，按规定程序进行竣工环境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保护验收，验收合格后，方可投入正式运行。</w:t>
      </w:r>
      <w:r>
        <w:rPr>
          <w:rFonts w:hint="eastAsia" w:ascii="仿宋" w:hAnsi="仿宋" w:eastAsia="仿宋" w:cs="仿宋"/>
          <w:sz w:val="32"/>
          <w:szCs w:val="32"/>
        </w:rPr>
        <w:t>如果今后国家或我省颁布污染物排放限值的新标准，届时你公司应按新的排放标准执行。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自本批复下达之日起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，超过</w:t>
      </w:r>
      <w:r>
        <w:rPr>
          <w:rFonts w:hint="eastAsia" w:ascii="仿宋" w:hAnsi="仿宋" w:eastAsia="仿宋" w:cs="仿宋"/>
          <w:sz w:val="32"/>
          <w:szCs w:val="32"/>
        </w:rPr>
        <w:t>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方决定开工建设的，环境影响评价文件应报我局重新审核</w:t>
      </w:r>
      <w:r>
        <w:rPr>
          <w:rFonts w:hint="eastAsia" w:ascii="仿宋" w:hAnsi="仿宋" w:eastAsia="仿宋" w:cs="仿宋"/>
          <w:sz w:val="32"/>
          <w:szCs w:val="32"/>
        </w:rPr>
        <w:t>。项目的性质、规模、地点、采用的工艺或防治污染、防治生态破坏的措施发生重大变动的，应当重新报批项目的环境影响评价文件。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080" w:firstLineChars="19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5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left="960" w:leftChars="0" w:right="0" w:rightChars="0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许昌市生态环境综合行政执法支队</w:t>
      </w:r>
      <w:r>
        <w:rPr>
          <w:rFonts w:hint="eastAsia" w:ascii="仿宋" w:hAnsi="仿宋" w:eastAsia="仿宋" w:cs="仿宋"/>
          <w:sz w:val="32"/>
          <w:szCs w:val="32"/>
        </w:rPr>
        <w:t>，许昌市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生态环境局魏都分</w:t>
      </w:r>
      <w:r>
        <w:rPr>
          <w:rFonts w:hint="eastAsia" w:ascii="仿宋" w:hAnsi="仿宋" w:eastAsia="仿宋" w:cs="仿宋"/>
          <w:sz w:val="32"/>
          <w:szCs w:val="32"/>
        </w:rPr>
        <w:t>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河南绿韵环保技术服务</w:t>
      </w:r>
      <w:r>
        <w:rPr>
          <w:rFonts w:hint="eastAsia" w:ascii="仿宋" w:hAnsi="仿宋" w:eastAsia="仿宋" w:cs="仿宋"/>
          <w:sz w:val="32"/>
          <w:szCs w:val="32"/>
        </w:rPr>
        <w:t>有限公司。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20D7"/>
    <w:rsid w:val="05671EF6"/>
    <w:rsid w:val="0ADA7B99"/>
    <w:rsid w:val="0B322608"/>
    <w:rsid w:val="0F1B6AB0"/>
    <w:rsid w:val="121F0BC6"/>
    <w:rsid w:val="14D63791"/>
    <w:rsid w:val="169C7AC3"/>
    <w:rsid w:val="19CE1067"/>
    <w:rsid w:val="1CE816A3"/>
    <w:rsid w:val="1D6423B0"/>
    <w:rsid w:val="21FA6AD7"/>
    <w:rsid w:val="24392A72"/>
    <w:rsid w:val="24C72CF7"/>
    <w:rsid w:val="266463D2"/>
    <w:rsid w:val="27927196"/>
    <w:rsid w:val="2C403BF2"/>
    <w:rsid w:val="2CE74104"/>
    <w:rsid w:val="2D830B13"/>
    <w:rsid w:val="2DA15154"/>
    <w:rsid w:val="2F1871BF"/>
    <w:rsid w:val="30BA6A82"/>
    <w:rsid w:val="35030A9B"/>
    <w:rsid w:val="352A6420"/>
    <w:rsid w:val="3A402930"/>
    <w:rsid w:val="4043735B"/>
    <w:rsid w:val="4523575C"/>
    <w:rsid w:val="51885F50"/>
    <w:rsid w:val="51EC1471"/>
    <w:rsid w:val="56672CEF"/>
    <w:rsid w:val="5AA25849"/>
    <w:rsid w:val="5ABA723E"/>
    <w:rsid w:val="5B5B525A"/>
    <w:rsid w:val="5D052B0E"/>
    <w:rsid w:val="5F5F1AA1"/>
    <w:rsid w:val="64843D27"/>
    <w:rsid w:val="69163067"/>
    <w:rsid w:val="6A82501C"/>
    <w:rsid w:val="6EB61A17"/>
    <w:rsid w:val="6F482DD3"/>
    <w:rsid w:val="71625639"/>
    <w:rsid w:val="74D20440"/>
    <w:rsid w:val="773555DC"/>
    <w:rsid w:val="78900CCF"/>
    <w:rsid w:val="7AFD6A68"/>
    <w:rsid w:val="7C367CB1"/>
    <w:rsid w:val="7D0A1103"/>
    <w:rsid w:val="7D1D39EC"/>
    <w:rsid w:val="7E6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styleId="5">
    <w:name w:val="Body Text"/>
    <w:basedOn w:val="1"/>
    <w:next w:val="6"/>
    <w:qFormat/>
    <w:uiPriority w:val="0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8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yue</cp:lastModifiedBy>
  <cp:lastPrinted>2021-01-29T03:53:13Z</cp:lastPrinted>
  <dcterms:modified xsi:type="dcterms:W3CDTF">2021-01-29T03:53:30Z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