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00" w:lineRule="exact"/>
        <w:jc w:val="left"/>
        <w:textAlignment w:val="baseline"/>
        <w:rPr>
          <w:rFonts w:ascii="仿宋" w:hAnsi="仿宋" w:eastAsia="仿宋"/>
        </w:rPr>
      </w:pPr>
      <w:r>
        <w:rPr>
          <w:rFonts w:hint="eastAsia" w:ascii="仿宋" w:hAnsi="仿宋" w:eastAsia="仿宋"/>
          <w:sz w:val="31"/>
        </w:rPr>
        <w:t>审批意见</w:t>
      </w:r>
      <w:r>
        <w:rPr>
          <w:rFonts w:ascii="仿宋" w:hAnsi="仿宋" w:eastAsia="仿宋"/>
          <w:sz w:val="31"/>
        </w:rPr>
        <w:t xml:space="preserve">：                </w:t>
      </w:r>
    </w:p>
    <w:p>
      <w:pPr>
        <w:snapToGrid w:val="0"/>
        <w:spacing w:line="500" w:lineRule="exact"/>
        <w:jc w:val="center"/>
        <w:textAlignment w:val="baseline"/>
        <w:rPr>
          <w:rFonts w:ascii="仿宋" w:hAnsi="仿宋" w:eastAsia="仿宋"/>
        </w:rPr>
      </w:pPr>
      <w:r>
        <w:rPr>
          <w:rFonts w:ascii="仿宋" w:hAnsi="仿宋" w:eastAsia="仿宋"/>
          <w:sz w:val="31"/>
        </w:rPr>
        <w:t xml:space="preserve">              </w:t>
      </w:r>
      <w:r>
        <w:rPr>
          <w:rFonts w:hint="eastAsia" w:ascii="仿宋" w:hAnsi="仿宋" w:eastAsia="仿宋"/>
          <w:sz w:val="31"/>
        </w:rPr>
        <w:t xml:space="preserve">            </w:t>
      </w:r>
      <w:r>
        <w:rPr>
          <w:rFonts w:ascii="仿宋" w:hAnsi="仿宋" w:eastAsia="仿宋"/>
          <w:sz w:val="31"/>
        </w:rPr>
        <w:t>许环辐审〔201</w:t>
      </w:r>
      <w:r>
        <w:rPr>
          <w:rFonts w:hint="eastAsia" w:ascii="仿宋" w:hAnsi="仿宋" w:eastAsia="仿宋"/>
          <w:sz w:val="31"/>
          <w:lang w:val="en-US" w:eastAsia="zh-CN"/>
        </w:rPr>
        <w:t>9</w:t>
      </w:r>
      <w:r>
        <w:rPr>
          <w:rFonts w:ascii="仿宋" w:hAnsi="仿宋" w:eastAsia="仿宋"/>
          <w:sz w:val="31"/>
        </w:rPr>
        <w:t>〕</w:t>
      </w:r>
      <w:r>
        <w:rPr>
          <w:rFonts w:hint="eastAsia" w:ascii="仿宋" w:hAnsi="仿宋" w:eastAsia="仿宋"/>
          <w:sz w:val="31"/>
          <w:lang w:val="en-US" w:eastAsia="zh-CN"/>
        </w:rPr>
        <w:t>7</w:t>
      </w:r>
      <w:r>
        <w:rPr>
          <w:rFonts w:ascii="仿宋" w:hAnsi="仿宋" w:eastAsia="仿宋"/>
          <w:sz w:val="31"/>
        </w:rPr>
        <w:t>号</w:t>
      </w:r>
    </w:p>
    <w:p>
      <w:pPr>
        <w:snapToGrid w:val="0"/>
        <w:spacing w:line="500" w:lineRule="exact"/>
        <w:jc w:val="center"/>
        <w:textAlignment w:val="baseline"/>
        <w:rPr>
          <w:rFonts w:ascii="仿宋" w:hAnsi="仿宋" w:eastAsia="仿宋"/>
        </w:rPr>
      </w:pPr>
    </w:p>
    <w:p>
      <w:pPr>
        <w:snapToGrid w:val="0"/>
        <w:spacing w:line="500" w:lineRule="exact"/>
        <w:jc w:val="center"/>
        <w:textAlignment w:val="baseline"/>
        <w:rPr>
          <w:rFonts w:ascii="华文中宋" w:hAnsi="华文中宋" w:eastAsia="华文中宋" w:cs="华文中宋"/>
          <w:sz w:val="44"/>
          <w:szCs w:val="44"/>
        </w:rPr>
      </w:pPr>
      <w:r>
        <w:rPr>
          <w:rFonts w:hint="eastAsia" w:ascii="华文中宋" w:hAnsi="华文中宋" w:eastAsia="华文中宋" w:cs="华文中宋"/>
          <w:sz w:val="44"/>
          <w:szCs w:val="44"/>
        </w:rPr>
        <w:t>关于鄢陵县中医院数字减影血管造影机应用项目环境影响报告表的批复</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exact"/>
        <w:ind w:left="0" w:leftChars="0" w:right="0" w:rightChars="0"/>
        <w:jc w:val="both"/>
        <w:textAlignment w:val="auto"/>
        <w:outlineLvl w:val="9"/>
        <w:rPr>
          <w:rFonts w:ascii="仿宋" w:hAnsi="仿宋" w:eastAsia="仿宋"/>
          <w:sz w:val="31"/>
        </w:rPr>
      </w:pPr>
      <w:r>
        <w:rPr>
          <w:rFonts w:ascii="仿宋" w:hAnsi="仿宋" w:eastAsia="仿宋"/>
          <w:sz w:val="31"/>
        </w:rPr>
        <w:t xml:space="preserve">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exact"/>
        <w:ind w:left="0" w:leftChars="0" w:right="0" w:rightChars="0"/>
        <w:jc w:val="both"/>
        <w:textAlignment w:val="auto"/>
        <w:outlineLvl w:val="9"/>
        <w:rPr>
          <w:rFonts w:hint="eastAsia" w:ascii="仿宋" w:hAnsi="仿宋" w:eastAsia="仿宋"/>
          <w:sz w:val="31"/>
          <w:lang w:val="en-US" w:eastAsia="zh-CN"/>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exact"/>
        <w:ind w:left="0" w:leftChars="0" w:right="0" w:rightChars="0"/>
        <w:jc w:val="both"/>
        <w:textAlignment w:val="auto"/>
        <w:outlineLvl w:val="9"/>
        <w:rPr>
          <w:rFonts w:ascii="仿宋" w:hAnsi="仿宋" w:eastAsia="仿宋"/>
          <w:sz w:val="32"/>
          <w:szCs w:val="32"/>
        </w:rPr>
      </w:pPr>
      <w:r>
        <w:rPr>
          <w:rFonts w:hint="eastAsia" w:ascii="仿宋_GB2312" w:hAnsi="宋体" w:eastAsia="仿宋_GB2312"/>
          <w:sz w:val="32"/>
          <w:szCs w:val="32"/>
        </w:rPr>
        <w:t>鄢陵县中医院</w:t>
      </w:r>
      <w:r>
        <w:rPr>
          <w:rFonts w:ascii="仿宋" w:hAnsi="仿宋" w:eastAsia="仿宋"/>
          <w:sz w:val="32"/>
          <w:szCs w:val="32"/>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exact"/>
        <w:ind w:left="0" w:leftChars="0" w:right="0" w:rightChars="0"/>
        <w:jc w:val="both"/>
        <w:textAlignment w:val="auto"/>
        <w:outlineLvl w:val="9"/>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你公司报送的《鄢陵县中医院数字减影血管造影机应用项目环境影响报告表》（以下简称《报告表》）收悉，经认真研究，批复如下：</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exact"/>
        <w:ind w:left="0" w:leftChars="0" w:right="0" w:rightChars="0"/>
        <w:jc w:val="both"/>
        <w:textAlignment w:val="auto"/>
        <w:outlineLvl w:val="9"/>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一、原则批准由四川省核工业辐射测试防护院编制的该项目《报告表》，建设单位应据此认真落实环保投资和各项污染防治措施。</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exact"/>
        <w:ind w:left="0" w:leftChars="0" w:right="0" w:rightChars="0" w:firstLine="640" w:firstLineChars="200"/>
        <w:jc w:val="both"/>
        <w:textAlignment w:val="auto"/>
        <w:outlineLvl w:val="9"/>
        <w:rPr>
          <w:rFonts w:hint="eastAsia" w:ascii="仿宋" w:hAnsi="仿宋" w:eastAsia="仿宋"/>
          <w:sz w:val="32"/>
          <w:szCs w:val="32"/>
        </w:rPr>
      </w:pPr>
      <w:r>
        <w:rPr>
          <w:rFonts w:hint="eastAsia" w:ascii="仿宋" w:hAnsi="仿宋" w:eastAsia="仿宋"/>
          <w:sz w:val="32"/>
          <w:szCs w:val="32"/>
        </w:rPr>
        <w:t>二、审批内容</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exact"/>
        <w:ind w:left="0" w:leftChars="0" w:right="0" w:rightChars="0" w:firstLine="640" w:firstLineChars="200"/>
        <w:jc w:val="both"/>
        <w:textAlignment w:val="auto"/>
        <w:outlineLvl w:val="9"/>
        <w:rPr>
          <w:rFonts w:hint="eastAsia" w:ascii="仿宋" w:hAnsi="仿宋" w:eastAsia="仿宋"/>
          <w:sz w:val="32"/>
          <w:szCs w:val="32"/>
        </w:rPr>
      </w:pPr>
      <w:r>
        <w:rPr>
          <w:rFonts w:hint="eastAsia" w:ascii="仿宋" w:hAnsi="仿宋" w:eastAsia="仿宋"/>
          <w:sz w:val="32"/>
          <w:szCs w:val="32"/>
        </w:rPr>
        <w:t>（一）种类和范围：使用Ⅱ类射线装置。</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exact"/>
        <w:ind w:left="0" w:leftChars="0" w:right="0" w:rightChars="0"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（二）项目内容：项目建设地点位于</w:t>
      </w:r>
      <w:r>
        <w:rPr>
          <w:rFonts w:hint="eastAsia" w:ascii="仿宋" w:hAnsi="仿宋" w:eastAsia="仿宋"/>
          <w:sz w:val="32"/>
          <w:szCs w:val="32"/>
          <w:lang w:eastAsia="zh-CN"/>
        </w:rPr>
        <w:t>许昌市鄢陵县花都大道113号</w:t>
      </w:r>
      <w:r>
        <w:rPr>
          <w:rFonts w:hint="eastAsia" w:ascii="仿宋" w:hAnsi="仿宋" w:eastAsia="仿宋"/>
          <w:sz w:val="32"/>
          <w:szCs w:val="32"/>
        </w:rPr>
        <w:t>。拟购Ⅱ类射线装置数字减影血管造影装置1台（最大管电压125kV，最大管电流1000mA），机房位于</w:t>
      </w:r>
      <w:r>
        <w:rPr>
          <w:rFonts w:hint="eastAsia" w:ascii="仿宋" w:hAnsi="仿宋" w:eastAsia="仿宋"/>
          <w:sz w:val="32"/>
          <w:szCs w:val="32"/>
          <w:lang w:eastAsia="zh-CN"/>
        </w:rPr>
        <w:t>鄢陵县中医院西北侧介入微创综合治疗科</w:t>
      </w:r>
      <w:r>
        <w:rPr>
          <w:rFonts w:hint="eastAsia" w:ascii="仿宋" w:hAnsi="仿宋" w:eastAsia="仿宋"/>
          <w:sz w:val="32"/>
          <w:szCs w:val="32"/>
        </w:rPr>
        <w:t>。工程总投资</w:t>
      </w:r>
      <w:r>
        <w:rPr>
          <w:rFonts w:hint="eastAsia" w:ascii="仿宋" w:hAnsi="仿宋" w:eastAsia="仿宋"/>
          <w:sz w:val="32"/>
          <w:szCs w:val="32"/>
          <w:lang w:val="en-US" w:eastAsia="zh-CN"/>
        </w:rPr>
        <w:t>750</w:t>
      </w:r>
      <w:r>
        <w:rPr>
          <w:rFonts w:hint="eastAsia" w:ascii="仿宋" w:hAnsi="仿宋" w:eastAsia="仿宋"/>
          <w:sz w:val="32"/>
          <w:szCs w:val="32"/>
        </w:rPr>
        <w:t>万元，其中环境保护投资</w:t>
      </w:r>
      <w:r>
        <w:rPr>
          <w:rFonts w:hint="eastAsia" w:ascii="仿宋" w:hAnsi="仿宋" w:eastAsia="仿宋"/>
          <w:sz w:val="32"/>
          <w:szCs w:val="32"/>
          <w:lang w:val="en-US" w:eastAsia="zh-CN"/>
        </w:rPr>
        <w:t>40</w:t>
      </w:r>
      <w:r>
        <w:rPr>
          <w:rFonts w:hint="eastAsia" w:ascii="仿宋" w:hAnsi="仿宋" w:eastAsia="仿宋"/>
          <w:sz w:val="32"/>
          <w:szCs w:val="32"/>
        </w:rPr>
        <w:t>万元。</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exact"/>
        <w:ind w:left="0" w:leftChars="0" w:right="0" w:rightChars="0" w:firstLine="640" w:firstLineChars="200"/>
        <w:jc w:val="both"/>
        <w:textAlignment w:val="auto"/>
        <w:outlineLvl w:val="9"/>
        <w:rPr>
          <w:rFonts w:hint="eastAsia" w:ascii="仿宋" w:hAnsi="仿宋" w:eastAsia="仿宋"/>
          <w:sz w:val="32"/>
          <w:szCs w:val="32"/>
        </w:rPr>
      </w:pPr>
      <w:r>
        <w:rPr>
          <w:rFonts w:hint="eastAsia" w:ascii="仿宋" w:hAnsi="仿宋" w:eastAsia="仿宋"/>
          <w:sz w:val="32"/>
          <w:szCs w:val="32"/>
        </w:rPr>
        <w:t>三、你单位应在项目建成后30日内向社会公众主动公开本项目环评及许可情况，并接受相关方的咨询。同时，应将经批准的《报告表》报送当地市、县（区）环保部门，并接受监督管理。</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exact"/>
        <w:ind w:left="0" w:leftChars="0" w:right="0" w:rightChars="0" w:firstLine="640" w:firstLineChars="200"/>
        <w:jc w:val="both"/>
        <w:textAlignment w:val="auto"/>
        <w:outlineLvl w:val="9"/>
        <w:rPr>
          <w:rFonts w:ascii="仿宋" w:hAnsi="仿宋" w:eastAsia="仿宋"/>
          <w:sz w:val="32"/>
          <w:szCs w:val="32"/>
        </w:rPr>
      </w:pPr>
      <w:r>
        <w:rPr>
          <w:rFonts w:hint="eastAsia" w:ascii="仿宋" w:hAnsi="仿宋" w:eastAsia="仿宋"/>
          <w:sz w:val="32"/>
          <w:szCs w:val="32"/>
          <w:lang w:eastAsia="zh-CN"/>
        </w:rPr>
        <w:t>四</w:t>
      </w:r>
      <w:r>
        <w:rPr>
          <w:rFonts w:hint="eastAsia" w:ascii="仿宋" w:hAnsi="仿宋" w:eastAsia="仿宋"/>
          <w:sz w:val="32"/>
          <w:szCs w:val="32"/>
        </w:rPr>
        <w:t>、项目建设和运营期间须重点做好的工作。</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exact"/>
        <w:ind w:left="0" w:leftChars="0" w:right="0" w:rightChars="0" w:firstLine="640" w:firstLineChars="200"/>
        <w:jc w:val="both"/>
        <w:textAlignment w:val="auto"/>
        <w:outlineLvl w:val="9"/>
        <w:rPr>
          <w:rFonts w:hint="eastAsia" w:ascii="仿宋" w:hAnsi="仿宋" w:eastAsia="仿宋"/>
          <w:sz w:val="32"/>
          <w:szCs w:val="32"/>
        </w:rPr>
      </w:pPr>
      <w:r>
        <w:rPr>
          <w:rFonts w:hint="eastAsia" w:ascii="仿宋" w:hAnsi="仿宋" w:eastAsia="仿宋"/>
          <w:sz w:val="32"/>
          <w:szCs w:val="32"/>
        </w:rPr>
        <w:t>（一）你单位应将《报告表》中各项污染防治措施落实到工程建设中，切实加强施工监督管理，确保项目的工程建设质量。</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exact"/>
        <w:ind w:left="0" w:leftChars="0" w:right="0" w:rightChars="0" w:firstLine="640" w:firstLineChars="200"/>
        <w:jc w:val="both"/>
        <w:textAlignment w:val="auto"/>
        <w:outlineLvl w:val="9"/>
        <w:rPr>
          <w:rFonts w:hint="eastAsia" w:ascii="仿宋" w:hAnsi="仿宋" w:eastAsia="仿宋"/>
          <w:sz w:val="32"/>
          <w:szCs w:val="32"/>
        </w:rPr>
      </w:pPr>
      <w:r>
        <w:rPr>
          <w:rFonts w:hint="eastAsia" w:ascii="仿宋" w:hAnsi="仿宋" w:eastAsia="仿宋"/>
          <w:sz w:val="32"/>
          <w:szCs w:val="32"/>
        </w:rPr>
        <w:t>（二）你单位应设置辐射环境安全专（兼）职管理人员，建立并落实辐射防护、环境安全管理、事故预防、应急处理等规章制度。</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exact"/>
        <w:ind w:left="0" w:leftChars="0" w:right="0" w:rightChars="0" w:firstLine="640" w:firstLineChars="200"/>
        <w:jc w:val="both"/>
        <w:textAlignment w:val="auto"/>
        <w:outlineLvl w:val="9"/>
        <w:rPr>
          <w:rFonts w:hint="eastAsia" w:ascii="仿宋" w:hAnsi="仿宋" w:eastAsia="仿宋"/>
          <w:sz w:val="32"/>
          <w:szCs w:val="32"/>
        </w:rPr>
      </w:pPr>
      <w:r>
        <w:rPr>
          <w:rFonts w:hint="eastAsia" w:ascii="仿宋" w:hAnsi="仿宋" w:eastAsia="仿宋"/>
          <w:sz w:val="32"/>
          <w:szCs w:val="32"/>
        </w:rPr>
        <w:t>（三）辐射工作场所须设置明显的电离辐射标志和中文警示说明。配备相应辐射监测仪器，定期对辐射工作场所及周围环境进行辐射监测，监测记录长期保存。</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exact"/>
        <w:ind w:left="0" w:leftChars="0" w:right="0" w:rightChars="0" w:firstLine="640" w:firstLineChars="200"/>
        <w:jc w:val="both"/>
        <w:textAlignment w:val="auto"/>
        <w:outlineLvl w:val="9"/>
        <w:rPr>
          <w:rFonts w:hint="eastAsia" w:ascii="仿宋" w:hAnsi="仿宋" w:eastAsia="仿宋"/>
          <w:sz w:val="32"/>
          <w:szCs w:val="32"/>
        </w:rPr>
      </w:pPr>
      <w:r>
        <w:rPr>
          <w:rFonts w:hint="eastAsia" w:ascii="仿宋" w:hAnsi="仿宋" w:eastAsia="仿宋"/>
          <w:sz w:val="32"/>
          <w:szCs w:val="32"/>
        </w:rPr>
        <w:t>（四）射线装置安装、调试、使用时，应由专业技术人员操作。操作人员必须经辐射安全和防护知识培训合格后上岗，并定期进行个人剂量监测，建立和完善个人剂量档案。</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exact"/>
        <w:ind w:left="0" w:leftChars="0" w:right="0" w:rightChars="0" w:firstLine="640" w:firstLineChars="200"/>
        <w:jc w:val="both"/>
        <w:textAlignment w:val="auto"/>
        <w:outlineLvl w:val="9"/>
        <w:rPr>
          <w:rFonts w:hint="eastAsia" w:ascii="仿宋" w:hAnsi="仿宋" w:eastAsia="仿宋"/>
          <w:sz w:val="32"/>
          <w:szCs w:val="32"/>
        </w:rPr>
      </w:pPr>
      <w:r>
        <w:rPr>
          <w:rFonts w:hint="eastAsia" w:ascii="仿宋" w:hAnsi="仿宋" w:eastAsia="仿宋"/>
          <w:sz w:val="32"/>
          <w:szCs w:val="32"/>
        </w:rPr>
        <w:t>（五）按时组织开展辐射安全与防护状况年度评估工作，发现安全隐患的，应立即进行整改，年度评估报告每年1月31日前报送我</w:t>
      </w:r>
      <w:r>
        <w:rPr>
          <w:rFonts w:hint="eastAsia" w:ascii="仿宋" w:hAnsi="仿宋" w:eastAsia="仿宋"/>
          <w:sz w:val="32"/>
          <w:szCs w:val="32"/>
          <w:lang w:eastAsia="zh-CN"/>
        </w:rPr>
        <w:t>局</w:t>
      </w:r>
      <w:r>
        <w:rPr>
          <w:rFonts w:hint="eastAsia" w:ascii="仿宋" w:hAnsi="仿宋" w:eastAsia="仿宋"/>
          <w:sz w:val="32"/>
          <w:szCs w:val="32"/>
        </w:rPr>
        <w:t>，同时抄送当地环保部门。</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exact"/>
        <w:ind w:left="0" w:leftChars="0" w:right="0" w:rightChars="0" w:firstLine="640" w:firstLineChars="200"/>
        <w:jc w:val="both"/>
        <w:textAlignment w:val="auto"/>
        <w:outlineLvl w:val="9"/>
        <w:rPr>
          <w:rFonts w:hint="eastAsia" w:ascii="仿宋" w:hAnsi="仿宋" w:eastAsia="仿宋"/>
          <w:sz w:val="32"/>
          <w:szCs w:val="32"/>
        </w:rPr>
      </w:pPr>
      <w:r>
        <w:rPr>
          <w:rFonts w:hint="eastAsia" w:ascii="仿宋" w:hAnsi="仿宋" w:eastAsia="仿宋"/>
          <w:sz w:val="32"/>
          <w:szCs w:val="32"/>
        </w:rPr>
        <w:t>（六）按规定重新申领《辐射安全许可证》，并报告当地环保部门。取得《辐射安全许可证》</w:t>
      </w:r>
      <w:bookmarkStart w:id="0" w:name="_GoBack"/>
      <w:bookmarkEnd w:id="0"/>
      <w:r>
        <w:rPr>
          <w:rFonts w:hint="eastAsia" w:ascii="仿宋" w:hAnsi="仿宋" w:eastAsia="仿宋"/>
          <w:sz w:val="32"/>
          <w:szCs w:val="32"/>
        </w:rPr>
        <w:t>后，该项目方可投入运行。</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exact"/>
        <w:ind w:left="0" w:leftChars="0" w:right="0" w:rightChars="0" w:firstLine="640" w:firstLineChars="200"/>
        <w:jc w:val="both"/>
        <w:textAlignment w:val="auto"/>
        <w:outlineLvl w:val="9"/>
        <w:rPr>
          <w:rFonts w:hint="eastAsia" w:ascii="仿宋" w:hAnsi="仿宋" w:eastAsia="仿宋"/>
          <w:sz w:val="32"/>
          <w:szCs w:val="32"/>
        </w:rPr>
      </w:pPr>
      <w:r>
        <w:rPr>
          <w:rFonts w:hint="eastAsia" w:ascii="仿宋" w:hAnsi="仿宋" w:eastAsia="仿宋"/>
          <w:sz w:val="32"/>
          <w:szCs w:val="32"/>
        </w:rPr>
        <w:t>（七）项目建设应严格执行配套建设的环境保护设施与主体工程同时设计、同时施工、同时投产使用的环境保护“三同时”制度，落实各项环保措施。工程竣工后，建设单位应当按照国务院生态环境行政主管部门规定的标准和程序，对配套建设的环境保护设施进行验收，编制验收报告。经验收合格后，项目方可投入正式运行。</w:t>
      </w:r>
      <w:r>
        <w:rPr>
          <w:rFonts w:hint="eastAsia" w:ascii="仿宋" w:hAnsi="仿宋" w:eastAsia="仿宋"/>
          <w:sz w:val="32"/>
          <w:szCs w:val="32"/>
          <w:lang w:eastAsia="zh-CN"/>
        </w:rPr>
        <w:t>鄢陵县</w:t>
      </w:r>
      <w:r>
        <w:rPr>
          <w:rFonts w:hint="eastAsia" w:ascii="仿宋" w:hAnsi="仿宋" w:eastAsia="仿宋"/>
          <w:sz w:val="32"/>
          <w:szCs w:val="32"/>
        </w:rPr>
        <w:t>环保局负责该项目日常环境监督管理工作，应明确项目建设监管责任人，加强施工期监督检查，如发现违法行为应立即纠正并报告。市环境监察支队对项目执行环保“三同时”情况按规定进行现场监督检查。</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exact"/>
        <w:ind w:left="0" w:leftChars="0" w:right="0" w:rightChars="0"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（八）本批复有效期五年。本项目自批复之日起五年后开工建设的，应报我局重新审核。本批复生效后，建设项目的地点、工艺、规模等发生重大变化时，应重新编制环境影响评价文件报我局审批。</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exact"/>
        <w:ind w:left="0" w:leftChars="0" w:right="0" w:rightChars="0"/>
        <w:jc w:val="both"/>
        <w:textAlignment w:val="auto"/>
        <w:outlineLvl w:val="9"/>
        <w:rPr>
          <w:rFonts w:ascii="仿宋" w:hAnsi="仿宋" w:eastAsia="仿宋"/>
          <w:sz w:val="32"/>
          <w:szCs w:val="32"/>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exact"/>
        <w:ind w:left="0" w:leftChars="0" w:right="0" w:rightChars="0"/>
        <w:jc w:val="both"/>
        <w:textAlignment w:val="auto"/>
        <w:outlineLvl w:val="9"/>
        <w:rPr>
          <w:rFonts w:ascii="仿宋" w:hAnsi="仿宋" w:eastAsia="仿宋"/>
          <w:sz w:val="32"/>
          <w:szCs w:val="32"/>
        </w:rPr>
      </w:pPr>
      <w:r>
        <w:rPr>
          <w:rFonts w:ascii="仿宋" w:hAnsi="仿宋" w:eastAsia="仿宋"/>
          <w:sz w:val="32"/>
          <w:szCs w:val="32"/>
        </w:rPr>
        <w:t xml:space="preserve">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exact"/>
        <w:ind w:left="0" w:leftChars="0" w:right="0" w:rightChars="0"/>
        <w:jc w:val="both"/>
        <w:textAlignment w:val="auto"/>
        <w:outlineLvl w:val="9"/>
        <w:rPr>
          <w:rFonts w:ascii="仿宋" w:hAnsi="仿宋" w:eastAsia="仿宋"/>
          <w:sz w:val="32"/>
          <w:szCs w:val="32"/>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exact"/>
        <w:ind w:left="0" w:leftChars="0" w:right="0" w:rightChars="0" w:firstLine="5760" w:firstLineChars="1800"/>
        <w:jc w:val="both"/>
        <w:textAlignment w:val="auto"/>
        <w:outlineLvl w:val="9"/>
        <w:rPr>
          <w:rFonts w:ascii="仿宋" w:hAnsi="仿宋" w:eastAsia="仿宋"/>
          <w:sz w:val="32"/>
          <w:szCs w:val="32"/>
        </w:rPr>
      </w:pPr>
      <w:r>
        <w:rPr>
          <w:rFonts w:ascii="仿宋" w:hAnsi="仿宋" w:eastAsia="仿宋"/>
          <w:sz w:val="32"/>
          <w:szCs w:val="32"/>
        </w:rPr>
        <w:t>201</w:t>
      </w:r>
      <w:r>
        <w:rPr>
          <w:rFonts w:hint="eastAsia" w:ascii="仿宋" w:hAnsi="仿宋" w:eastAsia="仿宋"/>
          <w:sz w:val="32"/>
          <w:szCs w:val="32"/>
          <w:lang w:val="en-US" w:eastAsia="zh-CN"/>
        </w:rPr>
        <w:t>9</w:t>
      </w:r>
      <w:r>
        <w:rPr>
          <w:rFonts w:hint="eastAsia" w:ascii="仿宋" w:hAnsi="仿宋" w:eastAsia="仿宋"/>
          <w:sz w:val="32"/>
          <w:szCs w:val="32"/>
        </w:rPr>
        <w:t>年</w:t>
      </w:r>
      <w:r>
        <w:rPr>
          <w:rFonts w:hint="eastAsia" w:ascii="仿宋" w:hAnsi="仿宋" w:eastAsia="仿宋"/>
          <w:sz w:val="32"/>
          <w:szCs w:val="32"/>
          <w:lang w:val="en-US" w:eastAsia="zh-CN"/>
        </w:rPr>
        <w:t>1</w:t>
      </w:r>
      <w:r>
        <w:rPr>
          <w:rFonts w:hint="eastAsia" w:ascii="仿宋" w:hAnsi="仿宋" w:eastAsia="仿宋"/>
          <w:sz w:val="32"/>
          <w:szCs w:val="32"/>
        </w:rPr>
        <w:t>月</w:t>
      </w:r>
      <w:r>
        <w:rPr>
          <w:rFonts w:hint="eastAsia" w:ascii="仿宋" w:hAnsi="仿宋" w:eastAsia="仿宋"/>
          <w:sz w:val="32"/>
          <w:szCs w:val="32"/>
          <w:lang w:val="en-US" w:eastAsia="zh-CN"/>
        </w:rPr>
        <w:t>15</w:t>
      </w:r>
      <w:r>
        <w:rPr>
          <w:rFonts w:hint="eastAsia" w:ascii="仿宋" w:hAnsi="仿宋" w:eastAsia="仿宋"/>
          <w:sz w:val="32"/>
          <w:szCs w:val="32"/>
        </w:rPr>
        <w:t>日</w:t>
      </w:r>
    </w:p>
    <w:p>
      <w:pPr>
        <w:snapToGrid w:val="0"/>
        <w:spacing w:line="500" w:lineRule="exact"/>
        <w:jc w:val="left"/>
        <w:textAlignment w:val="baseline"/>
        <w:rPr>
          <w:rFonts w:ascii="仿宋" w:hAnsi="仿宋" w:eastAsia="仿宋"/>
          <w:sz w:val="31"/>
        </w:rPr>
      </w:pPr>
    </w:p>
    <w:p>
      <w:pPr>
        <w:snapToGrid w:val="0"/>
        <w:spacing w:line="500" w:lineRule="exact"/>
        <w:ind w:firstLine="620" w:firstLineChars="200"/>
        <w:jc w:val="left"/>
        <w:textAlignment w:val="baseline"/>
      </w:pPr>
      <w:r>
        <w:rPr>
          <w:rFonts w:hint="eastAsia" w:ascii="仿宋" w:hAnsi="仿宋" w:eastAsia="仿宋"/>
          <w:sz w:val="31"/>
        </w:rPr>
        <w:t xml:space="preserve">              </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5AB"/>
    <w:rsid w:val="00240FDA"/>
    <w:rsid w:val="00302CF7"/>
    <w:rsid w:val="003704F2"/>
    <w:rsid w:val="004563BE"/>
    <w:rsid w:val="004A6491"/>
    <w:rsid w:val="004D25AB"/>
    <w:rsid w:val="00825AD9"/>
    <w:rsid w:val="008E777A"/>
    <w:rsid w:val="00A02E26"/>
    <w:rsid w:val="00E41289"/>
    <w:rsid w:val="0B434ADF"/>
    <w:rsid w:val="0BD255C0"/>
    <w:rsid w:val="2839695F"/>
    <w:rsid w:val="38885EBE"/>
    <w:rsid w:val="39E80F40"/>
    <w:rsid w:val="4AAA4170"/>
    <w:rsid w:val="4DA834DA"/>
    <w:rsid w:val="56E24BCD"/>
    <w:rsid w:val="63B36882"/>
    <w:rsid w:val="66787F01"/>
    <w:rsid w:val="66F040D1"/>
    <w:rsid w:val="69BA00B0"/>
    <w:rsid w:val="72C651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semiHidden/>
    <w:unhideWhenUsed/>
    <w:qFormat/>
    <w:uiPriority w:val="99"/>
    <w:rPr>
      <w:rFonts w:cs="Times New Roman"/>
    </w:rPr>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semiHidden/>
    <w:qFormat/>
    <w:uiPriority w:val="99"/>
    <w:rPr>
      <w:sz w:val="18"/>
      <w:szCs w:val="18"/>
    </w:rPr>
  </w:style>
  <w:style w:type="paragraph" w:customStyle="1" w:styleId="9">
    <w:name w:val="p0"/>
    <w:basedOn w:val="1"/>
    <w:qFormat/>
    <w:uiPriority w:val="0"/>
    <w:pPr>
      <w:widowControl/>
      <w:spacing w:line="1439" w:lineRule="atLeast"/>
    </w:pPr>
    <w:rPr>
      <w:rFonts w:ascii="Times New Roman" w:hAnsi="Times New Roman" w:eastAsia="宋体" w:cs="Times New Roman"/>
      <w:color w:val="000000"/>
      <w:kern w:val="0"/>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iTianKong.com</Company>
  <Pages>1</Pages>
  <Words>79</Words>
  <Characters>455</Characters>
  <Lines>3</Lines>
  <Paragraphs>1</Paragraphs>
  <TotalTime>1</TotalTime>
  <ScaleCrop>false</ScaleCrop>
  <LinksUpToDate>false</LinksUpToDate>
  <CharactersWithSpaces>533</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2016-05-19T07:34:00Z</dcterms:created>
  <dc:creator>IT天空</dc:creator>
  <cp:lastModifiedBy>蒋金杰</cp:lastModifiedBy>
  <dcterms:modified xsi:type="dcterms:W3CDTF">2019-01-15T09:59:51Z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