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_GB2312"/>
          <w:color w:val="000000"/>
          <w:sz w:val="32"/>
          <w:szCs w:val="32"/>
          <w:shd w:val="clear" w:color="auto" w:fill="FFFFFF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rPr>
          <w:rFonts w:eastAsia="仿宋"/>
          <w:sz w:val="32"/>
          <w:szCs w:val="32"/>
        </w:rPr>
      </w:pPr>
      <w:r>
        <w:rPr>
          <w:rFonts w:eastAsia="仿宋_GB2312"/>
          <w:color w:val="000000"/>
          <w:sz w:val="32"/>
          <w:szCs w:val="32"/>
          <w:shd w:val="clear" w:color="auto" w:fill="FFFFFF"/>
        </w:rPr>
        <w:t>审批意见：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left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  <w:r>
        <w:rPr>
          <w:rFonts w:hint="eastAsia" w:eastAsia="仿宋"/>
          <w:sz w:val="32"/>
          <w:szCs w:val="32"/>
          <w:lang w:val="en-US" w:eastAsia="zh-CN"/>
        </w:rPr>
        <w:t xml:space="preserve">                                                               </w:t>
      </w:r>
      <w:r>
        <w:rPr>
          <w:rFonts w:eastAsia="仿宋_GB2312"/>
          <w:sz w:val="32"/>
          <w:szCs w:val="32"/>
        </w:rPr>
        <w:t>许环辐审〔2020〕2号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0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关于</w:t>
      </w:r>
      <w:r>
        <w:rPr>
          <w:rFonts w:hint="eastAsia" w:eastAsia="黑体"/>
          <w:sz w:val="44"/>
          <w:szCs w:val="44"/>
        </w:rPr>
        <w:t>许昌市区电气谷220千伏变电站110千伏送出工程</w:t>
      </w:r>
      <w:r>
        <w:rPr>
          <w:rFonts w:eastAsia="黑体"/>
          <w:sz w:val="44"/>
          <w:szCs w:val="44"/>
        </w:rPr>
        <w:t>环境影响报告表的批复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3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国网河南省电力公司许昌供电公司: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你公司（统一社会信用代码:</w:t>
      </w:r>
      <w:r>
        <w:t xml:space="preserve"> </w:t>
      </w:r>
      <w:r>
        <w:rPr>
          <w:rFonts w:eastAsia="仿宋"/>
          <w:sz w:val="32"/>
          <w:szCs w:val="32"/>
        </w:rPr>
        <w:t>914110000057479041）报送的《</w:t>
      </w:r>
      <w:r>
        <w:rPr>
          <w:rFonts w:hint="eastAsia" w:eastAsia="仿宋"/>
          <w:sz w:val="32"/>
          <w:szCs w:val="32"/>
        </w:rPr>
        <w:t>许昌市区电气谷220千伏变电站110千伏送出工程</w:t>
      </w:r>
      <w:r>
        <w:rPr>
          <w:rFonts w:eastAsia="仿宋"/>
          <w:sz w:val="32"/>
          <w:szCs w:val="32"/>
        </w:rPr>
        <w:t>建设项目环境影响报告表》（报批版，以下简称《报告表》）收悉，该项目环评审批事项已在我局网站公示期满。经认真研究，批复如下：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一、原则批准由武汉华凯环境安全技术发展有限公司编制的《报告表》，建设单位应据此认真落实环保投资和各项污染防治措施。  </w:t>
      </w:r>
    </w:p>
    <w:p>
      <w:pPr>
        <w:numPr>
          <w:ilvl w:val="0"/>
          <w:numId w:val="1"/>
        </w:num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项目位于许昌市</w:t>
      </w:r>
      <w:r>
        <w:rPr>
          <w:rFonts w:hint="eastAsia" w:eastAsia="仿宋"/>
          <w:sz w:val="32"/>
          <w:szCs w:val="32"/>
        </w:rPr>
        <w:t>城乡一体化示范区</w:t>
      </w:r>
      <w:r>
        <w:rPr>
          <w:rFonts w:eastAsia="仿宋"/>
          <w:sz w:val="32"/>
          <w:szCs w:val="32"/>
        </w:rPr>
        <w:t>境内。工程总投资885万元，其中环境保护投资15万元。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（一）新建汉庄线π入电气谷变110kV线路（东π接段）：新建线路起于110kV汉庄线33#门型杆东侧，止于拟建220kV电气谷变。线路全长0.5km，单回路架设。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二）新建汉庄线π入电气谷变110kV线路（西π接段）：新建线路起于110kV汉庄线30#门型杆东侧，止于拟建220kV电气谷变。线路全长0.45km，其中同塔双回单侧挂线架设0.2km，电缆敷设0.25km。同时拆除原110kV汉庄线30#~33#杆塔及线路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三、项目建设和运营期间须重点做好的工作。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（一）项目建设和运营中应严格按照《报告表》和本批复的要求，确保各项环境保护措施得到落实。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（二）严格落实防治工频电场、工频磁场等环保措施，确保</w:t>
      </w:r>
      <w:r>
        <w:rPr>
          <w:rFonts w:hint="eastAsia" w:eastAsia="仿宋"/>
          <w:sz w:val="32"/>
          <w:szCs w:val="32"/>
        </w:rPr>
        <w:t>线路两侧</w:t>
      </w:r>
      <w:r>
        <w:rPr>
          <w:rFonts w:eastAsia="仿宋"/>
          <w:sz w:val="32"/>
          <w:szCs w:val="32"/>
        </w:rPr>
        <w:t>周边区域的工频电场强度、工频磁感应强度</w:t>
      </w:r>
      <w:r>
        <w:rPr>
          <w:rFonts w:hint="eastAsia" w:eastAsia="仿宋"/>
          <w:sz w:val="32"/>
          <w:szCs w:val="32"/>
          <w:lang w:eastAsia="zh-CN"/>
        </w:rPr>
        <w:t>应</w:t>
      </w:r>
      <w:r>
        <w:rPr>
          <w:rFonts w:eastAsia="仿宋"/>
          <w:sz w:val="32"/>
          <w:szCs w:val="32"/>
        </w:rPr>
        <w:t>符合</w:t>
      </w:r>
      <w:r>
        <w:rPr>
          <w:rFonts w:hint="eastAsia" w:eastAsia="仿宋"/>
          <w:sz w:val="32"/>
          <w:szCs w:val="32"/>
          <w:lang w:eastAsia="zh-CN"/>
        </w:rPr>
        <w:t>《电磁环境控制限值》（</w:t>
      </w:r>
      <w:r>
        <w:rPr>
          <w:rFonts w:hint="eastAsia" w:eastAsia="仿宋"/>
          <w:sz w:val="32"/>
          <w:szCs w:val="32"/>
          <w:lang w:val="en-US" w:eastAsia="zh-CN"/>
        </w:rPr>
        <w:t>GB8702-2014</w:t>
      </w:r>
      <w:r>
        <w:rPr>
          <w:rFonts w:hint="eastAsia" w:eastAsia="仿宋"/>
          <w:sz w:val="32"/>
          <w:szCs w:val="32"/>
          <w:lang w:eastAsia="zh-CN"/>
        </w:rPr>
        <w:t>）</w:t>
      </w:r>
      <w:r>
        <w:rPr>
          <w:rFonts w:hint="eastAsia" w:eastAsia="仿宋"/>
          <w:sz w:val="32"/>
          <w:szCs w:val="32"/>
          <w:lang w:val="en-US" w:eastAsia="zh-CN"/>
        </w:rPr>
        <w:t>4000V/m和100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μ</w:t>
      </w:r>
      <w:r>
        <w:rPr>
          <w:rFonts w:hint="eastAsia" w:eastAsia="仿宋"/>
          <w:sz w:val="32"/>
          <w:szCs w:val="32"/>
          <w:lang w:val="en-US" w:eastAsia="zh-CN"/>
        </w:rPr>
        <w:t>T公众曝露控制限值，配套110</w:t>
      </w:r>
      <w:r>
        <w:rPr>
          <w:rFonts w:hint="eastAsia" w:eastAsia="仿宋"/>
          <w:sz w:val="32"/>
          <w:szCs w:val="32"/>
        </w:rPr>
        <w:t>kV</w:t>
      </w:r>
      <w:r>
        <w:rPr>
          <w:rFonts w:hint="eastAsia" w:eastAsia="仿宋"/>
          <w:sz w:val="32"/>
          <w:szCs w:val="32"/>
          <w:lang w:eastAsia="zh-CN"/>
        </w:rPr>
        <w:t>输电线路线下耕地、园地、牧草地、畜禽饲养地、养殖水面和道路等场所执行</w:t>
      </w:r>
      <w:r>
        <w:rPr>
          <w:rFonts w:hint="eastAsia" w:eastAsia="仿宋"/>
          <w:sz w:val="32"/>
          <w:szCs w:val="32"/>
          <w:lang w:val="en-US" w:eastAsia="zh-CN"/>
        </w:rPr>
        <w:t>10kV/m的工频电场强度控制限值</w:t>
      </w:r>
      <w:r>
        <w:rPr>
          <w:rFonts w:eastAsia="仿宋"/>
          <w:sz w:val="32"/>
          <w:szCs w:val="32"/>
        </w:rPr>
        <w:t>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（三）线路与公路、铁路、电力线等交叉跨越时应按规范要求留有足够的净空距离。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（四）加强施工前的环境保护工作，落实各项生态保护和污染防治措施。采取有效防尘、降噪措施，不得施工扰民。项目建成后，应及时</w:t>
      </w:r>
      <w:r>
        <w:rPr>
          <w:rFonts w:hint="eastAsia" w:eastAsia="仿宋"/>
          <w:sz w:val="32"/>
          <w:szCs w:val="32"/>
          <w:lang w:eastAsia="zh-CN"/>
        </w:rPr>
        <w:t>恢复</w:t>
      </w:r>
      <w:r>
        <w:rPr>
          <w:rFonts w:hint="eastAsia" w:eastAsia="仿宋"/>
          <w:sz w:val="32"/>
          <w:szCs w:val="32"/>
        </w:rPr>
        <w:t>临时占用的植被和使用功能，防止水土流失。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（</w:t>
      </w:r>
      <w:r>
        <w:rPr>
          <w:rFonts w:hint="eastAsia" w:eastAsia="仿宋"/>
          <w:sz w:val="32"/>
          <w:szCs w:val="32"/>
        </w:rPr>
        <w:t>五</w:t>
      </w:r>
      <w:r>
        <w:rPr>
          <w:rFonts w:eastAsia="仿宋"/>
          <w:sz w:val="32"/>
          <w:szCs w:val="32"/>
        </w:rPr>
        <w:t>）项目建设应严格执行配套建设的环境保护设施与主体工程同时设计、同时施工、同时投产使用的环境保护“三同时”制度，落实各项环保措施。工程竣工后，建设单位应当按照国务院生态环境行政主管部门规定的标准和程序，对配套建设的环境保护设施进行验收，编制验收报告。经验收合格后，项目方可投入正式运行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四、建设及运营单位应建立环保管理和监测制度，及时消除事故隐患，确保各项污染因子达到环保标准要求；制定详细的风险事故应急预案，确保发生事故时可及时得到妥善处理。</w:t>
      </w:r>
    </w:p>
    <w:p>
      <w:pPr>
        <w:adjustRightInd w:val="0"/>
        <w:snapToGrid w:val="0"/>
        <w:spacing w:line="520" w:lineRule="exact"/>
        <w:ind w:firstLine="640" w:firstLineChars="2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五、本批复有效期五年。本项目自批复之日起五年后开工建设的，应报我局重新审核。本批复生效后，建设项目的地点、工艺、规模等发生重大变化时，应重新编制环境影响评价文件报我局审批。</w:t>
      </w:r>
    </w:p>
    <w:p>
      <w:pPr>
        <w:adjustRightInd w:val="0"/>
        <w:snapToGrid w:val="0"/>
        <w:spacing w:line="520" w:lineRule="exact"/>
        <w:ind w:firstLine="5120" w:firstLineChars="1600"/>
        <w:textAlignment w:val="baseline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2020年</w:t>
      </w:r>
      <w:r>
        <w:rPr>
          <w:rFonts w:hint="eastAsia" w:eastAsia="仿宋"/>
          <w:sz w:val="32"/>
          <w:szCs w:val="32"/>
          <w:lang w:val="en-US" w:eastAsia="zh-CN"/>
        </w:rPr>
        <w:t>2</w:t>
      </w:r>
      <w:r>
        <w:rPr>
          <w:rFonts w:eastAsia="仿宋"/>
          <w:sz w:val="32"/>
          <w:szCs w:val="32"/>
        </w:rPr>
        <w:t xml:space="preserve">月 </w:t>
      </w:r>
      <w:r>
        <w:rPr>
          <w:rFonts w:hint="eastAsia" w:eastAsia="仿宋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eastAsia="仿宋"/>
          <w:sz w:val="32"/>
          <w:szCs w:val="32"/>
        </w:rPr>
        <w:t>日</w:t>
      </w: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  <w:rPr>
          <w:rFonts w:eastAsia="仿宋"/>
          <w:sz w:val="32"/>
          <w:szCs w:val="32"/>
        </w:rPr>
      </w:pPr>
    </w:p>
    <w:p>
      <w:pPr>
        <w:pStyle w:val="2"/>
      </w:pPr>
    </w:p>
    <w:p>
      <w:pPr>
        <w:keepNext w:val="0"/>
        <w:keepLines w:val="0"/>
        <w:pageBreakBefore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 w:val="0"/>
        <w:bidi w:val="0"/>
        <w:snapToGrid/>
        <w:spacing w:line="520" w:lineRule="exact"/>
        <w:ind w:left="0" w:leftChars="0" w:right="0" w:rightChars="0"/>
        <w:textAlignment w:val="auto"/>
        <w:outlineLvl w:val="9"/>
        <w:rPr>
          <w:rFonts w:hint="eastAsia"/>
        </w:rPr>
      </w:pPr>
      <w:r>
        <w:rPr>
          <w:rFonts w:hint="eastAsia" w:eastAsia="仿宋"/>
          <w:sz w:val="32"/>
          <w:szCs w:val="32"/>
        </w:rPr>
        <w:t>抄送：</w:t>
      </w:r>
      <w:r>
        <w:rPr>
          <w:rFonts w:hint="eastAsia" w:eastAsia="仿宋"/>
          <w:sz w:val="32"/>
          <w:szCs w:val="32"/>
          <w:lang w:val="en-US" w:eastAsia="zh-CN"/>
        </w:rPr>
        <w:t>许昌市生态环境综合行政执法支队</w:t>
      </w:r>
      <w:r>
        <w:rPr>
          <w:rFonts w:hint="eastAsia" w:eastAsia="仿宋"/>
          <w:sz w:val="32"/>
          <w:szCs w:val="32"/>
        </w:rPr>
        <w:t>，许昌市</w:t>
      </w:r>
      <w:r>
        <w:rPr>
          <w:rFonts w:hint="eastAsia" w:eastAsia="仿宋"/>
          <w:sz w:val="32"/>
          <w:szCs w:val="32"/>
          <w:lang w:val="en-US" w:eastAsia="zh-CN"/>
        </w:rPr>
        <w:t>生态环境局城乡一体化示范区分</w:t>
      </w:r>
      <w:r>
        <w:rPr>
          <w:rFonts w:hint="eastAsia" w:eastAsia="仿宋"/>
          <w:sz w:val="32"/>
          <w:szCs w:val="32"/>
        </w:rPr>
        <w:t>局，</w:t>
      </w:r>
      <w:r>
        <w:rPr>
          <w:rFonts w:eastAsia="仿宋"/>
          <w:sz w:val="32"/>
          <w:szCs w:val="32"/>
        </w:rPr>
        <w:t>武汉华凯环境安全技术发展有限公司</w:t>
      </w:r>
      <w:r>
        <w:rPr>
          <w:rFonts w:hint="eastAsia" w:eastAsia="仿宋"/>
          <w:sz w:val="32"/>
          <w:szCs w:val="32"/>
          <w:lang w:eastAsia="zh-CN"/>
        </w:rPr>
        <w:t>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3</w:t>
    </w:r>
    <w:r>
      <w:rPr>
        <w:rStyle w:val="9"/>
      </w:rPr>
      <w:fldChar w:fldCharType="end"/>
    </w:r>
  </w:p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right w:val="none" w:color="auto" w:sz="0" w:space="0"/>
        <w:between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34F84"/>
    <w:multiLevelType w:val="singleLevel"/>
    <w:tmpl w:val="5DF34F84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endnotePr>
    <w:numFmt w:val="decimal"/>
  </w:endnotePr>
  <w:compat>
    <w:doNotExpandShiftReturn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444"/>
    <w:rsid w:val="000F3002"/>
    <w:rsid w:val="00147FC8"/>
    <w:rsid w:val="00234A7A"/>
    <w:rsid w:val="00271A56"/>
    <w:rsid w:val="00275844"/>
    <w:rsid w:val="002B7570"/>
    <w:rsid w:val="002D3A3C"/>
    <w:rsid w:val="002D5C8C"/>
    <w:rsid w:val="00331A56"/>
    <w:rsid w:val="003C4FF3"/>
    <w:rsid w:val="003F774C"/>
    <w:rsid w:val="00406000"/>
    <w:rsid w:val="0043588C"/>
    <w:rsid w:val="004F725F"/>
    <w:rsid w:val="005D17A1"/>
    <w:rsid w:val="005E4B77"/>
    <w:rsid w:val="00640F12"/>
    <w:rsid w:val="00652359"/>
    <w:rsid w:val="00672E34"/>
    <w:rsid w:val="0069585E"/>
    <w:rsid w:val="00695870"/>
    <w:rsid w:val="006B4254"/>
    <w:rsid w:val="006D0F32"/>
    <w:rsid w:val="00702F24"/>
    <w:rsid w:val="00772EB9"/>
    <w:rsid w:val="007D7563"/>
    <w:rsid w:val="00860DA4"/>
    <w:rsid w:val="0092050D"/>
    <w:rsid w:val="00A22559"/>
    <w:rsid w:val="00A40E01"/>
    <w:rsid w:val="00A569BF"/>
    <w:rsid w:val="00AA60EC"/>
    <w:rsid w:val="00AF011A"/>
    <w:rsid w:val="00AF7526"/>
    <w:rsid w:val="00B029F6"/>
    <w:rsid w:val="00B2691C"/>
    <w:rsid w:val="00BF0118"/>
    <w:rsid w:val="00BF0DDC"/>
    <w:rsid w:val="00C424F6"/>
    <w:rsid w:val="00CD3488"/>
    <w:rsid w:val="00E01E3C"/>
    <w:rsid w:val="00E92444"/>
    <w:rsid w:val="00EE1324"/>
    <w:rsid w:val="00F578B1"/>
    <w:rsid w:val="00F97B33"/>
    <w:rsid w:val="00FB0DFD"/>
    <w:rsid w:val="02E758B8"/>
    <w:rsid w:val="03AA7A7C"/>
    <w:rsid w:val="04055970"/>
    <w:rsid w:val="04312852"/>
    <w:rsid w:val="056B5980"/>
    <w:rsid w:val="056E1D98"/>
    <w:rsid w:val="05A45D8B"/>
    <w:rsid w:val="066D6A9F"/>
    <w:rsid w:val="07D319C9"/>
    <w:rsid w:val="0A2B58D8"/>
    <w:rsid w:val="0AC85F05"/>
    <w:rsid w:val="0BE55213"/>
    <w:rsid w:val="0E636F69"/>
    <w:rsid w:val="0E823CCD"/>
    <w:rsid w:val="0F2C62E2"/>
    <w:rsid w:val="104B6073"/>
    <w:rsid w:val="116D5871"/>
    <w:rsid w:val="14701F95"/>
    <w:rsid w:val="15347EF1"/>
    <w:rsid w:val="16D67C2A"/>
    <w:rsid w:val="1735373B"/>
    <w:rsid w:val="17B51A35"/>
    <w:rsid w:val="17F461DB"/>
    <w:rsid w:val="185C4831"/>
    <w:rsid w:val="18665C72"/>
    <w:rsid w:val="19250C4F"/>
    <w:rsid w:val="1C745047"/>
    <w:rsid w:val="1EC03777"/>
    <w:rsid w:val="2086771A"/>
    <w:rsid w:val="211C4D22"/>
    <w:rsid w:val="251A57A0"/>
    <w:rsid w:val="26A53152"/>
    <w:rsid w:val="27177161"/>
    <w:rsid w:val="289E0881"/>
    <w:rsid w:val="28D65AAF"/>
    <w:rsid w:val="2A821ED1"/>
    <w:rsid w:val="2B4E7E07"/>
    <w:rsid w:val="2B9B7698"/>
    <w:rsid w:val="2C0D3A63"/>
    <w:rsid w:val="2CF12AEB"/>
    <w:rsid w:val="2DD909BA"/>
    <w:rsid w:val="2E0919EE"/>
    <w:rsid w:val="332029EE"/>
    <w:rsid w:val="36CC6667"/>
    <w:rsid w:val="36DD2F9C"/>
    <w:rsid w:val="376E3437"/>
    <w:rsid w:val="37803B1C"/>
    <w:rsid w:val="38C8012F"/>
    <w:rsid w:val="3A2401A7"/>
    <w:rsid w:val="3D49138C"/>
    <w:rsid w:val="3D944887"/>
    <w:rsid w:val="3E784BC4"/>
    <w:rsid w:val="3FDA6DFA"/>
    <w:rsid w:val="403C4D98"/>
    <w:rsid w:val="40912A54"/>
    <w:rsid w:val="43C75B46"/>
    <w:rsid w:val="443F0F38"/>
    <w:rsid w:val="45E23EF2"/>
    <w:rsid w:val="46C23847"/>
    <w:rsid w:val="47E03E09"/>
    <w:rsid w:val="4A501161"/>
    <w:rsid w:val="4F8773E2"/>
    <w:rsid w:val="51A642FD"/>
    <w:rsid w:val="5247484F"/>
    <w:rsid w:val="527F25A9"/>
    <w:rsid w:val="53557B7F"/>
    <w:rsid w:val="53DC3C91"/>
    <w:rsid w:val="54054391"/>
    <w:rsid w:val="57D46814"/>
    <w:rsid w:val="5ADA2A63"/>
    <w:rsid w:val="5CE96CA3"/>
    <w:rsid w:val="5F3F6F06"/>
    <w:rsid w:val="60BE2601"/>
    <w:rsid w:val="640937A2"/>
    <w:rsid w:val="65477E12"/>
    <w:rsid w:val="6645159B"/>
    <w:rsid w:val="67C35397"/>
    <w:rsid w:val="687D3F35"/>
    <w:rsid w:val="68BC261B"/>
    <w:rsid w:val="69C6599F"/>
    <w:rsid w:val="6C11001F"/>
    <w:rsid w:val="6DD0183E"/>
    <w:rsid w:val="702E2A47"/>
    <w:rsid w:val="70F125FD"/>
    <w:rsid w:val="71687B38"/>
    <w:rsid w:val="74E75791"/>
    <w:rsid w:val="76B8208C"/>
    <w:rsid w:val="773D531D"/>
    <w:rsid w:val="7978067C"/>
    <w:rsid w:val="7A7301C5"/>
    <w:rsid w:val="7A9D3752"/>
    <w:rsid w:val="7BB76E70"/>
    <w:rsid w:val="7C31205F"/>
    <w:rsid w:val="7DFC74E5"/>
    <w:rsid w:val="7F191D36"/>
    <w:rsid w:val="7F38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99" w:semiHidden="0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Times New Roman" w:hAnsi="Times New Roman" w:eastAsia="宋体" w:cs="Times New Roman"/>
      <w:kern w:val="1"/>
      <w:sz w:val="21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line="360" w:lineRule="auto"/>
      <w:outlineLvl w:val="0"/>
    </w:pPr>
    <w:rPr>
      <w:b/>
      <w:bCs/>
      <w:kern w:val="44"/>
      <w:sz w:val="32"/>
      <w:szCs w:val="32"/>
    </w:rPr>
  </w:style>
  <w:style w:type="character" w:default="1" w:styleId="8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Normal Indent"/>
    <w:basedOn w:val="1"/>
    <w:qFormat/>
    <w:uiPriority w:val="99"/>
    <w:pPr>
      <w:ind w:firstLine="420" w:firstLineChars="200"/>
    </w:pPr>
  </w:style>
  <w:style w:type="paragraph" w:styleId="5">
    <w:name w:val="footer"/>
    <w:basedOn w:val="1"/>
    <w:link w:val="12"/>
    <w:qFormat/>
    <w:uiPriority w:val="99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99"/>
    <w:pPr>
      <w:pBdr>
        <w:top w:val="none" w:color="000000" w:sz="0" w:space="3"/>
        <w:left w:val="none" w:color="000000" w:sz="0" w:space="3"/>
        <w:bottom w:val="single" w:color="000000" w:sz="6" w:space="1"/>
        <w:right w:val="none" w:color="000000" w:sz="0" w:space="3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12">
    <w:name w:val="页脚 字符"/>
    <w:basedOn w:val="8"/>
    <w:link w:val="5"/>
    <w:qFormat/>
    <w:locked/>
    <w:uiPriority w:val="99"/>
    <w:rPr>
      <w:rFonts w:cs="Times New Roman"/>
      <w:sz w:val="18"/>
    </w:rPr>
  </w:style>
  <w:style w:type="character" w:customStyle="1" w:styleId="13">
    <w:name w:val="页眉 字符"/>
    <w:basedOn w:val="8"/>
    <w:link w:val="6"/>
    <w:qFormat/>
    <w:locked/>
    <w:uiPriority w:val="99"/>
    <w:rPr>
      <w:rFonts w:cs="Times New Roman"/>
      <w:sz w:val="18"/>
    </w:rPr>
  </w:style>
  <w:style w:type="paragraph" w:customStyle="1" w:styleId="14">
    <w:name w:val="样式 正文缩进s4标题4表正文正文非缩进图标题段1Body Text(ch)缩进ALT+Z特点四号正文不..."/>
    <w:basedOn w:val="4"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pacing w:line="360" w:lineRule="auto"/>
      <w:ind w:firstLine="472" w:firstLineChars="0"/>
      <w:outlineLvl w:val="4"/>
    </w:pPr>
    <w:rPr>
      <w:rFonts w:ascii="宋体" w:hAnsi="宋体" w:cs="宋体"/>
      <w:color w:val="000000"/>
      <w:spacing w:val="-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166</Words>
  <Characters>952</Characters>
  <Lines>7</Lines>
  <Paragraphs>2</Paragraphs>
  <ScaleCrop>false</ScaleCrop>
  <LinksUpToDate>false</LinksUpToDate>
  <CharactersWithSpaces>1116</CharactersWithSpaces>
  <Application>WPS Office_10.8.0.6379_F1E327BC-269C-435d-A152-05C5408002CA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2016-09-27T03:06:00Z</dcterms:created>
  <dc:creator>Administrator</dc:creator>
  <cp:lastModifiedBy>未定义</cp:lastModifiedBy>
  <cp:lastPrinted>2019-11-26T08:10:00Z</cp:lastPrinted>
  <dcterms:modified xsi:type="dcterms:W3CDTF">2020-02-03T02:25:43Z</dcterms:modified>
  <dc:title>许环辐审〔2015〕1号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2052-10.8.0.6379</vt:lpwstr>
  </property>
  <property fmtid="{D5CDD505-2E9C-101B-9397-08002B2CF9AE}" pid="3" name="KSORubyTemplateID" linkTarget="0">
    <vt:lpwstr>6</vt:lpwstr>
  </property>
</Properties>
</file>