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许环辐审〔2020〕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sz w:val="32"/>
          <w:szCs w:val="32"/>
        </w:rPr>
        <w:t xml:space="preserve"> 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bookmarkStart w:id="0" w:name="_Hlk29199783"/>
      <w:r>
        <w:rPr>
          <w:rFonts w:eastAsia="黑体"/>
          <w:sz w:val="44"/>
          <w:szCs w:val="44"/>
        </w:rPr>
        <w:t>许昌</w:t>
      </w:r>
      <w:r>
        <w:rPr>
          <w:rFonts w:hint="eastAsia" w:eastAsia="黑体"/>
          <w:sz w:val="44"/>
          <w:szCs w:val="44"/>
        </w:rPr>
        <w:t>襄城丁营</w:t>
      </w:r>
      <w:r>
        <w:rPr>
          <w:rFonts w:eastAsia="黑体"/>
          <w:sz w:val="44"/>
          <w:szCs w:val="44"/>
        </w:rPr>
        <w:t>110千伏输变电工程</w:t>
      </w:r>
      <w:bookmarkEnd w:id="0"/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914110000057479041）报送的《许昌</w:t>
      </w:r>
      <w:r>
        <w:rPr>
          <w:rFonts w:hint="eastAsia" w:eastAsia="仿宋"/>
          <w:sz w:val="32"/>
          <w:szCs w:val="32"/>
        </w:rPr>
        <w:t>襄城丁营</w:t>
      </w:r>
      <w:r>
        <w:rPr>
          <w:rFonts w:eastAsia="仿宋"/>
          <w:sz w:val="32"/>
          <w:szCs w:val="32"/>
        </w:rPr>
        <w:t>110千伏输变电工程建设项目环境影响报告表》（报批版，以下简称《报告表》）收悉，该项目环评审批事项已在我局网站公示期满。经认真研究，批复如下：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</w:t>
      </w:r>
      <w:r>
        <w:rPr>
          <w:rFonts w:hint="eastAsia" w:eastAsia="仿宋"/>
          <w:sz w:val="32"/>
          <w:szCs w:val="32"/>
        </w:rPr>
        <w:t>市襄城县</w:t>
      </w:r>
      <w:r>
        <w:rPr>
          <w:rFonts w:eastAsia="仿宋"/>
          <w:sz w:val="32"/>
          <w:szCs w:val="32"/>
        </w:rPr>
        <w:t>境内。工程总投资3437万元，其中环境保护投资20万元。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（一）新建110kV丁营变电站：站址位于襄城县丁营乡政府北侧，变电站总占地面积4920m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，主变及110kV配电装置均户外布置。规划主变容量3×50MVA，110kV出线4回；本期建设2#主变容量1×50MVA，110kV出线2回。本期建设在原35kV丁营变内进行，不新增占地。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（二）新建乾明~丁营110kV线路工程：新建线路起于220kV乾明变，止于110kV丁营变，线路全长9.6km，其中同塔双回（双侧挂线）9.4km，同塔双回（单侧挂线，一回备用）0.2km。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（三）间隔扩建工程：本期乾明220千伏变电站扩建110kV出线间隔2个，在站内进行，不新增占地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</w:t>
      </w:r>
      <w:r>
        <w:rPr>
          <w:rFonts w:hint="eastAsia" w:eastAsia="仿宋"/>
          <w:sz w:val="32"/>
          <w:szCs w:val="32"/>
          <w:lang w:eastAsia="zh-CN"/>
        </w:rPr>
        <w:t>、线路两侧噪声应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(GB12348-2008)厂界外2类声环境功能区厂界环境环境噪声排放限值，防止噪声扰民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线路与公路、铁路、电力线等交叉跨越时应按规范要求留有足够的净空距离；线路经过林地时应采取较小塔型、高塔跨越及加大铁塔档距等措施，选择影响较小区域通过，以减少占地和林木砍伐，防止破坏生态环境和景观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（六）加强施工前的环境保护工作，落实各项生态保护和污染防治措施。采取有效防尘、降噪措施，不得施工扰民。项目建成后，应及时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</w:t>
      </w:r>
      <w:r>
        <w:rPr>
          <w:rFonts w:eastAsia="仿宋"/>
          <w:color w:val="auto"/>
          <w:sz w:val="32"/>
          <w:szCs w:val="32"/>
        </w:rPr>
        <w:t>年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2</w:t>
      </w:r>
      <w:r>
        <w:rPr>
          <w:rFonts w:eastAsia="仿宋"/>
          <w:color w:val="auto"/>
          <w:sz w:val="32"/>
          <w:szCs w:val="32"/>
        </w:rPr>
        <w:t>月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3</w:t>
      </w:r>
      <w:r>
        <w:rPr>
          <w:rFonts w:eastAsia="仿宋"/>
          <w:color w:val="auto"/>
          <w:sz w:val="32"/>
          <w:szCs w:val="32"/>
        </w:rPr>
        <w:t>日</w:t>
      </w: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  <w:bookmarkStart w:id="1" w:name="_GoBack"/>
      <w:bookmarkEnd w:id="1"/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生态环境局襄城分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564EC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003C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67210"/>
    <w:rsid w:val="00F97B33"/>
    <w:rsid w:val="00FB0DFD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C882D40"/>
    <w:rsid w:val="0D09410E"/>
    <w:rsid w:val="0E636F69"/>
    <w:rsid w:val="0E823CC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11C4D22"/>
    <w:rsid w:val="251A57A0"/>
    <w:rsid w:val="25C96FBD"/>
    <w:rsid w:val="26A53152"/>
    <w:rsid w:val="27177161"/>
    <w:rsid w:val="289E0881"/>
    <w:rsid w:val="28D65AAF"/>
    <w:rsid w:val="2A821ED1"/>
    <w:rsid w:val="2B4E7E07"/>
    <w:rsid w:val="2B9B7698"/>
    <w:rsid w:val="2C0D3A63"/>
    <w:rsid w:val="2CAD252B"/>
    <w:rsid w:val="2CF12AEB"/>
    <w:rsid w:val="2DD909BA"/>
    <w:rsid w:val="2E0919EE"/>
    <w:rsid w:val="332029EE"/>
    <w:rsid w:val="34DE34D6"/>
    <w:rsid w:val="3602584C"/>
    <w:rsid w:val="36CC6667"/>
    <w:rsid w:val="37803B1C"/>
    <w:rsid w:val="3A2401A7"/>
    <w:rsid w:val="3D49138C"/>
    <w:rsid w:val="3D944887"/>
    <w:rsid w:val="3FDA6DFA"/>
    <w:rsid w:val="403C4D98"/>
    <w:rsid w:val="40912A54"/>
    <w:rsid w:val="43C75B46"/>
    <w:rsid w:val="443F0F38"/>
    <w:rsid w:val="45E23EF2"/>
    <w:rsid w:val="47E03E09"/>
    <w:rsid w:val="4A501161"/>
    <w:rsid w:val="4F8773E2"/>
    <w:rsid w:val="516B1FFD"/>
    <w:rsid w:val="51A642FD"/>
    <w:rsid w:val="5247484F"/>
    <w:rsid w:val="527F25A9"/>
    <w:rsid w:val="53557B7F"/>
    <w:rsid w:val="53DC3C91"/>
    <w:rsid w:val="54054391"/>
    <w:rsid w:val="57D46814"/>
    <w:rsid w:val="5917515B"/>
    <w:rsid w:val="5ADA2A63"/>
    <w:rsid w:val="5CE96CA3"/>
    <w:rsid w:val="5F2A4CE8"/>
    <w:rsid w:val="5F3F6F06"/>
    <w:rsid w:val="60BE2601"/>
    <w:rsid w:val="640937A2"/>
    <w:rsid w:val="64546AD9"/>
    <w:rsid w:val="65477E12"/>
    <w:rsid w:val="67C35397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A7301C5"/>
    <w:rsid w:val="7A9D3752"/>
    <w:rsid w:val="7B0A1C1B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1175</Characters>
  <Lines>9</Lines>
  <Paragraphs>2</Paragraphs>
  <ScaleCrop>false</ScaleCrop>
  <LinksUpToDate>false</LinksUpToDate>
  <CharactersWithSpaces>1379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2020-02-03T02:26:34Z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