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许昌许继晶锐科技有限公司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61616"/>
          <w:sz w:val="32"/>
          <w:szCs w:val="32"/>
        </w:rPr>
        <w:t>许昌许继晶锐科技有限公司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color w:val="161616"/>
          <w:sz w:val="32"/>
          <w:szCs w:val="32"/>
        </w:rPr>
        <w:t>许昌许继晶锐科技有限公司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，名称变更为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河南晶锐冷却技术股份有限公司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河南省许昌市经济技术开发区金龙街1666号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经济技术开展区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3D401C"/>
    <w:rsid w:val="4D91594D"/>
    <w:rsid w:val="4E6E42BE"/>
    <w:rsid w:val="4F443D22"/>
    <w:rsid w:val="528674F1"/>
    <w:rsid w:val="539D2834"/>
    <w:rsid w:val="54B151F2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2020-03-24T00:34:00Z</cp:lastPrinted>
  <dcterms:modified xsi:type="dcterms:W3CDTF">2020-06-29T09:00:44Z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