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color w:val="161616"/>
          <w:sz w:val="44"/>
          <w:szCs w:val="44"/>
        </w:rPr>
        <w:t>禹州市浅井镇中心卫生院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61616"/>
          <w:sz w:val="32"/>
          <w:szCs w:val="32"/>
        </w:rPr>
        <w:t>禹州市浅井镇中心卫生院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color w:val="161616"/>
          <w:sz w:val="32"/>
          <w:szCs w:val="32"/>
        </w:rPr>
        <w:t>禹州市浅井镇中心卫生院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，法定代表人变更为杨占岭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河南省许昌市</w:t>
      </w:r>
      <w:r>
        <w:rPr>
          <w:rFonts w:hint="eastAsia" w:ascii="仿宋" w:hAnsi="仿宋" w:eastAsia="仿宋" w:cs="仿宋"/>
          <w:color w:val="161616"/>
          <w:sz w:val="32"/>
          <w:szCs w:val="32"/>
        </w:rPr>
        <w:t>禹州市浅井乡浅井村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174F27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2020-06-29T09:45:01Z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