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</w:rPr>
      </w:pPr>
      <w:r>
        <w:rPr>
          <w:rFonts w:hint="eastAsia" w:ascii="仿宋" w:hAnsi="仿宋" w:eastAsia="仿宋"/>
          <w:sz w:val="31"/>
        </w:rPr>
        <w:t>审批意见</w:t>
      </w:r>
      <w:r>
        <w:rPr>
          <w:rFonts w:ascii="仿宋" w:hAnsi="仿宋" w:eastAsia="仿宋"/>
          <w:sz w:val="31"/>
        </w:rPr>
        <w:t xml:space="preserve">：                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  <w:r>
        <w:rPr>
          <w:rFonts w:ascii="仿宋" w:hAnsi="仿宋" w:eastAsia="仿宋"/>
          <w:sz w:val="31"/>
        </w:rPr>
        <w:t xml:space="preserve">              </w:t>
      </w:r>
      <w:r>
        <w:rPr>
          <w:rFonts w:hint="eastAsia" w:ascii="仿宋" w:hAnsi="仿宋" w:eastAsia="仿宋"/>
          <w:sz w:val="31"/>
        </w:rPr>
        <w:t xml:space="preserve">            </w:t>
      </w:r>
      <w:r>
        <w:rPr>
          <w:rFonts w:ascii="仿宋" w:hAnsi="仿宋" w:eastAsia="仿宋"/>
          <w:sz w:val="31"/>
        </w:rPr>
        <w:t>许环辐审〔201</w:t>
      </w:r>
      <w:r>
        <w:rPr>
          <w:rFonts w:hint="eastAsia" w:ascii="仿宋" w:hAnsi="仿宋" w:eastAsia="仿宋"/>
          <w:sz w:val="31"/>
          <w:lang w:val="en-US" w:eastAsia="zh-CN"/>
        </w:rPr>
        <w:t>9</w:t>
      </w:r>
      <w:r>
        <w:rPr>
          <w:rFonts w:ascii="仿宋" w:hAnsi="仿宋" w:eastAsia="仿宋"/>
          <w:sz w:val="31"/>
        </w:rPr>
        <w:t>〕</w:t>
      </w:r>
      <w:r>
        <w:rPr>
          <w:rFonts w:hint="eastAsia" w:ascii="仿宋" w:hAnsi="仿宋" w:eastAsia="仿宋"/>
          <w:sz w:val="31"/>
          <w:lang w:val="en-US" w:eastAsia="zh-CN"/>
        </w:rPr>
        <w:t>6</w:t>
      </w:r>
      <w:r>
        <w:rPr>
          <w:rFonts w:ascii="仿宋" w:hAnsi="仿宋" w:eastAsia="仿宋"/>
          <w:sz w:val="31"/>
        </w:rPr>
        <w:t>号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</w:p>
    <w:p>
      <w:pPr>
        <w:snapToGrid w:val="0"/>
        <w:spacing w:line="500" w:lineRule="exact"/>
        <w:jc w:val="center"/>
        <w:textAlignment w:val="baseline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关于许昌市中医院数字减影血管造影机</w:t>
      </w:r>
    </w:p>
    <w:p>
      <w:pPr>
        <w:snapToGrid w:val="0"/>
        <w:spacing w:line="500" w:lineRule="exact"/>
        <w:jc w:val="center"/>
        <w:textAlignment w:val="baseline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应用项目环境影响报告表的批复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1"/>
        </w:rPr>
      </w:pPr>
      <w:r>
        <w:rPr>
          <w:rFonts w:ascii="仿宋" w:hAnsi="仿宋" w:eastAsia="仿宋"/>
          <w:sz w:val="31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许昌市中医院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你公司报送的《许昌市中医院数字减影血管造影机应用项目环境影响报告表》（以下简称《报告表》）收悉，经认真研究，批复如下：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一、原则批准由河南可人科技有限公司编制的该项目《报告表》，建设单位应据此认真落实环保投资和各项污染防治措施。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二、审批内容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（一）种类和范围：使用Ⅱ类射线装置。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（二）项目内容：项目建设地点位于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许昌市魏都区前进路19号</w:t>
      </w:r>
      <w:r>
        <w:rPr>
          <w:rFonts w:hint="eastAsia" w:ascii="仿宋" w:hAnsi="仿宋" w:eastAsia="仿宋"/>
          <w:sz w:val="32"/>
          <w:szCs w:val="32"/>
        </w:rPr>
        <w:t>。拟购Ⅱ类射线装置数字减影血管造影装置1台（最大管电压125kV，最大管电流1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0mA），机房位于</w:t>
      </w:r>
      <w:r>
        <w:rPr>
          <w:rFonts w:hint="eastAsia" w:ascii="仿宋_GB2312" w:hAnsi="宋体" w:eastAsia="仿宋_GB2312"/>
          <w:sz w:val="32"/>
          <w:szCs w:val="32"/>
        </w:rPr>
        <w:t>许昌市中医院</w:t>
      </w:r>
      <w:r>
        <w:rPr>
          <w:rFonts w:hint="eastAsia" w:ascii="仿宋" w:hAnsi="仿宋" w:eastAsia="仿宋"/>
          <w:sz w:val="32"/>
          <w:szCs w:val="32"/>
          <w:lang w:eastAsia="zh-CN"/>
        </w:rPr>
        <w:t>门诊楼6楼介入手术室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三、你单位应在项目建成后30日内向社会公众主动公开本项目环评及许可情况，并接受相关方的咨询。同时，应将经批准的《报告表》报送当地市、县（区）环保部门，并接受监督管理。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（一）你单位应将《报告表》中各项污染防治措施落实到工程建设中，切实加强施工监督管理，确保项目的工程建设质量。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（二）你单位应设置辐射环境安全专（兼）职管理人员，建立并落实辐射防护、环境安全管理、事故预防、应急处理等规章制度。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（三）辐射工作场所须设置明显的电离辐射标志和中文警示说明。配备相应辐射监测仪器，定期对辐射工作场所及周围环境进行辐射监测，监测记录长期保存。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（四）射线装置安装、调试、使用时，应由专业技术人员操作。操作人员必须经辐射安全和防护知识培训合格后上岗，并定期进行个人剂量监测，建立和完善个人剂量档案。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（五）按时组织开展辐射安全与防护状况年度评估工作，发现安全隐患的，应立即进行整改，年度评估报告每年1月31日前报送我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，同时抄送当地环保部门。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（六）按规定重新申领《辐射安全许可证》，并报告当地环保部门。取得《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辐射安全许可证》后，该项目方可投入运行。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魏都区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  <w:sz w:val="31"/>
        </w:rPr>
      </w:pPr>
    </w:p>
    <w:p>
      <w:pPr>
        <w:snapToGrid w:val="0"/>
        <w:spacing w:line="500" w:lineRule="exact"/>
        <w:ind w:firstLine="620" w:firstLineChars="200"/>
        <w:jc w:val="left"/>
        <w:textAlignment w:val="baseline"/>
      </w:pPr>
      <w:r>
        <w:rPr>
          <w:rFonts w:hint="eastAsia" w:ascii="仿宋" w:hAnsi="仿宋" w:eastAsia="仿宋"/>
          <w:sz w:val="31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B"/>
    <w:rsid w:val="00240FDA"/>
    <w:rsid w:val="00302CF7"/>
    <w:rsid w:val="003704F2"/>
    <w:rsid w:val="004563BE"/>
    <w:rsid w:val="004A6491"/>
    <w:rsid w:val="004D25AB"/>
    <w:rsid w:val="00825AD9"/>
    <w:rsid w:val="008E777A"/>
    <w:rsid w:val="00A02E26"/>
    <w:rsid w:val="00E41289"/>
    <w:rsid w:val="0B434ADF"/>
    <w:rsid w:val="0BD255C0"/>
    <w:rsid w:val="2839695F"/>
    <w:rsid w:val="2B877192"/>
    <w:rsid w:val="38885EBE"/>
    <w:rsid w:val="43875B36"/>
    <w:rsid w:val="46DE691C"/>
    <w:rsid w:val="49EC2830"/>
    <w:rsid w:val="4AAA4170"/>
    <w:rsid w:val="51214160"/>
    <w:rsid w:val="66787F01"/>
    <w:rsid w:val="66F040D1"/>
    <w:rsid w:val="69BA00B0"/>
    <w:rsid w:val="78D20E8E"/>
    <w:rsid w:val="7B6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line="1439" w:lineRule="atLeast"/>
    </w:pPr>
    <w:rPr>
      <w:rFonts w:ascii="Times New Roman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2016-05-19T07:34:00Z</dcterms:created>
  <dc:creator>IT天空</dc:creator>
  <cp:lastModifiedBy>蒋金杰</cp:lastModifiedBy>
  <dcterms:modified xsi:type="dcterms:W3CDTF">2019-01-15T09:38:29Z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