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许环建审〔20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许昌市生态环境局</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z w:val="44"/>
          <w:szCs w:val="44"/>
        </w:rPr>
        <w:t>关于许昌</w:t>
      </w:r>
      <w:r>
        <w:rPr>
          <w:rFonts w:hint="eastAsia" w:ascii="方正小标宋简体" w:hAnsi="方正小标宋简体" w:eastAsia="方正小标宋简体" w:cs="方正小标宋简体"/>
          <w:b/>
          <w:sz w:val="44"/>
          <w:szCs w:val="44"/>
          <w:lang w:val="en-US" w:eastAsia="zh-CN"/>
        </w:rPr>
        <w:t>兴林实业有限公司年产180万条假发制品生产线</w:t>
      </w:r>
      <w:r>
        <w:rPr>
          <w:rFonts w:hint="eastAsia" w:ascii="方正小标宋简体" w:hAnsi="方正小标宋简体" w:eastAsia="方正小标宋简体" w:cs="方正小标宋简体"/>
          <w:b/>
          <w:sz w:val="44"/>
          <w:szCs w:val="44"/>
        </w:rPr>
        <w:t>项目环境影响报告表的批复</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许昌</w:t>
      </w:r>
      <w:r>
        <w:rPr>
          <w:rFonts w:hint="eastAsia" w:ascii="仿宋_GB2312" w:hAnsi="仿宋_GB2312" w:eastAsia="仿宋_GB2312" w:cs="仿宋_GB2312"/>
          <w:sz w:val="32"/>
          <w:szCs w:val="32"/>
          <w:lang w:val="en-US" w:eastAsia="zh-CN"/>
        </w:rPr>
        <w:t>兴林实业有限公司</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你公司（统一社会信用代码：</w:t>
      </w:r>
      <w:r>
        <w:rPr>
          <w:rFonts w:hint="eastAsia" w:ascii="仿宋_GB2312" w:hAnsi="仿宋_GB2312" w:eastAsia="仿宋_GB2312" w:cs="仿宋_GB2312"/>
          <w:sz w:val="32"/>
          <w:szCs w:val="32"/>
          <w:lang w:val="en-US" w:eastAsia="zh-CN"/>
        </w:rPr>
        <w:t>91411023MA47HM7083</w:t>
      </w:r>
      <w:r>
        <w:rPr>
          <w:rFonts w:hint="eastAsia" w:ascii="仿宋_GB2312" w:hAnsi="仿宋_GB2312" w:eastAsia="仿宋_GB2312" w:cs="仿宋_GB2312"/>
          <w:sz w:val="32"/>
          <w:szCs w:val="32"/>
        </w:rPr>
        <w:t>）上报的由</w:t>
      </w:r>
      <w:r>
        <w:rPr>
          <w:rFonts w:hint="eastAsia" w:ascii="仿宋_GB2312" w:hAnsi="仿宋_GB2312" w:eastAsia="仿宋_GB2312" w:cs="仿宋_GB2312"/>
          <w:sz w:val="32"/>
          <w:szCs w:val="32"/>
          <w:lang w:val="en-US" w:eastAsia="zh-CN"/>
        </w:rPr>
        <w:t>江苏圣泰环境科技股份</w:t>
      </w:r>
      <w:r>
        <w:rPr>
          <w:rFonts w:hint="eastAsia" w:ascii="仿宋_GB2312" w:hAnsi="仿宋_GB2312" w:eastAsia="仿宋_GB2312" w:cs="仿宋_GB2312"/>
          <w:sz w:val="32"/>
          <w:szCs w:val="32"/>
        </w:rPr>
        <w:t>有限公司编制完成的《许昌</w:t>
      </w:r>
      <w:r>
        <w:rPr>
          <w:rFonts w:hint="eastAsia" w:ascii="仿宋_GB2312" w:hAnsi="仿宋_GB2312" w:eastAsia="仿宋_GB2312" w:cs="仿宋_GB2312"/>
          <w:sz w:val="32"/>
          <w:szCs w:val="32"/>
          <w:lang w:val="en-US" w:eastAsia="zh-CN"/>
        </w:rPr>
        <w:t>兴林实业有限公司年产180万条假发制品生产线</w:t>
      </w:r>
      <w:r>
        <w:rPr>
          <w:rFonts w:hint="eastAsia" w:ascii="仿宋_GB2312" w:hAnsi="仿宋_GB2312" w:eastAsia="仿宋_GB2312" w:cs="仿宋_GB2312"/>
          <w:sz w:val="32"/>
          <w:szCs w:val="32"/>
        </w:rPr>
        <w:t>项目环境影响报告表（报批版）》（以下简称《报告表》）</w:t>
      </w:r>
      <w:r>
        <w:rPr>
          <w:rFonts w:hint="eastAsia" w:ascii="仿宋_GB2312" w:hAnsi="仿宋_GB2312" w:eastAsia="仿宋_GB2312" w:cs="仿宋_GB2312"/>
          <w:sz w:val="32"/>
          <w:szCs w:val="32"/>
          <w:lang w:val="en-US" w:eastAsia="zh-CN"/>
        </w:rPr>
        <w:t>已</w:t>
      </w:r>
      <w:r>
        <w:rPr>
          <w:rFonts w:hint="eastAsia" w:ascii="仿宋_GB2312" w:hAnsi="仿宋_GB2312" w:eastAsia="仿宋_GB2312" w:cs="仿宋_GB2312"/>
          <w:sz w:val="32"/>
          <w:szCs w:val="32"/>
        </w:rPr>
        <w:t>收悉，并已在我局网站公示期满。根据《中华人民共和国环境保护法》《中华人民共和国行政许可法》《中华人民共和国环境影响评价法》《建设项目环境保护管理条例》等法律法规规定，经研究，批复如下：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表》内容符合国家有关法律法规要求和建设项目环境管理规定，评价结论可信。我局批准该《报告表》，原则同意你公司按照《报告表》所列项目的性质、规模、地点、采用的生产工艺和环境保护对策进行项目建设。你公司应按照《关于印发建设项目环境影响评价信息公开机制方案的通知》（环发〔2015〕162号）要求，主动公开业经批准的《报告表》，做好建设项目环境信息公开工作，并接受相关方的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rPr>
      </w:pPr>
      <w:r>
        <w:rPr>
          <w:rFonts w:hint="eastAsia" w:ascii="仿宋" w:hAnsi="仿宋" w:eastAsia="仿宋" w:cs="仿宋"/>
          <w:sz w:val="32"/>
          <w:szCs w:val="32"/>
        </w:rPr>
        <w:t>二、项目位于</w:t>
      </w:r>
      <w:r>
        <w:rPr>
          <w:rFonts w:hint="eastAsia" w:ascii="Times New Roman" w:hAnsi="Times New Roman" w:eastAsia="仿宋" w:cs="Times New Roman"/>
          <w:color w:val="auto"/>
          <w:sz w:val="32"/>
          <w:szCs w:val="32"/>
          <w:lang w:val="en-US" w:eastAsia="zh-CN"/>
        </w:rPr>
        <w:t>许昌经济技术开发区开元路，主要工艺为梳理、打发机制、定型、后处理、烘干</w:t>
      </w:r>
      <w:r>
        <w:rPr>
          <w:rFonts w:hint="eastAsia" w:ascii="仿宋" w:hAnsi="仿宋" w:eastAsia="仿宋" w:cs="仿宋"/>
          <w:sz w:val="32"/>
          <w:szCs w:val="32"/>
        </w:rPr>
        <w:t>。</w:t>
      </w:r>
      <w:r>
        <w:rPr>
          <w:rFonts w:hint="eastAsia" w:ascii="仿宋" w:hAnsi="仿宋" w:eastAsia="仿宋" w:cs="仿宋"/>
          <w:sz w:val="32"/>
          <w:szCs w:val="32"/>
          <w:lang w:val="en-US" w:eastAsia="zh-CN"/>
        </w:rPr>
        <w:t>项目不得从事过酸、漂洗、染色工序。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三、你公司应全面落实《报告表》提出的各项环境保护措施，确保各项环境保护设施与主体工程同时设计、同时施工、同时投入使用，确保各项污染物达标排放。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向设计单位提供《报告表》和本批复文件，确保项目设计按照环境保护设计规范要求，落实防治环境污染和生态破坏的措施以及环保设施投资概算。依据《报告表》和本批复文件，对项目建设过程中产生的废水、废气、固体废物、噪声等污染采取相应的防治措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项目外排污染物应满足以下要求：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仿宋"/>
          <w:color w:val="auto"/>
          <w:sz w:val="32"/>
          <w:szCs w:val="32"/>
        </w:rPr>
      </w:pPr>
      <w:r>
        <w:rPr>
          <w:rFonts w:hint="eastAsia" w:ascii="仿宋_GB2312" w:hAnsi="仿宋_GB2312" w:eastAsia="仿宋_GB2312" w:cs="仿宋_GB2312"/>
          <w:color w:val="000000"/>
          <w:sz w:val="32"/>
          <w:szCs w:val="32"/>
        </w:rPr>
        <w:t>1、废水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生产废水经密闭调节池+一体化污水处理设备（A/O工艺）+砂率器处理后排入屯南三达水务有限公司，污染物排放需满足《污水综合排放标准》（GB8978-1996）三级标准及屯南三达水务有限公司收水指标要求。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2、废气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本项目废气</w:t>
      </w:r>
      <w:r>
        <w:rPr>
          <w:rFonts w:hint="eastAsia" w:ascii="仿宋_GB2312" w:hAnsi="仿宋_GB2312" w:eastAsia="仿宋_GB2312" w:cs="仿宋_GB2312"/>
          <w:color w:val="000000"/>
          <w:sz w:val="32"/>
          <w:szCs w:val="32"/>
          <w:lang w:val="en-US" w:eastAsia="zh-CN"/>
        </w:rPr>
        <w:t>主要为机制工序中帘子胶产生的有机废气。</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val="en-US" w:eastAsia="zh-CN"/>
        </w:rPr>
        <w:t>将三联机设置在密闭车间内，并在三联机上方设置集气罩</w:t>
      </w:r>
      <w:r>
        <w:rPr>
          <w:rFonts w:hint="eastAsia" w:ascii="仿宋_GB2312" w:hAnsi="仿宋_GB2312" w:eastAsia="仿宋_GB2312" w:cs="仿宋_GB2312"/>
          <w:color w:val="000000"/>
          <w:sz w:val="32"/>
          <w:szCs w:val="32"/>
        </w:rPr>
        <w:t>，收集后</w:t>
      </w:r>
      <w:r>
        <w:rPr>
          <w:rFonts w:hint="eastAsia" w:ascii="仿宋_GB2312" w:hAnsi="仿宋_GB2312" w:eastAsia="仿宋_GB2312" w:cs="仿宋_GB2312"/>
          <w:color w:val="000000"/>
          <w:sz w:val="32"/>
          <w:szCs w:val="32"/>
          <w:lang w:val="en-US" w:eastAsia="zh-CN"/>
        </w:rPr>
        <w:t>的废气通过UV光解催化+活性炭吸附</w:t>
      </w:r>
      <w:r>
        <w:rPr>
          <w:rFonts w:hint="eastAsia" w:ascii="仿宋_GB2312" w:hAnsi="仿宋_GB2312" w:eastAsia="仿宋_GB2312" w:cs="仿宋_GB2312"/>
          <w:color w:val="000000"/>
          <w:sz w:val="32"/>
          <w:szCs w:val="32"/>
        </w:rPr>
        <w:t>处理后经15m高排气筒排放。</w:t>
      </w:r>
      <w:r>
        <w:rPr>
          <w:rFonts w:hint="eastAsia" w:ascii="仿宋_GB2312" w:hAnsi="仿宋_GB2312" w:eastAsia="仿宋_GB2312" w:cs="仿宋_GB2312"/>
          <w:color w:val="000000"/>
          <w:sz w:val="32"/>
          <w:szCs w:val="32"/>
          <w:lang w:val="en-US" w:eastAsia="zh-CN"/>
        </w:rPr>
        <w:t>非甲烷总烃排放浓度应满足</w:t>
      </w:r>
      <w:r>
        <w:rPr>
          <w:rFonts w:hint="eastAsia" w:ascii="Times New Roman" w:hAnsi="Times New Roman" w:eastAsia="仿宋"/>
          <w:color w:val="auto"/>
          <w:sz w:val="32"/>
          <w:szCs w:val="32"/>
          <w:lang w:val="en-US" w:eastAsia="zh-CN"/>
        </w:rPr>
        <w:t>《关于全省开展工业企业挥发性有机物专项治理工作中排放建议值的通知》（豫环攻坚办</w:t>
      </w:r>
      <w:r>
        <w:rPr>
          <w:rFonts w:hint="eastAsia" w:ascii="宋体" w:hAnsi="宋体" w:eastAsia="宋体" w:cs="宋体"/>
          <w:color w:val="auto"/>
          <w:sz w:val="32"/>
          <w:szCs w:val="32"/>
          <w:lang w:val="en-US" w:eastAsia="zh-CN"/>
        </w:rPr>
        <w:t>〔</w:t>
      </w:r>
      <w:r>
        <w:rPr>
          <w:rFonts w:hint="eastAsia" w:ascii="Times New Roman" w:hAnsi="Times New Roman" w:eastAsia="仿宋"/>
          <w:color w:val="auto"/>
          <w:sz w:val="32"/>
          <w:szCs w:val="32"/>
          <w:lang w:val="en-US" w:eastAsia="zh-CN"/>
        </w:rPr>
        <w:t>2017</w:t>
      </w:r>
      <w:r>
        <w:rPr>
          <w:rFonts w:hint="eastAsia" w:ascii="宋体" w:hAnsi="宋体" w:eastAsia="宋体" w:cs="宋体"/>
          <w:color w:val="auto"/>
          <w:sz w:val="32"/>
          <w:szCs w:val="32"/>
          <w:lang w:val="en-US" w:eastAsia="zh-CN"/>
        </w:rPr>
        <w:t>〕</w:t>
      </w:r>
      <w:r>
        <w:rPr>
          <w:rFonts w:hint="eastAsia" w:ascii="Times New Roman" w:hAnsi="Times New Roman" w:eastAsia="仿宋"/>
          <w:color w:val="auto"/>
          <w:sz w:val="32"/>
          <w:szCs w:val="32"/>
          <w:lang w:val="en-US" w:eastAsia="zh-CN"/>
        </w:rPr>
        <w:t>162号）（非甲烷总烃</w:t>
      </w:r>
      <w:r>
        <w:rPr>
          <w:rFonts w:hint="eastAsia" w:ascii="宋体" w:hAnsi="宋体" w:eastAsia="宋体" w:cs="宋体"/>
          <w:color w:val="auto"/>
          <w:sz w:val="32"/>
          <w:szCs w:val="32"/>
          <w:lang w:val="en-US" w:eastAsia="zh-CN"/>
        </w:rPr>
        <w:t>≤</w:t>
      </w:r>
      <w:r>
        <w:rPr>
          <w:rFonts w:hint="eastAsia" w:ascii="Times New Roman" w:hAnsi="Times New Roman" w:eastAsia="仿宋"/>
          <w:color w:val="auto"/>
          <w:sz w:val="32"/>
          <w:szCs w:val="32"/>
          <w:lang w:val="en-US" w:eastAsia="zh-CN"/>
        </w:rPr>
        <w:t>80mg/m</w:t>
      </w:r>
      <w:r>
        <w:rPr>
          <w:rFonts w:hint="eastAsia" w:ascii="Times New Roman" w:hAnsi="Times New Roman" w:eastAsia="仿宋"/>
          <w:color w:val="auto"/>
          <w:sz w:val="32"/>
          <w:szCs w:val="32"/>
          <w:vertAlign w:val="superscript"/>
          <w:lang w:val="en-US" w:eastAsia="zh-CN"/>
        </w:rPr>
        <w:t>3</w:t>
      </w:r>
      <w:r>
        <w:rPr>
          <w:rFonts w:hint="eastAsia" w:ascii="Times New Roman" w:hAnsi="Times New Roman" w:eastAsia="仿宋"/>
          <w:color w:val="auto"/>
          <w:sz w:val="32"/>
          <w:szCs w:val="32"/>
          <w:lang w:val="en-US" w:eastAsia="zh-CN"/>
        </w:rPr>
        <w:t>）的要求</w:t>
      </w:r>
      <w:r>
        <w:rPr>
          <w:rFonts w:hint="eastAsia" w:ascii="仿宋_GB2312" w:hAnsi="仿宋_GB2312" w:eastAsia="仿宋_GB2312" w:cs="仿宋_GB2312"/>
          <w:color w:val="000000"/>
          <w:sz w:val="32"/>
          <w:szCs w:val="32"/>
        </w:rPr>
        <w:t>。</w:t>
      </w:r>
    </w:p>
    <w:p>
      <w:pPr>
        <w:pStyle w:val="7"/>
        <w:keepNext w:val="0"/>
        <w:keepLines w:val="0"/>
        <w:pageBreakBefore w:val="0"/>
        <w:tabs>
          <w:tab w:val="left" w:pos="8598"/>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3、噪声。项目</w:t>
      </w:r>
      <w:r>
        <w:rPr>
          <w:rFonts w:hint="eastAsia" w:ascii="仿宋_GB2312" w:hAnsi="仿宋_GB2312" w:eastAsia="仿宋_GB2312" w:cs="仿宋_GB2312"/>
          <w:color w:val="000000"/>
          <w:sz w:val="32"/>
          <w:szCs w:val="32"/>
          <w:lang w:val="en-US" w:eastAsia="zh-CN"/>
        </w:rPr>
        <w:t>对三联机、高针机等高噪声设备采取隔音减振措施，噪声排放需</w:t>
      </w:r>
      <w:r>
        <w:rPr>
          <w:rFonts w:hint="eastAsia" w:ascii="仿宋_GB2312" w:hAnsi="仿宋_GB2312" w:eastAsia="仿宋_GB2312" w:cs="仿宋_GB2312"/>
          <w:color w:val="000000"/>
          <w:sz w:val="32"/>
          <w:szCs w:val="32"/>
        </w:rPr>
        <w:t>满足《工业企业厂界环境噪声排放标准》（GB12348-2008）2类标准要求。</w:t>
      </w:r>
    </w:p>
    <w:p>
      <w:pPr>
        <w:pStyle w:val="7"/>
        <w:keepNext w:val="0"/>
        <w:keepLines w:val="0"/>
        <w:pageBreakBefore w:val="0"/>
        <w:tabs>
          <w:tab w:val="left" w:pos="8598"/>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4、固废。项目固体废物主要为生活垃圾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碎发、废包装材料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废UV灯管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废活性炭。</w:t>
      </w:r>
      <w:r>
        <w:rPr>
          <w:rFonts w:hint="eastAsia" w:ascii="仿宋_GB2312" w:hAnsi="仿宋_GB2312" w:eastAsia="仿宋_GB2312" w:cs="仿宋_GB2312"/>
          <w:color w:val="000000"/>
          <w:sz w:val="32"/>
          <w:szCs w:val="32"/>
          <w:lang w:val="en-US" w:eastAsia="zh-CN"/>
        </w:rPr>
        <w:t>碎发收集后出售资源化利用，</w:t>
      </w:r>
      <w:r>
        <w:rPr>
          <w:rFonts w:hint="eastAsia" w:ascii="Times New Roman" w:hAnsi="Times New Roman" w:eastAsia="仿宋"/>
          <w:color w:val="auto"/>
          <w:sz w:val="32"/>
          <w:szCs w:val="32"/>
          <w:lang w:val="en-US" w:eastAsia="zh-CN"/>
        </w:rPr>
        <w:t>生活垃圾、废包装材料等一般固废</w:t>
      </w:r>
      <w:r>
        <w:rPr>
          <w:rFonts w:hint="eastAsia" w:ascii="Times New Roman" w:hAnsi="Times New Roman" w:eastAsia="仿宋"/>
          <w:color w:val="auto"/>
          <w:sz w:val="32"/>
          <w:szCs w:val="32"/>
        </w:rPr>
        <w:t>收集后</w:t>
      </w:r>
      <w:r>
        <w:rPr>
          <w:rFonts w:hint="eastAsia" w:ascii="Times New Roman" w:hAnsi="Times New Roman" w:eastAsia="仿宋"/>
          <w:color w:val="auto"/>
          <w:sz w:val="32"/>
          <w:szCs w:val="32"/>
          <w:lang w:val="en-US" w:eastAsia="zh-CN"/>
        </w:rPr>
        <w:t>由环卫部门</w:t>
      </w:r>
      <w:r>
        <w:rPr>
          <w:rFonts w:hint="eastAsia" w:ascii="Times New Roman" w:hAnsi="Times New Roman" w:eastAsia="仿宋"/>
          <w:color w:val="auto"/>
          <w:sz w:val="32"/>
          <w:szCs w:val="32"/>
        </w:rPr>
        <w:t>定期</w:t>
      </w:r>
      <w:r>
        <w:rPr>
          <w:rFonts w:hint="eastAsia" w:ascii="Times New Roman" w:hAnsi="Times New Roman" w:eastAsia="仿宋"/>
          <w:color w:val="auto"/>
          <w:sz w:val="32"/>
          <w:szCs w:val="32"/>
          <w:lang w:val="en-US" w:eastAsia="zh-CN"/>
        </w:rPr>
        <w:t>清运</w:t>
      </w:r>
      <w:r>
        <w:rPr>
          <w:rFonts w:hint="eastAsia" w:ascii="Times New Roman" w:hAnsi="Times New Roman" w:eastAsia="仿宋"/>
          <w:color w:val="auto"/>
          <w:sz w:val="32"/>
          <w:szCs w:val="32"/>
          <w:lang w:eastAsia="zh-CN"/>
        </w:rPr>
        <w:t>；废UV灯管、废活性炭、</w:t>
      </w:r>
      <w:r>
        <w:rPr>
          <w:rFonts w:hint="eastAsia" w:ascii="Times New Roman" w:hAnsi="Times New Roman" w:eastAsia="仿宋"/>
          <w:color w:val="auto"/>
          <w:sz w:val="32"/>
          <w:szCs w:val="32"/>
          <w:lang w:val="en-US" w:eastAsia="zh-CN"/>
        </w:rPr>
        <w:t>废帘子胶桶为危险废物，</w:t>
      </w:r>
      <w:r>
        <w:rPr>
          <w:rFonts w:hint="eastAsia" w:ascii="Times New Roman" w:hAnsi="Times New Roman" w:eastAsia="仿宋"/>
          <w:color w:val="auto"/>
          <w:sz w:val="32"/>
          <w:szCs w:val="32"/>
        </w:rPr>
        <w:t>收集后暂存于</w:t>
      </w:r>
      <w:r>
        <w:rPr>
          <w:rFonts w:hint="eastAsia" w:ascii="Times New Roman" w:hAnsi="Times New Roman" w:eastAsia="仿宋"/>
          <w:color w:val="auto"/>
          <w:sz w:val="32"/>
          <w:szCs w:val="32"/>
          <w:lang w:val="en-US" w:eastAsia="zh-CN"/>
        </w:rPr>
        <w:t>危险废物</w:t>
      </w:r>
      <w:r>
        <w:rPr>
          <w:rFonts w:ascii="Times New Roman" w:hAnsi="Times New Roman" w:eastAsia="仿宋"/>
          <w:color w:val="auto"/>
          <w:sz w:val="32"/>
          <w:szCs w:val="32"/>
        </w:rPr>
        <w:t>暂存间</w:t>
      </w:r>
      <w:r>
        <w:rPr>
          <w:rFonts w:hint="eastAsia" w:ascii="Times New Roman" w:hAnsi="Times New Roman" w:eastAsia="仿宋"/>
          <w:color w:val="auto"/>
          <w:sz w:val="32"/>
          <w:szCs w:val="32"/>
        </w:rPr>
        <w:t>定期</w:t>
      </w:r>
      <w:r>
        <w:rPr>
          <w:rFonts w:hint="eastAsia" w:ascii="Times New Roman" w:hAnsi="Times New Roman" w:eastAsia="仿宋"/>
          <w:color w:val="auto"/>
          <w:sz w:val="32"/>
          <w:szCs w:val="32"/>
          <w:lang w:val="en-US" w:eastAsia="zh-CN"/>
        </w:rPr>
        <w:t>交有资质单位进行处理</w:t>
      </w:r>
      <w:r>
        <w:rPr>
          <w:rFonts w:hint="eastAsia" w:ascii="Times New Roman" w:hAnsi="Times New Roman" w:eastAsia="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lang w:eastAsia="zh-CN"/>
        </w:rPr>
        <w:t>项目</w:t>
      </w:r>
      <w:r>
        <w:rPr>
          <w:rFonts w:hint="eastAsia" w:ascii="仿宋_GB2312" w:hAnsi="仿宋_GB2312" w:eastAsia="仿宋_GB2312" w:cs="仿宋_GB2312"/>
          <w:color w:val="000000"/>
          <w:sz w:val="32"/>
          <w:szCs w:val="32"/>
          <w:lang w:val="en-US" w:eastAsia="zh-CN"/>
        </w:rPr>
        <w:t>总量控制指标为COD1.2073t/a，氨氮0.0967t/a，</w:t>
      </w:r>
      <w:r>
        <w:rPr>
          <w:rFonts w:hint="eastAsia" w:ascii="仿宋_GB2312" w:hAnsi="仿宋_GB2312" w:eastAsia="仿宋_GB2312" w:cs="仿宋_GB2312"/>
          <w:color w:val="000000"/>
          <w:sz w:val="32"/>
          <w:szCs w:val="32"/>
          <w:lang w:eastAsia="zh-CN"/>
        </w:rPr>
        <w:t>非甲烷总烃排放量为</w:t>
      </w:r>
      <w:r>
        <w:rPr>
          <w:rFonts w:hint="eastAsia" w:ascii="仿宋_GB2312" w:hAnsi="仿宋_GB2312" w:eastAsia="仿宋_GB2312" w:cs="仿宋_GB2312"/>
          <w:color w:val="000000"/>
          <w:sz w:val="32"/>
          <w:szCs w:val="32"/>
          <w:lang w:val="en-US" w:eastAsia="zh-CN"/>
        </w:rPr>
        <w:t>0.009</w:t>
      </w:r>
      <w:r>
        <w:rPr>
          <w:rFonts w:hint="eastAsia" w:ascii="仿宋_GB2312" w:hAnsi="仿宋_GB2312" w:eastAsia="仿宋_GB2312" w:cs="仿宋_GB2312"/>
          <w:color w:val="000000"/>
          <w:sz w:val="32"/>
          <w:szCs w:val="32"/>
          <w:lang w:eastAsia="zh-CN"/>
        </w:rPr>
        <w:t>t/a，根据</w:t>
      </w:r>
      <w:r>
        <w:rPr>
          <w:rFonts w:hint="eastAsia" w:ascii="仿宋_GB2312" w:hAnsi="仿宋_GB2312" w:eastAsia="仿宋_GB2312" w:cs="仿宋_GB2312"/>
          <w:color w:val="000000"/>
          <w:sz w:val="32"/>
          <w:szCs w:val="32"/>
          <w:lang w:val="en-US" w:eastAsia="zh-CN"/>
        </w:rPr>
        <w:t>许昌市生态环境局开发区分局</w:t>
      </w:r>
      <w:r>
        <w:rPr>
          <w:rFonts w:hint="eastAsia" w:ascii="仿宋_GB2312" w:hAnsi="仿宋_GB2312" w:eastAsia="仿宋_GB2312" w:cs="仿宋_GB2312"/>
          <w:color w:val="000000"/>
          <w:sz w:val="32"/>
          <w:szCs w:val="32"/>
          <w:lang w:eastAsia="zh-CN"/>
        </w:rPr>
        <w:t>出具的审核意见，本项目新增VOC总量从“</w:t>
      </w:r>
      <w:r>
        <w:rPr>
          <w:rFonts w:hint="eastAsia" w:ascii="仿宋" w:hAnsi="仿宋" w:eastAsia="仿宋" w:cs="仿宋"/>
          <w:kern w:val="0"/>
          <w:sz w:val="32"/>
          <w:szCs w:val="32"/>
        </w:rPr>
        <w:t>许昌永昌印务有限公司</w:t>
      </w:r>
      <w:r>
        <w:rPr>
          <w:rFonts w:hint="eastAsia" w:ascii="仿宋" w:hAnsi="仿宋" w:eastAsia="仿宋" w:cs="仿宋"/>
          <w:kern w:val="0"/>
          <w:sz w:val="32"/>
          <w:szCs w:val="32"/>
          <w:lang w:eastAsia="zh-CN"/>
        </w:rPr>
        <w:t>烟标装潢</w:t>
      </w:r>
      <w:r>
        <w:rPr>
          <w:rFonts w:hint="eastAsia" w:ascii="仿宋" w:hAnsi="仿宋" w:eastAsia="仿宋" w:cs="仿宋"/>
          <w:kern w:val="0"/>
          <w:sz w:val="32"/>
          <w:szCs w:val="32"/>
          <w:lang w:val="en-US" w:eastAsia="zh-CN"/>
        </w:rPr>
        <w:t>80万箱/年技术及设备</w:t>
      </w:r>
      <w:r>
        <w:rPr>
          <w:rFonts w:hint="eastAsia" w:ascii="仿宋" w:hAnsi="仿宋" w:eastAsia="仿宋" w:cs="仿宋"/>
          <w:kern w:val="0"/>
          <w:sz w:val="32"/>
          <w:szCs w:val="32"/>
        </w:rPr>
        <w:t>升级改造项目</w:t>
      </w:r>
      <w:r>
        <w:rPr>
          <w:rFonts w:hint="eastAsia" w:ascii="仿宋_GB2312" w:hAnsi="仿宋_GB2312" w:eastAsia="仿宋_GB2312" w:cs="仿宋_GB2312"/>
          <w:color w:val="000000"/>
          <w:sz w:val="32"/>
          <w:szCs w:val="32"/>
          <w:lang w:eastAsia="zh-CN"/>
        </w:rPr>
        <w:t>”中进行倍量替代。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w:t>
      </w:r>
      <w:r>
        <w:rPr>
          <w:rFonts w:hint="eastAsia" w:ascii="仿宋_GB2312" w:eastAsia="仿宋_GB2312"/>
          <w:sz w:val="32"/>
          <w:szCs w:val="32"/>
          <w:lang w:eastAsia="zh-CN"/>
        </w:rPr>
        <w:t>项目建设严格执行环境保护设施与主体工程同时设计、同时施工、同时投入使用的环境保护“三同时”制度。项目建成后，须按规定程序进行竣工环境保护验收，验收合格后，方可投入正式运行。</w:t>
      </w:r>
      <w:r>
        <w:rPr>
          <w:rFonts w:hint="eastAsia" w:ascii="仿宋_GB2312" w:hAnsi="仿宋_GB2312" w:eastAsia="仿宋_GB2312" w:cs="仿宋_GB2312"/>
          <w:sz w:val="32"/>
          <w:szCs w:val="32"/>
        </w:rPr>
        <w:t>如果今后国家或我省颁布污染物排放限值的新标准，届时你公司应按新的排放标准执行。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自本批复下达之日起</w:t>
      </w:r>
      <w:r>
        <w:rPr>
          <w:rFonts w:hint="eastAsia" w:ascii="仿宋_GB2312" w:hAnsi="仿宋_GB2312" w:eastAsia="仿宋_GB2312" w:cs="仿宋_GB2312"/>
          <w:sz w:val="32"/>
          <w:szCs w:val="32"/>
          <w:lang w:eastAsia="zh-CN"/>
        </w:rPr>
        <w:t>，超过</w:t>
      </w:r>
      <w:r>
        <w:rPr>
          <w:rFonts w:hint="eastAsia" w:ascii="仿宋_GB2312" w:hAnsi="仿宋_GB2312" w:eastAsia="仿宋_GB2312" w:cs="仿宋_GB2312"/>
          <w:sz w:val="32"/>
          <w:szCs w:val="32"/>
        </w:rPr>
        <w:t>5年</w:t>
      </w:r>
      <w:r>
        <w:rPr>
          <w:rFonts w:hint="eastAsia" w:ascii="仿宋_GB2312" w:hAnsi="仿宋_GB2312" w:eastAsia="仿宋_GB2312" w:cs="仿宋_GB2312"/>
          <w:sz w:val="32"/>
          <w:szCs w:val="32"/>
          <w:lang w:eastAsia="zh-CN"/>
        </w:rPr>
        <w:t>方决定开工建设的，环境影响评价文件应报我局重新审核</w:t>
      </w:r>
      <w:r>
        <w:rPr>
          <w:rFonts w:hint="eastAsia" w:ascii="仿宋_GB2312" w:hAnsi="仿宋_GB2312" w:eastAsia="仿宋_GB2312" w:cs="仿宋_GB2312"/>
          <w:sz w:val="32"/>
          <w:szCs w:val="32"/>
        </w:rPr>
        <w:t xml:space="preserve">。项目的性质、规模、地点、采用的工艺或防治污染、防治生态破坏的措施发生重大变动的，应当重新报批项目的环境影响评价文件。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440" w:firstLineChars="17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bookmarkStart w:id="0" w:name="_GoBack"/>
      <w:bookmarkEnd w:id="0"/>
      <w:r>
        <w:rPr>
          <w:rFonts w:hint="eastAsia" w:ascii="仿宋_GB2312" w:hAnsi="仿宋_GB2312" w:eastAsia="仿宋_GB2312" w:cs="仿宋_GB2312"/>
          <w:sz w:val="32"/>
          <w:szCs w:val="32"/>
        </w:rPr>
        <w:t>日</w:t>
      </w:r>
    </w:p>
    <w:p>
      <w:pPr>
        <w:pStyle w:val="2"/>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sz w:val="32"/>
          <w:szCs w:val="32"/>
        </w:rPr>
      </w:pPr>
    </w:p>
    <w:p>
      <w:pPr>
        <w:pStyle w:val="2"/>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sz w:val="32"/>
          <w:szCs w:val="32"/>
        </w:rPr>
      </w:pPr>
    </w:p>
    <w:p>
      <w:pPr>
        <w:pStyle w:val="2"/>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sz w:val="32"/>
          <w:szCs w:val="32"/>
        </w:rPr>
      </w:pPr>
    </w:p>
    <w:p>
      <w:pPr>
        <w:pStyle w:val="2"/>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sz w:val="32"/>
          <w:szCs w:val="32"/>
        </w:rPr>
      </w:pPr>
    </w:p>
    <w:p>
      <w:pPr>
        <w:pStyle w:val="2"/>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sz w:val="32"/>
          <w:szCs w:val="32"/>
        </w:rPr>
      </w:pPr>
    </w:p>
    <w:p>
      <w:pPr>
        <w:pStyle w:val="2"/>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sz w:val="32"/>
          <w:szCs w:val="32"/>
        </w:rPr>
      </w:pPr>
    </w:p>
    <w:p>
      <w:pPr>
        <w:pStyle w:val="2"/>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sz w:val="32"/>
          <w:szCs w:val="32"/>
        </w:rPr>
      </w:pPr>
    </w:p>
    <w:p>
      <w:pPr>
        <w:pStyle w:val="2"/>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pBdr>
          <w:top w:val="single" w:color="auto" w:sz="4" w:space="0"/>
          <w:bottom w:val="single" w:color="auto" w:sz="4" w:space="0"/>
        </w:pBdr>
        <w:kinsoku/>
        <w:wordWrap w:val="0"/>
        <w:overflowPunct/>
        <w:topLinePunct w:val="0"/>
        <w:autoSpaceDE/>
        <w:autoSpaceDN/>
        <w:bidi w:val="0"/>
        <w:adjustRightInd/>
        <w:snapToGrid/>
        <w:spacing w:line="560" w:lineRule="exact"/>
        <w:ind w:left="0" w:leftChars="0" w:right="0" w:rightChars="0"/>
        <w:textAlignment w:val="auto"/>
        <w:outlineLvl w:val="9"/>
      </w:pPr>
      <w:r>
        <w:rPr>
          <w:rFonts w:hint="eastAsia" w:ascii="仿宋_GB2312" w:hAnsi="仿宋_GB2312" w:eastAsia="仿宋_GB2312" w:cs="仿宋_GB2312"/>
          <w:sz w:val="32"/>
          <w:szCs w:val="32"/>
        </w:rPr>
        <w:t>抄送：</w:t>
      </w:r>
      <w:r>
        <w:rPr>
          <w:rFonts w:hint="eastAsia" w:ascii="仿宋" w:hAnsi="仿宋" w:eastAsia="仿宋" w:cs="仿宋"/>
          <w:sz w:val="32"/>
          <w:szCs w:val="32"/>
          <w:lang w:val="en-US" w:eastAsia="zh-CN"/>
        </w:rPr>
        <w:t>许昌市生态环境综合行政执法支队</w:t>
      </w:r>
      <w:r>
        <w:rPr>
          <w:rFonts w:hint="eastAsia" w:ascii="仿宋_GB2312" w:hAnsi="仿宋_GB2312" w:eastAsia="仿宋_GB2312" w:cs="仿宋_GB2312"/>
          <w:sz w:val="32"/>
          <w:szCs w:val="32"/>
        </w:rPr>
        <w:t>，许昌市</w:t>
      </w:r>
      <w:r>
        <w:rPr>
          <w:rFonts w:hint="eastAsia" w:ascii="仿宋_GB2312" w:hAnsi="仿宋_GB2312" w:eastAsia="仿宋_GB2312" w:cs="仿宋_GB2312"/>
          <w:sz w:val="32"/>
          <w:szCs w:val="32"/>
          <w:lang w:val="en-US" w:eastAsia="zh-CN"/>
        </w:rPr>
        <w:t>生态环境局开发区分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江苏圣泰环境科技股份</w:t>
      </w:r>
      <w:r>
        <w:rPr>
          <w:rFonts w:hint="eastAsia" w:ascii="仿宋_GB2312" w:hAnsi="仿宋_GB2312" w:eastAsia="仿宋_GB2312" w:cs="仿宋_GB2312"/>
          <w:sz w:val="32"/>
          <w:szCs w:val="32"/>
        </w:rPr>
        <w:t>有限公司。</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n&#10;qzVF0AAAAAMBAAAPAAAAAAAAAAEAIAAAACIAAABkcnMvZG93bnJldi54bWxQSwECFAAUAAAACACH&#10;TuJAA1WQ4roBAABRAwAADgAAAAAAAAABACAAAAAfAQAAZHJzL2Uyb0RvYy54bWxQSwUGAAAAAAYA&#10;BgBZAQAAS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7F13C"/>
    <w:multiLevelType w:val="singleLevel"/>
    <w:tmpl w:val="6997F1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F4C22"/>
    <w:rsid w:val="0E3A1C9A"/>
    <w:rsid w:val="37863C5B"/>
    <w:rsid w:val="3DEA4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widowControl w:val="0"/>
      <w:adjustRightInd/>
      <w:snapToGrid/>
      <w:spacing w:after="0" w:line="640" w:lineRule="exact"/>
      <w:jc w:val="center"/>
    </w:pPr>
    <w:rPr>
      <w:rFonts w:ascii="华文中宋" w:hAnsi="华文中宋" w:eastAsia="华文中宋"/>
      <w:b/>
      <w:bCs/>
      <w:kern w:val="2"/>
      <w:sz w:val="44"/>
      <w:szCs w:val="4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yue</cp:lastModifiedBy>
  <cp:lastPrinted>2020-06-22T08:04:16Z</cp:lastPrinted>
  <dcterms:modified xsi:type="dcterms:W3CDTF">2020-06-22T08:17:01Z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