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67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关于许昌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纤百瑞实业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有限公司年产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假发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制品生产线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项目环境影响报告表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告知承诺制审批申请的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纤百瑞实业</w:t>
      </w:r>
      <w:r>
        <w:rPr>
          <w:rFonts w:hint="eastAsia" w:ascii="仿宋" w:hAnsi="仿宋" w:eastAsia="仿宋" w:cs="仿宋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91411000MA47UPQ160</w:t>
      </w:r>
      <w:r>
        <w:rPr>
          <w:rFonts w:hint="eastAsia" w:ascii="仿宋" w:hAnsi="仿宋" w:eastAsia="仿宋" w:cs="仿宋"/>
          <w:sz w:val="32"/>
          <w:szCs w:val="32"/>
        </w:rPr>
        <w:t>）关于《年产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假发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制品生产线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环境影响报告表</w:t>
      </w:r>
      <w:r>
        <w:rPr>
          <w:rFonts w:hint="eastAsia" w:ascii="仿宋" w:hAnsi="仿宋" w:eastAsia="仿宋" w:cs="仿宋"/>
          <w:sz w:val="32"/>
          <w:szCs w:val="32"/>
        </w:rPr>
        <w:t>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告知承诺制审批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及环评文件编制单位的承诺，我局原则同意你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抄送：许昌市生态环境综合行政执法支队，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许昌市生态环境局开发区分局，河南哲达环保科技有限公司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dcterms:modified xsi:type="dcterms:W3CDTF">2021-01-04T07:48:55Z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