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sz w:val="30"/>
          <w:szCs w:val="30"/>
        </w:rPr>
      </w:pPr>
      <w:bookmarkStart w:id="0" w:name="_GoBack"/>
      <w:bookmarkEnd w:id="0"/>
    </w:p>
    <w:p>
      <w:pPr>
        <w:spacing w:line="720" w:lineRule="auto"/>
        <w:jc w:val="center"/>
        <w:rPr>
          <w:b/>
          <w:sz w:val="30"/>
          <w:szCs w:val="30"/>
        </w:rPr>
      </w:pPr>
      <w:r>
        <w:rPr>
          <w:b/>
          <w:sz w:val="30"/>
          <w:szCs w:val="30"/>
        </w:rPr>
        <w:drawing>
          <wp:inline distT="0" distB="0" distL="114300" distR="114300">
            <wp:extent cx="5269865" cy="7449185"/>
            <wp:effectExtent l="0" t="0" r="6985" b="18415"/>
            <wp:docPr id="7" name="图片 7" descr="2bc2d75290d43862aa07213120ce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c2d75290d43862aa07213120ce8a3"/>
                    <pic:cNvPicPr>
                      <a:picLocks noChangeAspect="1"/>
                    </pic:cNvPicPr>
                  </pic:nvPicPr>
                  <pic:blipFill>
                    <a:blip r:embed="rId4"/>
                    <a:stretch>
                      <a:fillRect/>
                    </a:stretch>
                  </pic:blipFill>
                  <pic:spPr>
                    <a:xfrm>
                      <a:off x="0" y="0"/>
                      <a:ext cx="5269865" cy="7449185"/>
                    </a:xfrm>
                    <a:prstGeom prst="rect">
                      <a:avLst/>
                    </a:prstGeom>
                  </pic:spPr>
                </pic:pic>
              </a:graphicData>
            </a:graphic>
          </wp:inline>
        </w:drawing>
      </w:r>
      <w:r>
        <w:rPr>
          <w:b/>
          <w:sz w:val="30"/>
          <w:szCs w:val="30"/>
        </w:rPr>
        <w:br w:type="page"/>
      </w:r>
    </w:p>
    <w:p>
      <w:pPr>
        <w:pStyle w:val="2"/>
        <w:numPr>
          <w:ilvl w:val="0"/>
          <w:numId w:val="1"/>
        </w:numPr>
        <w:rPr>
          <w:sz w:val="32"/>
          <w:szCs w:val="32"/>
        </w:rPr>
      </w:pPr>
      <w:r>
        <w:rPr>
          <w:sz w:val="32"/>
          <w:szCs w:val="32"/>
        </w:rPr>
        <w:t>概述</w:t>
      </w:r>
    </w:p>
    <w:p>
      <w:pPr>
        <w:spacing w:line="360" w:lineRule="auto"/>
        <w:ind w:firstLine="480" w:firstLineChars="200"/>
      </w:pPr>
      <w:r>
        <w:rPr>
          <w:sz w:val="24"/>
          <w:szCs w:val="24"/>
        </w:rPr>
        <w:t>本次</w:t>
      </w:r>
      <w:r>
        <w:rPr>
          <w:rFonts w:hint="eastAsia"/>
          <w:sz w:val="24"/>
          <w:szCs w:val="24"/>
        </w:rPr>
        <w:t>河南农业大学动物生物安全三级实验室建设项目</w:t>
      </w:r>
      <w:r>
        <w:rPr>
          <w:sz w:val="24"/>
          <w:szCs w:val="24"/>
        </w:rPr>
        <w:t>公众参与调查工作以建设单位</w:t>
      </w:r>
      <w:r>
        <w:rPr>
          <w:rFonts w:hint="eastAsia"/>
          <w:sz w:val="24"/>
          <w:szCs w:val="24"/>
        </w:rPr>
        <w:t>河南农业大学</w:t>
      </w:r>
      <w:r>
        <w:rPr>
          <w:sz w:val="24"/>
          <w:szCs w:val="24"/>
        </w:rPr>
        <w:t>为主体，依据</w:t>
      </w:r>
      <w:r>
        <w:rPr>
          <w:rFonts w:hint="eastAsia"/>
          <w:sz w:val="24"/>
          <w:szCs w:val="24"/>
        </w:rPr>
        <w:t>生态环境部</w:t>
      </w:r>
      <w:r>
        <w:rPr>
          <w:sz w:val="24"/>
          <w:szCs w:val="24"/>
        </w:rPr>
        <w:t>颁布的《</w:t>
      </w:r>
      <w:r>
        <w:rPr>
          <w:rFonts w:hint="eastAsia"/>
          <w:sz w:val="24"/>
          <w:szCs w:val="24"/>
        </w:rPr>
        <w:t>环境影响评价公众参与办法</w:t>
      </w:r>
      <w:r>
        <w:rPr>
          <w:sz w:val="24"/>
          <w:szCs w:val="24"/>
        </w:rPr>
        <w:t>》（</w:t>
      </w:r>
      <w:r>
        <w:rPr>
          <w:rFonts w:hint="eastAsia"/>
          <w:sz w:val="24"/>
          <w:szCs w:val="24"/>
        </w:rPr>
        <w:t>生态环境部令第4</w:t>
      </w:r>
      <w:r>
        <w:rPr>
          <w:sz w:val="24"/>
          <w:szCs w:val="24"/>
        </w:rPr>
        <w:t>号）要求进行</w:t>
      </w:r>
      <w:r>
        <w:t>。</w:t>
      </w:r>
    </w:p>
    <w:p>
      <w:pPr>
        <w:pStyle w:val="2"/>
        <w:numPr>
          <w:ilvl w:val="0"/>
          <w:numId w:val="1"/>
        </w:numPr>
        <w:rPr>
          <w:sz w:val="32"/>
          <w:szCs w:val="32"/>
        </w:rPr>
      </w:pPr>
      <w:r>
        <w:rPr>
          <w:rFonts w:hint="eastAsia"/>
          <w:sz w:val="32"/>
          <w:szCs w:val="32"/>
        </w:rPr>
        <w:t>首次环境影响评价信息公告</w:t>
      </w:r>
    </w:p>
    <w:p>
      <w:pPr>
        <w:pStyle w:val="3"/>
        <w:numPr>
          <w:ilvl w:val="1"/>
          <w:numId w:val="1"/>
        </w:numPr>
      </w:pPr>
      <w:r>
        <w:rPr>
          <w:rFonts w:hint="eastAsia"/>
        </w:rPr>
        <w:t>公告内容及日期</w:t>
      </w:r>
    </w:p>
    <w:p>
      <w:pPr>
        <w:pStyle w:val="4"/>
        <w:numPr>
          <w:ilvl w:val="2"/>
          <w:numId w:val="1"/>
        </w:numPr>
        <w:rPr>
          <w:sz w:val="28"/>
          <w:szCs w:val="28"/>
        </w:rPr>
      </w:pPr>
      <w:r>
        <w:rPr>
          <w:rFonts w:hint="eastAsia"/>
          <w:sz w:val="28"/>
          <w:szCs w:val="28"/>
        </w:rPr>
        <w:t>首次信息公告内容</w:t>
      </w:r>
    </w:p>
    <w:p>
      <w:pPr>
        <w:pStyle w:val="19"/>
        <w:snapToGrid w:val="0"/>
      </w:pPr>
      <w:r>
        <w:rPr>
          <w:rFonts w:hAnsi="宋体"/>
        </w:rPr>
        <w:t>①</w:t>
      </w:r>
      <w:r>
        <w:t>建设项目的名称及概要；</w:t>
      </w:r>
    </w:p>
    <w:p>
      <w:pPr>
        <w:pStyle w:val="19"/>
        <w:snapToGrid w:val="0"/>
      </w:pPr>
      <w:r>
        <w:rPr>
          <w:rFonts w:hAnsi="宋体"/>
        </w:rPr>
        <w:t>②</w:t>
      </w:r>
      <w:r>
        <w:t>建设单位的名称和联系方式；</w:t>
      </w:r>
    </w:p>
    <w:p>
      <w:pPr>
        <w:pStyle w:val="19"/>
        <w:snapToGrid w:val="0"/>
      </w:pPr>
      <w:r>
        <w:rPr>
          <w:rFonts w:hAnsi="宋体"/>
        </w:rPr>
        <w:t>③</w:t>
      </w:r>
      <w:r>
        <w:t>评价单位的名称和联系方式；</w:t>
      </w:r>
    </w:p>
    <w:p>
      <w:pPr>
        <w:pStyle w:val="19"/>
        <w:snapToGrid w:val="0"/>
      </w:pPr>
      <w:r>
        <w:rPr>
          <w:rFonts w:hAnsi="宋体"/>
        </w:rPr>
        <w:t>④</w:t>
      </w:r>
      <w:r>
        <w:t>环境影响评价的工作程序和主要工作内容；</w:t>
      </w:r>
    </w:p>
    <w:p>
      <w:pPr>
        <w:pStyle w:val="19"/>
        <w:snapToGrid w:val="0"/>
      </w:pPr>
      <w:r>
        <w:rPr>
          <w:rFonts w:hAnsi="宋体"/>
        </w:rPr>
        <w:t>⑤</w:t>
      </w:r>
      <w:r>
        <w:t>征求公众意见的主要事项；</w:t>
      </w:r>
    </w:p>
    <w:p>
      <w:pPr>
        <w:pStyle w:val="19"/>
        <w:snapToGrid w:val="0"/>
      </w:pPr>
      <w:r>
        <w:rPr>
          <w:rFonts w:hAnsi="宋体"/>
        </w:rPr>
        <w:t>⑥</w:t>
      </w:r>
      <w:r>
        <w:t>公众提出意见的主要方式。</w:t>
      </w:r>
    </w:p>
    <w:p>
      <w:pPr>
        <w:pStyle w:val="4"/>
        <w:numPr>
          <w:ilvl w:val="2"/>
          <w:numId w:val="1"/>
        </w:numPr>
        <w:rPr>
          <w:sz w:val="28"/>
          <w:szCs w:val="28"/>
        </w:rPr>
      </w:pPr>
      <w:r>
        <w:rPr>
          <w:rFonts w:hint="eastAsia"/>
          <w:sz w:val="28"/>
          <w:szCs w:val="28"/>
        </w:rPr>
        <w:t>公示时间</w:t>
      </w:r>
    </w:p>
    <w:p>
      <w:pPr>
        <w:pStyle w:val="19"/>
        <w:snapToGrid w:val="0"/>
      </w:pPr>
      <w:r>
        <w:t>公示时间为</w:t>
      </w:r>
      <w:r>
        <w:rPr>
          <w:color w:val="000000"/>
        </w:rPr>
        <w:t>20</w:t>
      </w:r>
      <w:r>
        <w:rPr>
          <w:rFonts w:hint="eastAsia"/>
          <w:color w:val="000000"/>
        </w:rPr>
        <w:t>20</w:t>
      </w:r>
      <w:r>
        <w:rPr>
          <w:color w:val="000000"/>
        </w:rPr>
        <w:t>年</w:t>
      </w:r>
      <w:r>
        <w:rPr>
          <w:rFonts w:hint="eastAsia"/>
          <w:color w:val="000000"/>
        </w:rPr>
        <w:t>06</w:t>
      </w:r>
      <w:r>
        <w:rPr>
          <w:color w:val="000000"/>
        </w:rPr>
        <w:t>月</w:t>
      </w:r>
      <w:r>
        <w:rPr>
          <w:rFonts w:hint="eastAsia"/>
          <w:color w:val="000000"/>
        </w:rPr>
        <w:t>01</w:t>
      </w:r>
      <w:r>
        <w:rPr>
          <w:color w:val="000000"/>
        </w:rPr>
        <w:t>日~</w:t>
      </w:r>
      <w:r>
        <w:rPr>
          <w:rFonts w:hint="eastAsia"/>
          <w:color w:val="000000"/>
        </w:rPr>
        <w:t>06</w:t>
      </w:r>
      <w:r>
        <w:rPr>
          <w:color w:val="000000"/>
        </w:rPr>
        <w:t>月</w:t>
      </w:r>
      <w:r>
        <w:rPr>
          <w:rFonts w:hint="eastAsia"/>
          <w:color w:val="000000"/>
        </w:rPr>
        <w:t>12</w:t>
      </w:r>
      <w:r>
        <w:rPr>
          <w:color w:val="000000"/>
        </w:rPr>
        <w:t>日，共10个工作日。</w:t>
      </w:r>
    </w:p>
    <w:p>
      <w:pPr>
        <w:pStyle w:val="4"/>
        <w:numPr>
          <w:ilvl w:val="2"/>
          <w:numId w:val="1"/>
        </w:numPr>
        <w:rPr>
          <w:sz w:val="28"/>
          <w:szCs w:val="28"/>
        </w:rPr>
      </w:pPr>
      <w:r>
        <w:rPr>
          <w:rFonts w:hint="eastAsia"/>
          <w:sz w:val="28"/>
          <w:szCs w:val="28"/>
        </w:rPr>
        <w:t>符合性分析</w:t>
      </w:r>
    </w:p>
    <w:p>
      <w:pPr>
        <w:pStyle w:val="5"/>
        <w:spacing w:line="360" w:lineRule="auto"/>
        <w:ind w:firstLine="480"/>
        <w:rPr>
          <w:sz w:val="24"/>
        </w:rPr>
      </w:pPr>
      <w:r>
        <w:rPr>
          <w:rFonts w:hint="eastAsia"/>
          <w:sz w:val="24"/>
        </w:rPr>
        <w:t>拟建项目委托时间为2020年5月28日，公示时间在确定环境影响报告书编制单位后7个工作日内。拟建项目公众参与首次信息公开内容及时间符合</w:t>
      </w:r>
      <w:r>
        <w:rPr>
          <w:sz w:val="24"/>
        </w:rPr>
        <w:t>《</w:t>
      </w:r>
      <w:r>
        <w:rPr>
          <w:rFonts w:hint="eastAsia"/>
          <w:sz w:val="24"/>
        </w:rPr>
        <w:t>环境影响评价公众参与办法</w:t>
      </w:r>
      <w:r>
        <w:rPr>
          <w:sz w:val="24"/>
        </w:rPr>
        <w:t>》</w:t>
      </w:r>
      <w:r>
        <w:rPr>
          <w:rFonts w:hint="eastAsia"/>
          <w:sz w:val="24"/>
        </w:rPr>
        <w:t>要求。</w:t>
      </w:r>
    </w:p>
    <w:p>
      <w:pPr>
        <w:pStyle w:val="3"/>
        <w:numPr>
          <w:ilvl w:val="1"/>
          <w:numId w:val="1"/>
        </w:numPr>
      </w:pPr>
      <w:r>
        <w:rPr>
          <w:rFonts w:hint="eastAsia"/>
        </w:rPr>
        <w:t>公开方式</w:t>
      </w:r>
    </w:p>
    <w:p>
      <w:pPr>
        <w:pStyle w:val="5"/>
        <w:spacing w:line="360" w:lineRule="auto"/>
        <w:ind w:firstLine="480"/>
        <w:rPr>
          <w:sz w:val="24"/>
        </w:rPr>
      </w:pPr>
      <w:r>
        <w:rPr>
          <w:rFonts w:hint="eastAsia"/>
          <w:sz w:val="24"/>
        </w:rPr>
        <w:t>在河南农业大学</w:t>
      </w:r>
      <w:r>
        <w:rPr>
          <w:sz w:val="24"/>
        </w:rPr>
        <w:t>门户网站上进行公示</w:t>
      </w:r>
      <w:r>
        <w:rPr>
          <w:rFonts w:hint="eastAsia"/>
          <w:sz w:val="24"/>
        </w:rPr>
        <w:t>，网上公示截图见图1。</w:t>
      </w:r>
    </w:p>
    <w:p>
      <w:pPr>
        <w:adjustRightInd w:val="0"/>
        <w:spacing w:line="360" w:lineRule="auto"/>
        <w:jc w:val="center"/>
        <w:textAlignment w:val="baseline"/>
        <w:rPr>
          <w:rFonts w:ascii="Times New Roman" w:hAnsi="Times New Roman" w:eastAsia="宋体" w:cs="Times New Roman"/>
          <w:spacing w:val="6"/>
          <w:sz w:val="24"/>
          <w:szCs w:val="24"/>
          <w:lang w:val="zh-CN"/>
        </w:rPr>
      </w:pPr>
      <w:r>
        <w:drawing>
          <wp:inline distT="0" distB="0" distL="0" distR="0">
            <wp:extent cx="5274310" cy="66001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cstate="print">
                      <a:extLst>
                        <a:ext uri="{28A0092B-C50C-407E-A947-70E740481C1C}">
                          <a14:useLocalDpi xmlns:a14="http://schemas.microsoft.com/office/drawing/2010/main" val="0"/>
                        </a:ext>
                      </a:extLst>
                    </a:blip>
                    <a:srcRect t="11570"/>
                    <a:stretch>
                      <a:fillRect/>
                    </a:stretch>
                  </pic:blipFill>
                  <pic:spPr>
                    <a:xfrm>
                      <a:off x="0" y="0"/>
                      <a:ext cx="5274310" cy="660019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图</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  第一次信息公告网站截屏</w:t>
      </w:r>
    </w:p>
    <w:p>
      <w:pPr>
        <w:pStyle w:val="3"/>
        <w:numPr>
          <w:ilvl w:val="1"/>
          <w:numId w:val="1"/>
        </w:numPr>
      </w:pPr>
      <w:r>
        <w:rPr>
          <w:rFonts w:hint="eastAsia"/>
        </w:rPr>
        <w:t>公众意见情况</w:t>
      </w:r>
    </w:p>
    <w:p>
      <w:pPr>
        <w:pStyle w:val="5"/>
        <w:spacing w:line="360" w:lineRule="auto"/>
        <w:ind w:firstLine="480"/>
        <w:rPr>
          <w:sz w:val="24"/>
        </w:rPr>
      </w:pPr>
      <w:r>
        <w:rPr>
          <w:rFonts w:hint="eastAsia"/>
          <w:sz w:val="24"/>
        </w:rPr>
        <w:t>公示期间，建设单位和评价单位均未收到公众提出的意见。</w:t>
      </w:r>
    </w:p>
    <w:p>
      <w:pPr>
        <w:pStyle w:val="2"/>
        <w:numPr>
          <w:ilvl w:val="0"/>
          <w:numId w:val="1"/>
        </w:numPr>
        <w:rPr>
          <w:sz w:val="32"/>
          <w:szCs w:val="32"/>
        </w:rPr>
      </w:pPr>
      <w:r>
        <w:rPr>
          <w:rFonts w:hint="eastAsia"/>
          <w:sz w:val="32"/>
          <w:szCs w:val="32"/>
        </w:rPr>
        <w:t>征求意见稿公示</w:t>
      </w:r>
    </w:p>
    <w:p>
      <w:pPr>
        <w:pStyle w:val="3"/>
        <w:numPr>
          <w:ilvl w:val="1"/>
          <w:numId w:val="1"/>
        </w:numPr>
      </w:pPr>
      <w:r>
        <w:rPr>
          <w:rFonts w:hint="eastAsia"/>
        </w:rPr>
        <w:t>公示内容及时限</w:t>
      </w:r>
    </w:p>
    <w:p>
      <w:pPr>
        <w:pStyle w:val="4"/>
        <w:numPr>
          <w:ilvl w:val="2"/>
          <w:numId w:val="1"/>
        </w:numPr>
        <w:rPr>
          <w:sz w:val="28"/>
          <w:szCs w:val="28"/>
        </w:rPr>
      </w:pPr>
      <w:r>
        <w:rPr>
          <w:rFonts w:hint="eastAsia"/>
          <w:sz w:val="28"/>
          <w:szCs w:val="28"/>
        </w:rPr>
        <w:t>公示内容</w:t>
      </w:r>
    </w:p>
    <w:p>
      <w:pPr>
        <w:pStyle w:val="5"/>
        <w:spacing w:line="360" w:lineRule="auto"/>
        <w:rPr>
          <w:sz w:val="24"/>
        </w:rPr>
      </w:pPr>
      <w:r>
        <w:rPr>
          <w:rFonts w:hAnsi="宋体"/>
        </w:rPr>
        <w:t>①</w:t>
      </w:r>
      <w:r>
        <w:rPr>
          <w:rFonts w:hint="eastAsia"/>
          <w:sz w:val="24"/>
        </w:rPr>
        <w:t>环境影响报告书征求意见稿全文的网络链接及查阅纸质报告书的方式和途径；</w:t>
      </w:r>
    </w:p>
    <w:p>
      <w:pPr>
        <w:pStyle w:val="5"/>
        <w:spacing w:line="360" w:lineRule="auto"/>
        <w:rPr>
          <w:sz w:val="24"/>
        </w:rPr>
      </w:pPr>
      <w:r>
        <w:rPr>
          <w:rFonts w:hAnsi="宋体"/>
        </w:rPr>
        <w:t>②</w:t>
      </w:r>
      <w:r>
        <w:rPr>
          <w:rFonts w:hint="eastAsia"/>
          <w:sz w:val="24"/>
        </w:rPr>
        <w:t>征求意见的公众范围；</w:t>
      </w:r>
    </w:p>
    <w:p>
      <w:pPr>
        <w:pStyle w:val="5"/>
        <w:spacing w:line="360" w:lineRule="auto"/>
        <w:rPr>
          <w:sz w:val="24"/>
        </w:rPr>
      </w:pPr>
      <w:r>
        <w:rPr>
          <w:rFonts w:hAnsi="宋体"/>
        </w:rPr>
        <w:t>③</w:t>
      </w:r>
      <w:r>
        <w:rPr>
          <w:rFonts w:hint="eastAsia"/>
          <w:sz w:val="24"/>
        </w:rPr>
        <w:t>公众意见表的网络链接；</w:t>
      </w:r>
    </w:p>
    <w:p>
      <w:pPr>
        <w:pStyle w:val="5"/>
        <w:spacing w:line="360" w:lineRule="auto"/>
        <w:rPr>
          <w:sz w:val="24"/>
        </w:rPr>
      </w:pPr>
      <w:r>
        <w:rPr>
          <w:rFonts w:hAnsi="宋体"/>
        </w:rPr>
        <w:t>④</w:t>
      </w:r>
      <w:r>
        <w:rPr>
          <w:rFonts w:hint="eastAsia"/>
          <w:sz w:val="24"/>
        </w:rPr>
        <w:t>公众提出意见的方式和途径；</w:t>
      </w:r>
    </w:p>
    <w:p>
      <w:pPr>
        <w:pStyle w:val="5"/>
        <w:spacing w:line="360" w:lineRule="auto"/>
        <w:rPr>
          <w:sz w:val="24"/>
        </w:rPr>
      </w:pPr>
      <w:r>
        <w:rPr>
          <w:rFonts w:hAnsi="宋体"/>
        </w:rPr>
        <w:t>⑤</w:t>
      </w:r>
      <w:r>
        <w:rPr>
          <w:rFonts w:hint="eastAsia"/>
          <w:sz w:val="24"/>
        </w:rPr>
        <w:t>公众提出意见的起止时间。</w:t>
      </w:r>
    </w:p>
    <w:p>
      <w:pPr>
        <w:pStyle w:val="4"/>
        <w:numPr>
          <w:ilvl w:val="2"/>
          <w:numId w:val="1"/>
        </w:numPr>
        <w:rPr>
          <w:sz w:val="28"/>
          <w:szCs w:val="28"/>
        </w:rPr>
      </w:pPr>
      <w:r>
        <w:rPr>
          <w:rFonts w:hint="eastAsia"/>
          <w:sz w:val="28"/>
          <w:szCs w:val="28"/>
        </w:rPr>
        <w:t>公示时限</w:t>
      </w:r>
    </w:p>
    <w:p>
      <w:pPr>
        <w:pStyle w:val="5"/>
        <w:spacing w:line="360" w:lineRule="auto"/>
        <w:ind w:firstLine="480"/>
        <w:rPr>
          <w:sz w:val="24"/>
        </w:rPr>
      </w:pPr>
      <w:r>
        <w:rPr>
          <w:rFonts w:hint="eastAsia"/>
          <w:sz w:val="24"/>
        </w:rPr>
        <w:t>2020年8月7日～2020年</w:t>
      </w:r>
      <w:r>
        <w:rPr>
          <w:sz w:val="24"/>
        </w:rPr>
        <w:t>8</w:t>
      </w:r>
      <w:r>
        <w:rPr>
          <w:rFonts w:hint="eastAsia"/>
          <w:sz w:val="24"/>
        </w:rPr>
        <w:t>月2</w:t>
      </w:r>
      <w:r>
        <w:rPr>
          <w:sz w:val="24"/>
        </w:rPr>
        <w:t>0</w:t>
      </w:r>
      <w:r>
        <w:rPr>
          <w:rFonts w:hint="eastAsia"/>
          <w:sz w:val="24"/>
        </w:rPr>
        <w:t>。</w:t>
      </w:r>
    </w:p>
    <w:p>
      <w:pPr>
        <w:pStyle w:val="4"/>
        <w:numPr>
          <w:ilvl w:val="2"/>
          <w:numId w:val="1"/>
        </w:numPr>
        <w:rPr>
          <w:sz w:val="28"/>
          <w:szCs w:val="28"/>
        </w:rPr>
      </w:pPr>
      <w:r>
        <w:rPr>
          <w:rFonts w:hint="eastAsia"/>
          <w:sz w:val="28"/>
          <w:szCs w:val="28"/>
        </w:rPr>
        <w:t>符合性分析</w:t>
      </w:r>
    </w:p>
    <w:p>
      <w:pPr>
        <w:pStyle w:val="5"/>
        <w:spacing w:line="360" w:lineRule="auto"/>
        <w:ind w:firstLine="480"/>
        <w:rPr>
          <w:sz w:val="24"/>
        </w:rPr>
      </w:pPr>
      <w:r>
        <w:rPr>
          <w:rFonts w:hint="eastAsia"/>
          <w:sz w:val="24"/>
        </w:rPr>
        <w:t>公示内容涵盖</w:t>
      </w:r>
      <w:r>
        <w:rPr>
          <w:sz w:val="24"/>
        </w:rPr>
        <w:t>《</w:t>
      </w:r>
      <w:r>
        <w:rPr>
          <w:rFonts w:hint="eastAsia"/>
          <w:sz w:val="24"/>
        </w:rPr>
        <w:t>环境影响评价公众参与办法</w:t>
      </w:r>
      <w:r>
        <w:rPr>
          <w:sz w:val="24"/>
        </w:rPr>
        <w:t>》</w:t>
      </w:r>
      <w:r>
        <w:rPr>
          <w:rFonts w:hint="eastAsia"/>
          <w:sz w:val="24"/>
        </w:rPr>
        <w:t>中要求的内容，《河南农业大学动物生物安全三级实验室建设项目环境影响报告书（征求意见稿）》是较为完整的环境影响报告书，征求公众意见的期限大于10个工作日，符合</w:t>
      </w:r>
      <w:r>
        <w:rPr>
          <w:sz w:val="24"/>
        </w:rPr>
        <w:t>《</w:t>
      </w:r>
      <w:r>
        <w:rPr>
          <w:rFonts w:hint="eastAsia"/>
          <w:sz w:val="24"/>
        </w:rPr>
        <w:t>环境影响评价公众参与办法</w:t>
      </w:r>
      <w:r>
        <w:rPr>
          <w:sz w:val="24"/>
        </w:rPr>
        <w:t>》</w:t>
      </w:r>
      <w:r>
        <w:rPr>
          <w:rFonts w:hint="eastAsia"/>
          <w:sz w:val="24"/>
        </w:rPr>
        <w:t>要求。</w:t>
      </w:r>
    </w:p>
    <w:p>
      <w:pPr>
        <w:pStyle w:val="3"/>
        <w:numPr>
          <w:ilvl w:val="1"/>
          <w:numId w:val="1"/>
        </w:numPr>
      </w:pPr>
      <w:r>
        <w:rPr>
          <w:rFonts w:hint="eastAsia"/>
        </w:rPr>
        <w:t>公示方式</w:t>
      </w:r>
    </w:p>
    <w:p>
      <w:pPr>
        <w:pStyle w:val="4"/>
        <w:numPr>
          <w:ilvl w:val="2"/>
          <w:numId w:val="1"/>
        </w:numPr>
      </w:pPr>
      <w:r>
        <w:rPr>
          <w:rFonts w:hint="eastAsia"/>
        </w:rPr>
        <w:t>网络</w:t>
      </w:r>
    </w:p>
    <w:p>
      <w:pPr>
        <w:pStyle w:val="5"/>
        <w:spacing w:line="360" w:lineRule="auto"/>
        <w:ind w:firstLine="480"/>
        <w:rPr>
          <w:sz w:val="24"/>
        </w:rPr>
      </w:pPr>
      <w:r>
        <w:rPr>
          <w:sz w:val="24"/>
        </w:rPr>
        <w:t>在</w:t>
      </w:r>
      <w:r>
        <w:rPr>
          <w:rFonts w:hint="eastAsia"/>
          <w:sz w:val="24"/>
        </w:rPr>
        <w:t>河南农业大学网站</w:t>
      </w:r>
      <w:r>
        <w:rPr>
          <w:sz w:val="24"/>
        </w:rPr>
        <w:t>公示《</w:t>
      </w:r>
      <w:r>
        <w:rPr>
          <w:rFonts w:hint="eastAsia"/>
          <w:sz w:val="24"/>
        </w:rPr>
        <w:t>河南农业大学动物生物安全三级实验室建设项目环境影响报告书</w:t>
      </w:r>
      <w:r>
        <w:rPr>
          <w:sz w:val="24"/>
        </w:rPr>
        <w:t>（征求意见稿）》，网址为：</w:t>
      </w:r>
      <w:r>
        <w:fldChar w:fldCharType="begin"/>
      </w:r>
      <w:r>
        <w:instrText xml:space="preserve"> HYPERLINK "http://www.henau.edu.cn/news/ztbxx/275371.shtml." </w:instrText>
      </w:r>
      <w:r>
        <w:fldChar w:fldCharType="separate"/>
      </w:r>
      <w:r>
        <w:rPr>
          <w:rStyle w:val="13"/>
          <w:sz w:val="24"/>
        </w:rPr>
        <w:t>http://www.henau.edu.cn/news/ztbxx/275371.shtml.</w:t>
      </w:r>
      <w:r>
        <w:rPr>
          <w:rStyle w:val="13"/>
          <w:sz w:val="24"/>
        </w:rPr>
        <w:fldChar w:fldCharType="end"/>
      </w:r>
      <w:r>
        <w:rPr>
          <w:sz w:val="24"/>
        </w:rPr>
        <w:t xml:space="preserve"> </w:t>
      </w:r>
    </w:p>
    <w:p>
      <w:pPr>
        <w:pStyle w:val="5"/>
        <w:spacing w:line="360" w:lineRule="auto"/>
        <w:ind w:firstLine="480"/>
        <w:rPr>
          <w:sz w:val="24"/>
        </w:rPr>
      </w:pPr>
      <w:r>
        <w:rPr>
          <w:rFonts w:hint="eastAsia"/>
          <w:sz w:val="24"/>
        </w:rPr>
        <w:t>公示时间：2020年8月7日</w:t>
      </w:r>
    </w:p>
    <w:p>
      <w:pPr>
        <w:pStyle w:val="5"/>
        <w:spacing w:line="360" w:lineRule="auto"/>
        <w:ind w:firstLine="480"/>
        <w:rPr>
          <w:sz w:val="24"/>
        </w:rPr>
      </w:pPr>
      <w:r>
        <w:rPr>
          <w:rFonts w:hint="eastAsia"/>
          <w:sz w:val="24"/>
        </w:rPr>
        <w:t>征求意见稿网站截图见图2.</w:t>
      </w:r>
    </w:p>
    <w:p>
      <w:pPr>
        <w:pStyle w:val="5"/>
        <w:spacing w:line="360" w:lineRule="auto"/>
        <w:ind w:firstLine="0" w:firstLineChars="0"/>
        <w:jc w:val="center"/>
        <w:rPr>
          <w:rFonts w:hAnsi="宋体"/>
        </w:rPr>
      </w:pPr>
      <w:r>
        <w:drawing>
          <wp:inline distT="0" distB="0" distL="0" distR="0">
            <wp:extent cx="4131945" cy="5706110"/>
            <wp:effectExtent l="0" t="0" r="190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42727" cy="5720815"/>
                    </a:xfrm>
                    <a:prstGeom prst="rect">
                      <a:avLst/>
                    </a:prstGeom>
                    <a:noFill/>
                    <a:ln>
                      <a:noFill/>
                    </a:ln>
                  </pic:spPr>
                </pic:pic>
              </a:graphicData>
            </a:graphic>
          </wp:inline>
        </w:drawing>
      </w:r>
    </w:p>
    <w:p>
      <w:pPr>
        <w:pStyle w:val="5"/>
        <w:spacing w:line="360" w:lineRule="auto"/>
        <w:ind w:firstLine="0" w:firstLineChars="0"/>
        <w:jc w:val="center"/>
        <w:rPr>
          <w:rFonts w:hAnsi="宋体"/>
        </w:rPr>
      </w:pPr>
      <w:r>
        <w:rPr>
          <w:rFonts w:hint="eastAsia" w:hAnsi="宋体"/>
        </w:rPr>
        <w:t xml:space="preserve">图2  </w:t>
      </w:r>
      <w:r>
        <w:rPr>
          <w:rFonts w:hint="eastAsia" w:hAnsi="宋体"/>
          <w:b/>
        </w:rPr>
        <w:t>征求意见稿网站公示截图</w:t>
      </w:r>
    </w:p>
    <w:p>
      <w:pPr>
        <w:pStyle w:val="4"/>
        <w:numPr>
          <w:ilvl w:val="2"/>
          <w:numId w:val="1"/>
        </w:numPr>
      </w:pPr>
      <w:r>
        <w:rPr>
          <w:rFonts w:hint="eastAsia"/>
        </w:rPr>
        <w:t>报纸</w:t>
      </w:r>
    </w:p>
    <w:p>
      <w:pPr>
        <w:pStyle w:val="5"/>
        <w:spacing w:line="360" w:lineRule="auto"/>
        <w:ind w:firstLine="480"/>
        <w:rPr>
          <w:sz w:val="24"/>
          <w:lang w:val="en"/>
        </w:rPr>
      </w:pPr>
      <w:r>
        <w:rPr>
          <w:rFonts w:hint="eastAsia"/>
          <w:sz w:val="24"/>
          <w:lang w:val="en"/>
        </w:rPr>
        <w:t>在拟建项目周边民众容易获取的《许昌日报》上，公示《河南农业大学动物生物安全三级实验室环境影响报告书（征求意见稿）》。</w:t>
      </w:r>
    </w:p>
    <w:p>
      <w:pPr>
        <w:pStyle w:val="5"/>
        <w:spacing w:line="360" w:lineRule="auto"/>
        <w:ind w:firstLine="480"/>
        <w:rPr>
          <w:sz w:val="24"/>
          <w:lang w:val="en"/>
        </w:rPr>
      </w:pPr>
      <w:r>
        <w:rPr>
          <w:sz w:val="24"/>
          <w:lang w:val="en"/>
        </w:rPr>
        <w:t>公示时间：20</w:t>
      </w:r>
      <w:r>
        <w:rPr>
          <w:rFonts w:hint="eastAsia"/>
          <w:sz w:val="24"/>
          <w:lang w:val="en"/>
        </w:rPr>
        <w:t>20</w:t>
      </w:r>
      <w:r>
        <w:rPr>
          <w:sz w:val="24"/>
          <w:lang w:val="en"/>
        </w:rPr>
        <w:t>年</w:t>
      </w:r>
      <w:r>
        <w:rPr>
          <w:rFonts w:hint="eastAsia"/>
          <w:sz w:val="24"/>
          <w:lang w:val="en"/>
        </w:rPr>
        <w:t>8</w:t>
      </w:r>
      <w:r>
        <w:rPr>
          <w:sz w:val="24"/>
          <w:lang w:val="en"/>
        </w:rPr>
        <w:t>月</w:t>
      </w:r>
      <w:r>
        <w:rPr>
          <w:rFonts w:hint="eastAsia"/>
          <w:sz w:val="24"/>
          <w:lang w:val="en"/>
        </w:rPr>
        <w:t>13</w:t>
      </w:r>
      <w:r>
        <w:rPr>
          <w:sz w:val="24"/>
          <w:lang w:val="en"/>
        </w:rPr>
        <w:t>日</w:t>
      </w:r>
      <w:r>
        <w:rPr>
          <w:rFonts w:hint="eastAsia"/>
          <w:sz w:val="24"/>
          <w:lang w:val="en"/>
        </w:rPr>
        <w:t>、14日</w:t>
      </w:r>
      <w:r>
        <w:rPr>
          <w:sz w:val="24"/>
          <w:lang w:val="en"/>
        </w:rPr>
        <w:t>。</w:t>
      </w:r>
    </w:p>
    <w:p>
      <w:pPr>
        <w:pStyle w:val="5"/>
        <w:spacing w:line="360" w:lineRule="auto"/>
        <w:ind w:firstLine="480"/>
        <w:rPr>
          <w:sz w:val="24"/>
          <w:lang w:val="en"/>
        </w:rPr>
      </w:pPr>
      <w:r>
        <w:rPr>
          <w:rFonts w:hint="eastAsia"/>
          <w:sz w:val="24"/>
          <w:lang w:val="en"/>
        </w:rPr>
        <w:t>报纸公示截图见图3。</w:t>
      </w:r>
    </w:p>
    <w:p>
      <w:pPr>
        <w:pStyle w:val="5"/>
        <w:spacing w:line="360" w:lineRule="auto"/>
        <w:ind w:firstLine="0" w:firstLineChars="0"/>
        <w:rPr>
          <w:sz w:val="24"/>
          <w:lang w:val="en"/>
        </w:rPr>
      </w:pPr>
      <w:r>
        <w:drawing>
          <wp:inline distT="0" distB="0" distL="0" distR="0">
            <wp:extent cx="5176520" cy="690245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3649" cy="6911740"/>
                    </a:xfrm>
                    <a:prstGeom prst="rect">
                      <a:avLst/>
                    </a:prstGeom>
                    <a:noFill/>
                    <a:ln>
                      <a:noFill/>
                    </a:ln>
                  </pic:spPr>
                </pic:pic>
              </a:graphicData>
            </a:graphic>
          </wp:inline>
        </w:drawing>
      </w:r>
    </w:p>
    <w:p>
      <w:pPr>
        <w:pStyle w:val="5"/>
        <w:spacing w:line="360" w:lineRule="auto"/>
        <w:ind w:firstLine="0" w:firstLineChars="0"/>
        <w:jc w:val="center"/>
        <w:rPr>
          <w:sz w:val="24"/>
          <w:lang w:val="en"/>
        </w:rPr>
      </w:pPr>
      <w:r>
        <w:drawing>
          <wp:inline distT="0" distB="0" distL="0" distR="0">
            <wp:extent cx="5274310" cy="31115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extLst>
                        <a:ext uri="{28A0092B-C50C-407E-A947-70E740481C1C}">
                          <a14:useLocalDpi xmlns:a14="http://schemas.microsoft.com/office/drawing/2010/main" val="0"/>
                        </a:ext>
                      </a:extLst>
                    </a:blip>
                    <a:srcRect t="21348"/>
                    <a:stretch>
                      <a:fillRect/>
                    </a:stretch>
                  </pic:blipFill>
                  <pic:spPr>
                    <a:xfrm>
                      <a:off x="0" y="0"/>
                      <a:ext cx="5274310" cy="3111500"/>
                    </a:xfrm>
                    <a:prstGeom prst="rect">
                      <a:avLst/>
                    </a:prstGeom>
                    <a:noFill/>
                    <a:ln>
                      <a:noFill/>
                    </a:ln>
                  </pic:spPr>
                </pic:pic>
              </a:graphicData>
            </a:graphic>
          </wp:inline>
        </w:drawing>
      </w:r>
    </w:p>
    <w:p>
      <w:pPr>
        <w:pStyle w:val="5"/>
        <w:spacing w:line="360" w:lineRule="auto"/>
        <w:ind w:firstLine="482"/>
        <w:jc w:val="center"/>
        <w:rPr>
          <w:b/>
          <w:bCs/>
          <w:sz w:val="24"/>
          <w:lang w:val="en"/>
        </w:rPr>
      </w:pPr>
      <w:r>
        <w:rPr>
          <w:rFonts w:hint="eastAsia"/>
          <w:b/>
          <w:bCs/>
          <w:sz w:val="24"/>
          <w:lang w:val="en"/>
        </w:rPr>
        <w:t>图3</w:t>
      </w:r>
      <w:r>
        <w:rPr>
          <w:b/>
          <w:bCs/>
          <w:sz w:val="24"/>
          <w:lang w:val="en"/>
        </w:rPr>
        <w:t xml:space="preserve">  </w:t>
      </w:r>
      <w:r>
        <w:rPr>
          <w:rFonts w:hint="eastAsia"/>
          <w:b/>
          <w:bCs/>
          <w:sz w:val="24"/>
          <w:lang w:val="en"/>
        </w:rPr>
        <w:t>征求意见稿报纸公示截图</w:t>
      </w:r>
    </w:p>
    <w:p>
      <w:pPr>
        <w:pStyle w:val="4"/>
        <w:numPr>
          <w:ilvl w:val="2"/>
          <w:numId w:val="1"/>
        </w:numPr>
      </w:pPr>
      <w:r>
        <w:rPr>
          <w:rFonts w:hint="eastAsia"/>
        </w:rPr>
        <w:t>张贴</w:t>
      </w:r>
    </w:p>
    <w:p>
      <w:pPr>
        <w:pStyle w:val="5"/>
        <w:spacing w:line="360" w:lineRule="auto"/>
        <w:ind w:firstLine="480"/>
        <w:rPr>
          <w:sz w:val="24"/>
          <w:lang w:val="en"/>
        </w:rPr>
      </w:pPr>
      <w:r>
        <w:rPr>
          <w:rFonts w:hint="eastAsia"/>
          <w:sz w:val="24"/>
          <w:lang w:val="en"/>
        </w:rPr>
        <w:t>在可能受拟建项目影响的周边小区</w:t>
      </w:r>
      <w:r>
        <w:rPr>
          <w:sz w:val="24"/>
          <w:lang w:val="en"/>
        </w:rPr>
        <w:t>张贴</w:t>
      </w:r>
      <w:r>
        <w:rPr>
          <w:rFonts w:hint="eastAsia"/>
          <w:sz w:val="24"/>
          <w:lang w:val="en"/>
        </w:rPr>
        <w:t>《河南农业大学动物生物安全三级实验室环境影响报告书（征求意见稿）》</w:t>
      </w:r>
      <w:r>
        <w:rPr>
          <w:sz w:val="24"/>
          <w:lang w:val="en"/>
        </w:rPr>
        <w:t>公告。张贴现场情况见图</w:t>
      </w:r>
      <w:r>
        <w:rPr>
          <w:rFonts w:hint="eastAsia"/>
          <w:sz w:val="24"/>
          <w:lang w:val="en"/>
        </w:rPr>
        <w:t>4。</w:t>
      </w:r>
    </w:p>
    <w:p>
      <w:pPr>
        <w:pStyle w:val="5"/>
        <w:spacing w:line="360" w:lineRule="auto"/>
        <w:ind w:firstLine="0" w:firstLineChars="0"/>
        <w:rPr>
          <w:sz w:val="24"/>
          <w:lang w:val="en"/>
        </w:rPr>
      </w:pPr>
      <w:r>
        <w:drawing>
          <wp:inline distT="0" distB="0" distL="0" distR="0">
            <wp:extent cx="2383155" cy="31781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98793" cy="3198486"/>
                    </a:xfrm>
                    <a:prstGeom prst="rect">
                      <a:avLst/>
                    </a:prstGeom>
                    <a:noFill/>
                    <a:ln>
                      <a:noFill/>
                    </a:ln>
                  </pic:spPr>
                </pic:pic>
              </a:graphicData>
            </a:graphic>
          </wp:inline>
        </w:drawing>
      </w:r>
      <w:r>
        <w:rPr>
          <w:rFonts w:hint="eastAsia"/>
          <w:sz w:val="24"/>
          <w:lang w:val="en"/>
        </w:rPr>
        <w:t xml:space="preserve">    </w:t>
      </w:r>
      <w:r>
        <w:drawing>
          <wp:inline distT="0" distB="0" distL="0" distR="0">
            <wp:extent cx="2381250" cy="3175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14999" cy="3220094"/>
                    </a:xfrm>
                    <a:prstGeom prst="rect">
                      <a:avLst/>
                    </a:prstGeom>
                    <a:noFill/>
                    <a:ln>
                      <a:noFill/>
                    </a:ln>
                  </pic:spPr>
                </pic:pic>
              </a:graphicData>
            </a:graphic>
          </wp:inline>
        </w:drawing>
      </w:r>
    </w:p>
    <w:p>
      <w:pPr>
        <w:pStyle w:val="5"/>
        <w:spacing w:line="360" w:lineRule="auto"/>
        <w:ind w:firstLine="0" w:firstLineChars="0"/>
        <w:jc w:val="center"/>
        <w:rPr>
          <w:b/>
          <w:bCs/>
          <w:sz w:val="24"/>
          <w:lang w:val="en"/>
        </w:rPr>
      </w:pPr>
      <w:r>
        <w:rPr>
          <w:b/>
          <w:bCs/>
          <w:sz w:val="24"/>
          <w:lang w:val="en"/>
        </w:rPr>
        <w:t>图</w:t>
      </w:r>
      <w:r>
        <w:rPr>
          <w:rFonts w:hint="eastAsia"/>
          <w:b/>
          <w:bCs/>
          <w:sz w:val="24"/>
          <w:lang w:val="en"/>
        </w:rPr>
        <w:t>4  征求意见稿现场张贴照片</w:t>
      </w:r>
    </w:p>
    <w:p>
      <w:pPr>
        <w:pStyle w:val="3"/>
        <w:numPr>
          <w:ilvl w:val="1"/>
          <w:numId w:val="1"/>
        </w:numPr>
      </w:pPr>
      <w:r>
        <w:rPr>
          <w:rFonts w:hint="eastAsia"/>
        </w:rPr>
        <w:t>查阅情况</w:t>
      </w:r>
    </w:p>
    <w:p>
      <w:pPr>
        <w:pStyle w:val="5"/>
        <w:spacing w:line="360" w:lineRule="auto"/>
        <w:ind w:firstLine="480"/>
        <w:rPr>
          <w:lang w:val="en"/>
        </w:rPr>
      </w:pPr>
      <w:r>
        <w:rPr>
          <w:rFonts w:hint="eastAsia"/>
          <w:sz w:val="24"/>
          <w:lang w:val="en"/>
        </w:rPr>
        <w:t>建设单位分别在河南农业大学许昌校区会议室和传达室设置《河南农业大学动物生物安全三级实验室环境影响报告书（征求意见稿）》</w:t>
      </w:r>
      <w:r>
        <w:rPr>
          <w:rFonts w:hint="eastAsia"/>
          <w:sz w:val="24"/>
        </w:rPr>
        <w:t>查阅点，公示期间只有少数校内师生查阅。</w:t>
      </w:r>
    </w:p>
    <w:p>
      <w:pPr>
        <w:pStyle w:val="3"/>
        <w:numPr>
          <w:ilvl w:val="1"/>
          <w:numId w:val="1"/>
        </w:numPr>
      </w:pPr>
      <w:r>
        <w:rPr>
          <w:rFonts w:hint="eastAsia"/>
        </w:rPr>
        <w:t>公众意见情况</w:t>
      </w:r>
    </w:p>
    <w:p>
      <w:pPr>
        <w:pStyle w:val="5"/>
        <w:spacing w:line="360" w:lineRule="auto"/>
        <w:ind w:firstLine="480"/>
        <w:rPr>
          <w:sz w:val="24"/>
          <w:lang w:val="en"/>
        </w:rPr>
      </w:pPr>
      <w:r>
        <w:rPr>
          <w:rFonts w:hint="eastAsia"/>
          <w:sz w:val="24"/>
          <w:lang w:val="en"/>
        </w:rPr>
        <w:t>公示期间，建设单位和评价单位均未收到公众提出的意见。</w:t>
      </w:r>
    </w:p>
    <w:p>
      <w:pPr>
        <w:pStyle w:val="2"/>
        <w:numPr>
          <w:ilvl w:val="0"/>
          <w:numId w:val="1"/>
        </w:numPr>
        <w:rPr>
          <w:sz w:val="32"/>
          <w:szCs w:val="32"/>
        </w:rPr>
      </w:pPr>
      <w:r>
        <w:rPr>
          <w:rFonts w:hint="eastAsia"/>
          <w:sz w:val="32"/>
          <w:szCs w:val="32"/>
        </w:rPr>
        <w:t>其它公众参与情况</w:t>
      </w:r>
    </w:p>
    <w:p>
      <w:pPr>
        <w:pStyle w:val="5"/>
        <w:spacing w:line="360" w:lineRule="auto"/>
        <w:ind w:firstLine="480"/>
        <w:rPr>
          <w:rFonts w:hint="eastAsia"/>
          <w:sz w:val="24"/>
          <w:lang w:val="en"/>
        </w:rPr>
      </w:pPr>
      <w:r>
        <w:rPr>
          <w:rFonts w:hint="eastAsia"/>
          <w:sz w:val="24"/>
          <w:lang w:val="en"/>
        </w:rPr>
        <w:t>2022年1月26日，</w:t>
      </w:r>
      <w:r>
        <w:rPr>
          <w:rFonts w:hint="eastAsia"/>
          <w:sz w:val="24"/>
          <w:lang w:val="en-US" w:eastAsia="zh-CN"/>
        </w:rPr>
        <w:t>建设单位</w:t>
      </w:r>
      <w:r>
        <w:rPr>
          <w:rFonts w:hint="eastAsia"/>
          <w:sz w:val="24"/>
          <w:lang w:val="en"/>
        </w:rPr>
        <w:t>参加了科技部社会发展科技司召开的高等级病原微生物实验室建设审查视频会议（国科社便函〔2022〕39号），审查意见指出申请单位补充提交环境影响评价报告批复文件后批准项目的建设申请。</w:t>
      </w:r>
      <w:r>
        <w:rPr>
          <w:rFonts w:hint="eastAsia"/>
          <w:sz w:val="24"/>
          <w:lang w:val="en-US" w:eastAsia="zh-CN"/>
        </w:rPr>
        <w:t>因此，</w:t>
      </w:r>
      <w:r>
        <w:rPr>
          <w:sz w:val="24"/>
          <w:lang w:val="en"/>
        </w:rPr>
        <w:t>建设单位对项目可行性研究报告进行了修改完善，</w:t>
      </w:r>
      <w:r>
        <w:rPr>
          <w:rFonts w:hint="eastAsia"/>
          <w:sz w:val="24"/>
          <w:lang w:val="en"/>
        </w:rPr>
        <w:t>于</w:t>
      </w:r>
      <w:r>
        <w:rPr>
          <w:sz w:val="24"/>
          <w:lang w:val="en"/>
        </w:rPr>
        <w:t>2022年4月重启环境影响评价工作，</w:t>
      </w:r>
      <w:r>
        <w:rPr>
          <w:rFonts w:hint="eastAsia"/>
          <w:sz w:val="24"/>
          <w:lang w:val="en"/>
        </w:rPr>
        <w:t>项目主要建设内容保持不变。</w:t>
      </w:r>
      <w:r>
        <w:rPr>
          <w:sz w:val="24"/>
          <w:lang w:val="en"/>
        </w:rPr>
        <w:t>于2022年6月</w:t>
      </w:r>
      <w:r>
        <w:rPr>
          <w:rFonts w:hint="eastAsia"/>
          <w:sz w:val="24"/>
          <w:lang w:val="en"/>
        </w:rPr>
        <w:t>2日，组织周边居民代表、校内教师和学生代表共2</w:t>
      </w:r>
      <w:r>
        <w:rPr>
          <w:sz w:val="24"/>
          <w:lang w:val="en"/>
        </w:rPr>
        <w:t>2</w:t>
      </w:r>
      <w:r>
        <w:rPr>
          <w:rFonts w:hint="eastAsia"/>
          <w:sz w:val="24"/>
          <w:lang w:val="en"/>
        </w:rPr>
        <w:t>人，召开河南农业大学动物生物安全三级实验室项目建设环境影响公众座谈会</w:t>
      </w:r>
      <w:r>
        <w:rPr>
          <w:sz w:val="24"/>
          <w:lang w:val="en"/>
        </w:rPr>
        <w:t>。</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pStyle w:val="5"/>
              <w:spacing w:line="360" w:lineRule="auto"/>
              <w:ind w:firstLine="0" w:firstLineChars="0"/>
              <w:rPr>
                <w:kern w:val="0"/>
                <w:sz w:val="24"/>
                <w:lang w:val="en"/>
              </w:rPr>
            </w:pPr>
            <w:r>
              <w:rPr>
                <w:kern w:val="0"/>
                <w:sz w:val="24"/>
                <w:lang w:val="en"/>
              </w:rPr>
              <w:drawing>
                <wp:inline distT="0" distB="0" distL="0" distR="0">
                  <wp:extent cx="2519680" cy="1889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0000" cy="1890152"/>
                          </a:xfrm>
                          <a:prstGeom prst="rect">
                            <a:avLst/>
                          </a:prstGeom>
                          <a:noFill/>
                          <a:ln>
                            <a:noFill/>
                          </a:ln>
                        </pic:spPr>
                      </pic:pic>
                    </a:graphicData>
                  </a:graphic>
                </wp:inline>
              </w:drawing>
            </w:r>
          </w:p>
        </w:tc>
        <w:tc>
          <w:tcPr>
            <w:tcW w:w="4261" w:type="dxa"/>
          </w:tcPr>
          <w:p>
            <w:pPr>
              <w:pStyle w:val="5"/>
              <w:spacing w:line="360" w:lineRule="auto"/>
              <w:ind w:firstLine="0" w:firstLineChars="0"/>
              <w:rPr>
                <w:kern w:val="0"/>
                <w:sz w:val="24"/>
                <w:lang w:val="en"/>
              </w:rPr>
            </w:pPr>
            <w:r>
              <w:rPr>
                <w:kern w:val="0"/>
                <w:sz w:val="24"/>
                <w:lang w:val="en"/>
              </w:rPr>
              <w:drawing>
                <wp:inline distT="0" distB="0" distL="0" distR="0">
                  <wp:extent cx="2519680" cy="1889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0000" cy="189015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Pr>
          <w:p>
            <w:pPr>
              <w:pStyle w:val="5"/>
              <w:spacing w:line="360" w:lineRule="auto"/>
              <w:ind w:firstLine="0" w:firstLineChars="0"/>
              <w:rPr>
                <w:kern w:val="0"/>
                <w:sz w:val="24"/>
                <w:lang w:val="en"/>
              </w:rPr>
            </w:pPr>
            <w:r>
              <w:rPr>
                <w:kern w:val="0"/>
                <w:sz w:val="24"/>
                <w:lang w:val="en"/>
              </w:rPr>
              <w:drawing>
                <wp:inline distT="0" distB="0" distL="0" distR="0">
                  <wp:extent cx="2519680" cy="1889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1890151"/>
                          </a:xfrm>
                          <a:prstGeom prst="rect">
                            <a:avLst/>
                          </a:prstGeom>
                          <a:noFill/>
                          <a:ln>
                            <a:noFill/>
                          </a:ln>
                        </pic:spPr>
                      </pic:pic>
                    </a:graphicData>
                  </a:graphic>
                </wp:inline>
              </w:drawing>
            </w:r>
          </w:p>
        </w:tc>
        <w:tc>
          <w:tcPr>
            <w:tcW w:w="4261" w:type="dxa"/>
          </w:tcPr>
          <w:p>
            <w:pPr>
              <w:pStyle w:val="5"/>
              <w:spacing w:line="360" w:lineRule="auto"/>
              <w:ind w:firstLine="0" w:firstLineChars="0"/>
              <w:rPr>
                <w:kern w:val="0"/>
                <w:sz w:val="24"/>
                <w:lang w:val="en"/>
              </w:rPr>
            </w:pPr>
            <w:r>
              <w:rPr>
                <w:kern w:val="0"/>
                <w:sz w:val="24"/>
                <w:lang w:val="en"/>
              </w:rPr>
              <w:drawing>
                <wp:inline distT="0" distB="0" distL="0" distR="0">
                  <wp:extent cx="2519680" cy="1889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1890152"/>
                          </a:xfrm>
                          <a:prstGeom prst="rect">
                            <a:avLst/>
                          </a:prstGeom>
                          <a:noFill/>
                          <a:ln>
                            <a:noFill/>
                          </a:ln>
                        </pic:spPr>
                      </pic:pic>
                    </a:graphicData>
                  </a:graphic>
                </wp:inline>
              </w:drawing>
            </w:r>
          </w:p>
        </w:tc>
      </w:tr>
    </w:tbl>
    <w:p>
      <w:pPr>
        <w:pStyle w:val="5"/>
        <w:spacing w:line="360" w:lineRule="auto"/>
        <w:ind w:firstLine="0" w:firstLineChars="0"/>
        <w:jc w:val="center"/>
        <w:rPr>
          <w:b/>
          <w:bCs/>
          <w:sz w:val="24"/>
          <w:lang w:val="en"/>
        </w:rPr>
      </w:pPr>
      <w:r>
        <w:rPr>
          <w:b/>
          <w:bCs/>
          <w:sz w:val="24"/>
          <w:lang w:val="en"/>
        </w:rPr>
        <w:t>图5</w:t>
      </w:r>
      <w:r>
        <w:rPr>
          <w:rFonts w:hint="eastAsia"/>
          <w:b/>
          <w:bCs/>
          <w:sz w:val="24"/>
          <w:lang w:val="en"/>
        </w:rPr>
        <w:t xml:space="preserve">  座谈会现场照片</w:t>
      </w:r>
    </w:p>
    <w:p>
      <w:pPr>
        <w:pStyle w:val="5"/>
        <w:spacing w:line="360" w:lineRule="auto"/>
        <w:rPr>
          <w:sz w:val="24"/>
          <w:lang w:val="en"/>
        </w:rPr>
      </w:pPr>
      <w:r>
        <w:drawing>
          <wp:inline distT="0" distB="0" distL="0" distR="0">
            <wp:extent cx="5274310" cy="18491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4310" cy="1849120"/>
                    </a:xfrm>
                    <a:prstGeom prst="rect">
                      <a:avLst/>
                    </a:prstGeom>
                  </pic:spPr>
                </pic:pic>
              </a:graphicData>
            </a:graphic>
          </wp:inline>
        </w:drawing>
      </w:r>
    </w:p>
    <w:p>
      <w:pPr>
        <w:pStyle w:val="5"/>
        <w:spacing w:line="360" w:lineRule="auto"/>
        <w:rPr>
          <w:sz w:val="24"/>
          <w:lang w:val="en"/>
        </w:rPr>
      </w:pPr>
      <w:r>
        <w:drawing>
          <wp:inline distT="0" distB="0" distL="0" distR="0">
            <wp:extent cx="5274310" cy="30867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3086735"/>
                    </a:xfrm>
                    <a:prstGeom prst="rect">
                      <a:avLst/>
                    </a:prstGeom>
                  </pic:spPr>
                </pic:pic>
              </a:graphicData>
            </a:graphic>
          </wp:inline>
        </w:drawing>
      </w:r>
    </w:p>
    <w:p>
      <w:pPr>
        <w:pStyle w:val="5"/>
        <w:spacing w:line="360" w:lineRule="auto"/>
        <w:rPr>
          <w:rFonts w:hint="eastAsia"/>
          <w:sz w:val="24"/>
          <w:lang w:val="en"/>
        </w:rPr>
      </w:pPr>
      <w:r>
        <w:drawing>
          <wp:inline distT="0" distB="0" distL="0" distR="0">
            <wp:extent cx="5274310" cy="31089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3108960"/>
                    </a:xfrm>
                    <a:prstGeom prst="rect">
                      <a:avLst/>
                    </a:prstGeom>
                  </pic:spPr>
                </pic:pic>
              </a:graphicData>
            </a:graphic>
          </wp:inline>
        </w:drawing>
      </w:r>
    </w:p>
    <w:p>
      <w:pPr>
        <w:pStyle w:val="5"/>
        <w:spacing w:line="360" w:lineRule="auto"/>
        <w:ind w:firstLine="0" w:firstLineChars="0"/>
        <w:jc w:val="center"/>
        <w:rPr>
          <w:b/>
          <w:bCs/>
          <w:sz w:val="24"/>
          <w:lang w:val="en"/>
        </w:rPr>
      </w:pPr>
      <w:r>
        <w:rPr>
          <w:b/>
          <w:bCs/>
          <w:sz w:val="24"/>
          <w:lang w:val="en"/>
        </w:rPr>
        <w:t>图6</w:t>
      </w:r>
      <w:r>
        <w:rPr>
          <w:rFonts w:hint="eastAsia"/>
          <w:b/>
          <w:bCs/>
          <w:sz w:val="24"/>
          <w:lang w:val="en"/>
        </w:rPr>
        <w:t xml:space="preserve">  座谈会签到表</w:t>
      </w:r>
    </w:p>
    <w:p>
      <w:pPr>
        <w:pStyle w:val="5"/>
        <w:spacing w:line="360" w:lineRule="auto"/>
        <w:ind w:firstLine="480"/>
        <w:rPr>
          <w:rFonts w:hint="eastAsia"/>
          <w:sz w:val="24"/>
          <w:lang w:val="en"/>
        </w:rPr>
      </w:pPr>
    </w:p>
    <w:p>
      <w:pPr>
        <w:pStyle w:val="5"/>
        <w:spacing w:line="360" w:lineRule="auto"/>
        <w:ind w:firstLine="0" w:firstLineChars="0"/>
        <w:rPr>
          <w:sz w:val="24"/>
          <w:lang w:val="en"/>
        </w:rPr>
      </w:pPr>
      <w:r>
        <w:drawing>
          <wp:inline distT="0" distB="0" distL="0" distR="0">
            <wp:extent cx="5399405" cy="7548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l="6382" t="5622" r="7416" b="9137"/>
                    <a:stretch>
                      <a:fillRect/>
                    </a:stretch>
                  </pic:blipFill>
                  <pic:spPr>
                    <a:xfrm>
                      <a:off x="0" y="0"/>
                      <a:ext cx="5400000" cy="7549441"/>
                    </a:xfrm>
                    <a:prstGeom prst="rect">
                      <a:avLst/>
                    </a:prstGeom>
                    <a:noFill/>
                    <a:ln>
                      <a:noFill/>
                    </a:ln>
                  </pic:spPr>
                </pic:pic>
              </a:graphicData>
            </a:graphic>
          </wp:inline>
        </w:drawing>
      </w:r>
    </w:p>
    <w:p>
      <w:pPr>
        <w:pStyle w:val="5"/>
        <w:spacing w:line="360" w:lineRule="auto"/>
        <w:ind w:firstLine="0" w:firstLineChars="0"/>
        <w:jc w:val="center"/>
        <w:rPr>
          <w:b/>
          <w:bCs/>
          <w:sz w:val="24"/>
          <w:lang w:val="en"/>
        </w:rPr>
      </w:pPr>
      <w:r>
        <w:rPr>
          <w:b/>
          <w:bCs/>
          <w:sz w:val="24"/>
          <w:lang w:val="en"/>
        </w:rPr>
        <w:t>图6</w:t>
      </w:r>
      <w:r>
        <w:rPr>
          <w:rFonts w:hint="eastAsia"/>
          <w:b/>
          <w:bCs/>
          <w:sz w:val="24"/>
          <w:lang w:val="en"/>
        </w:rPr>
        <w:t xml:space="preserve">  座谈会会议纪要</w:t>
      </w:r>
    </w:p>
    <w:p>
      <w:pPr>
        <w:pStyle w:val="5"/>
        <w:spacing w:line="360" w:lineRule="auto"/>
        <w:ind w:firstLine="480"/>
        <w:rPr>
          <w:sz w:val="24"/>
          <w:lang w:val="en"/>
        </w:rPr>
      </w:pPr>
      <w:r>
        <w:rPr>
          <w:rFonts w:hint="eastAsia"/>
          <w:sz w:val="24"/>
          <w:lang w:val="en"/>
        </w:rPr>
        <w:t>座谈期间，周边可能受影响居民代表和基地老师及学生代表勘查了项目现场，学校和环评单位介绍了项目建设概况及主要环评结论，与会代表均表示支持该项目建设，同意项目环评报告提出的相关环保措施。</w:t>
      </w:r>
    </w:p>
    <w:p>
      <w:pPr>
        <w:pStyle w:val="2"/>
        <w:numPr>
          <w:ilvl w:val="0"/>
          <w:numId w:val="1"/>
        </w:numPr>
        <w:rPr>
          <w:sz w:val="32"/>
          <w:szCs w:val="32"/>
        </w:rPr>
      </w:pPr>
      <w:r>
        <w:rPr>
          <w:rFonts w:hint="eastAsia"/>
          <w:sz w:val="32"/>
          <w:szCs w:val="32"/>
        </w:rPr>
        <w:t>公众意见处理情况</w:t>
      </w:r>
    </w:p>
    <w:p>
      <w:pPr>
        <w:pStyle w:val="5"/>
        <w:spacing w:line="360" w:lineRule="auto"/>
        <w:ind w:firstLine="480"/>
        <w:rPr>
          <w:sz w:val="24"/>
          <w:lang w:val="en"/>
        </w:rPr>
      </w:pPr>
      <w:r>
        <w:rPr>
          <w:rFonts w:hint="eastAsia" w:ascii="宋体" w:hAnsi="宋体" w:cs="宋体"/>
          <w:kern w:val="0"/>
          <w:sz w:val="24"/>
        </w:rPr>
        <w:t>公示期间，</w:t>
      </w:r>
      <w:r>
        <w:rPr>
          <w:rFonts w:hint="eastAsia"/>
          <w:sz w:val="24"/>
          <w:lang w:val="en"/>
        </w:rPr>
        <w:t>通过电话、邮件、信件、现场查阅等方式，均未收到公众提出的意见和建议。</w:t>
      </w:r>
      <w:r>
        <w:rPr>
          <w:rFonts w:hint="eastAsia" w:ascii="宋体" w:hAnsi="宋体" w:cs="宋体"/>
          <w:kern w:val="0"/>
          <w:sz w:val="24"/>
        </w:rPr>
        <w:t>因此，建设单位不需处理公众意见。</w:t>
      </w:r>
    </w:p>
    <w:p>
      <w:pPr>
        <w:rPr>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C16AE6"/>
    <w:multiLevelType w:val="multilevel"/>
    <w:tmpl w:val="52C16AE6"/>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mODI0MDgyMjk3ZDFmYmQ0YWIwZjU5NTlmMTk0OGMifQ=="/>
  </w:docVars>
  <w:rsids>
    <w:rsidRoot w:val="00C9559D"/>
    <w:rsid w:val="00025E2B"/>
    <w:rsid w:val="0005722C"/>
    <w:rsid w:val="000B679D"/>
    <w:rsid w:val="00163346"/>
    <w:rsid w:val="002D346D"/>
    <w:rsid w:val="002D3C05"/>
    <w:rsid w:val="002D6A8A"/>
    <w:rsid w:val="002F5069"/>
    <w:rsid w:val="00374AA2"/>
    <w:rsid w:val="003B77C2"/>
    <w:rsid w:val="003D12D5"/>
    <w:rsid w:val="00450346"/>
    <w:rsid w:val="00451980"/>
    <w:rsid w:val="00451DA4"/>
    <w:rsid w:val="004C6DD2"/>
    <w:rsid w:val="004D403E"/>
    <w:rsid w:val="005740C0"/>
    <w:rsid w:val="005B02DF"/>
    <w:rsid w:val="00661B17"/>
    <w:rsid w:val="006862ED"/>
    <w:rsid w:val="00727437"/>
    <w:rsid w:val="00743DF8"/>
    <w:rsid w:val="007C33AE"/>
    <w:rsid w:val="0082672D"/>
    <w:rsid w:val="008C3D21"/>
    <w:rsid w:val="008D3454"/>
    <w:rsid w:val="008E78B0"/>
    <w:rsid w:val="009104F3"/>
    <w:rsid w:val="0091739C"/>
    <w:rsid w:val="00985D80"/>
    <w:rsid w:val="00A3023B"/>
    <w:rsid w:val="00A41722"/>
    <w:rsid w:val="00AE7F25"/>
    <w:rsid w:val="00B136F1"/>
    <w:rsid w:val="00B13EDD"/>
    <w:rsid w:val="00B34CF3"/>
    <w:rsid w:val="00BF693C"/>
    <w:rsid w:val="00C35B53"/>
    <w:rsid w:val="00C54547"/>
    <w:rsid w:val="00C61318"/>
    <w:rsid w:val="00C9559D"/>
    <w:rsid w:val="00D010F9"/>
    <w:rsid w:val="00D077D4"/>
    <w:rsid w:val="00D23174"/>
    <w:rsid w:val="00D53EFE"/>
    <w:rsid w:val="00D711DC"/>
    <w:rsid w:val="00D71EBF"/>
    <w:rsid w:val="00DF489B"/>
    <w:rsid w:val="00E00AC7"/>
    <w:rsid w:val="00E261BD"/>
    <w:rsid w:val="00E537BD"/>
    <w:rsid w:val="00EE4B3C"/>
    <w:rsid w:val="00F04275"/>
    <w:rsid w:val="00F414CB"/>
    <w:rsid w:val="00F44A63"/>
    <w:rsid w:val="00F933AA"/>
    <w:rsid w:val="00F93418"/>
    <w:rsid w:val="00FE1CCA"/>
    <w:rsid w:val="04556437"/>
    <w:rsid w:val="1DCB7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nhideWhenUsed="0" w:uiPriority="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Normal Indent"/>
    <w:basedOn w:val="1"/>
    <w:link w:val="23"/>
    <w:uiPriority w:val="0"/>
    <w:pPr>
      <w:ind w:firstLine="420" w:firstLineChars="200"/>
    </w:pPr>
    <w:rPr>
      <w:rFonts w:ascii="Times New Roman" w:hAnsi="Times New Roman" w:eastAsia="宋体" w:cs="Times New Roman"/>
      <w:szCs w:val="24"/>
    </w:rPr>
  </w:style>
  <w:style w:type="paragraph" w:styleId="6">
    <w:name w:val="annotation text"/>
    <w:basedOn w:val="1"/>
    <w:link w:val="21"/>
    <w:semiHidden/>
    <w:uiPriority w:val="0"/>
    <w:pPr>
      <w:jc w:val="left"/>
    </w:pPr>
    <w:rPr>
      <w:rFonts w:ascii="Times New Roman" w:hAnsi="Times New Roman" w:eastAsia="宋体" w:cs="Times New Roman"/>
      <w:szCs w:val="24"/>
    </w:rPr>
  </w:style>
  <w:style w:type="paragraph" w:styleId="7">
    <w:name w:val="Balloon Text"/>
    <w:basedOn w:val="1"/>
    <w:link w:val="22"/>
    <w:semiHidden/>
    <w:unhideWhenUsed/>
    <w:uiPriority w:val="99"/>
    <w:rPr>
      <w:sz w:val="18"/>
      <w:szCs w:val="18"/>
    </w:rPr>
  </w:style>
  <w:style w:type="paragraph" w:styleId="8">
    <w:name w:val="footer"/>
    <w:basedOn w:val="1"/>
    <w:link w:val="26"/>
    <w:unhideWhenUsed/>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uiPriority w:val="99"/>
    <w:rPr>
      <w:color w:val="0000FF" w:themeColor="hyperlink"/>
      <w:u w:val="single"/>
      <w14:textFill>
        <w14:solidFill>
          <w14:schemeClr w14:val="hlink"/>
        </w14:solidFill>
      </w14:textFill>
    </w:rPr>
  </w:style>
  <w:style w:type="character" w:styleId="14">
    <w:name w:val="annotation reference"/>
    <w:semiHidden/>
    <w:uiPriority w:val="0"/>
    <w:rPr>
      <w:sz w:val="21"/>
      <w:szCs w:val="21"/>
    </w:rPr>
  </w:style>
  <w:style w:type="character" w:customStyle="1" w:styleId="15">
    <w:name w:val="标题 1 字符"/>
    <w:basedOn w:val="12"/>
    <w:link w:val="2"/>
    <w:uiPriority w:val="9"/>
    <w:rPr>
      <w:b/>
      <w:bCs/>
      <w:kern w:val="44"/>
      <w:sz w:val="44"/>
      <w:szCs w:val="44"/>
    </w:rPr>
  </w:style>
  <w:style w:type="character" w:customStyle="1" w:styleId="16">
    <w:name w:val="标题 2 字符"/>
    <w:basedOn w:val="12"/>
    <w:link w:val="3"/>
    <w:uiPriority w:val="9"/>
    <w:rPr>
      <w:rFonts w:asciiTheme="majorHAnsi" w:hAnsiTheme="majorHAnsi" w:eastAsiaTheme="majorEastAsia" w:cstheme="majorBidi"/>
      <w:b/>
      <w:bCs/>
      <w:sz w:val="32"/>
      <w:szCs w:val="32"/>
    </w:rPr>
  </w:style>
  <w:style w:type="paragraph" w:styleId="17">
    <w:name w:val="List Paragraph"/>
    <w:basedOn w:val="1"/>
    <w:qFormat/>
    <w:uiPriority w:val="34"/>
    <w:pPr>
      <w:ind w:firstLine="420" w:firstLineChars="200"/>
    </w:pPr>
  </w:style>
  <w:style w:type="character" w:customStyle="1" w:styleId="18">
    <w:name w:val="标题 3 字符"/>
    <w:basedOn w:val="12"/>
    <w:link w:val="4"/>
    <w:uiPriority w:val="9"/>
    <w:rPr>
      <w:b/>
      <w:bCs/>
      <w:sz w:val="32"/>
      <w:szCs w:val="32"/>
    </w:rPr>
  </w:style>
  <w:style w:type="paragraph" w:customStyle="1" w:styleId="19">
    <w:name w:val="段落1"/>
    <w:basedOn w:val="1"/>
    <w:link w:val="20"/>
    <w:uiPriority w:val="0"/>
    <w:pPr>
      <w:adjustRightInd w:val="0"/>
      <w:spacing w:line="360" w:lineRule="auto"/>
      <w:ind w:firstLine="504" w:firstLineChars="200"/>
      <w:textAlignment w:val="baseline"/>
    </w:pPr>
    <w:rPr>
      <w:rFonts w:ascii="Times New Roman" w:hAnsi="Times New Roman" w:eastAsia="宋体" w:cs="Times New Roman"/>
      <w:spacing w:val="6"/>
      <w:sz w:val="24"/>
      <w:szCs w:val="24"/>
      <w:lang w:val="zh-CN"/>
    </w:rPr>
  </w:style>
  <w:style w:type="character" w:customStyle="1" w:styleId="20">
    <w:name w:val="段落1 Char1"/>
    <w:link w:val="19"/>
    <w:uiPriority w:val="0"/>
    <w:rPr>
      <w:rFonts w:ascii="Times New Roman" w:hAnsi="Times New Roman" w:eastAsia="宋体" w:cs="Times New Roman"/>
      <w:spacing w:val="6"/>
      <w:sz w:val="24"/>
      <w:szCs w:val="24"/>
      <w:lang w:val="zh-CN"/>
    </w:rPr>
  </w:style>
  <w:style w:type="character" w:customStyle="1" w:styleId="21">
    <w:name w:val="批注文字 字符"/>
    <w:basedOn w:val="12"/>
    <w:link w:val="6"/>
    <w:semiHidden/>
    <w:uiPriority w:val="0"/>
    <w:rPr>
      <w:rFonts w:ascii="Times New Roman" w:hAnsi="Times New Roman" w:eastAsia="宋体" w:cs="Times New Roman"/>
      <w:szCs w:val="24"/>
    </w:rPr>
  </w:style>
  <w:style w:type="character" w:customStyle="1" w:styleId="22">
    <w:name w:val="批注框文本 字符"/>
    <w:basedOn w:val="12"/>
    <w:link w:val="7"/>
    <w:semiHidden/>
    <w:qFormat/>
    <w:uiPriority w:val="99"/>
    <w:rPr>
      <w:sz w:val="18"/>
      <w:szCs w:val="18"/>
    </w:rPr>
  </w:style>
  <w:style w:type="character" w:customStyle="1" w:styleId="23">
    <w:name w:val="正文缩进 字符"/>
    <w:link w:val="5"/>
    <w:uiPriority w:val="0"/>
    <w:rPr>
      <w:rFonts w:ascii="Times New Roman" w:hAnsi="Times New Roman" w:eastAsia="宋体" w:cs="Times New Roman"/>
      <w:szCs w:val="24"/>
    </w:rPr>
  </w:style>
  <w:style w:type="character" w:customStyle="1" w:styleId="24">
    <w:name w:val="Unresolved Mention"/>
    <w:basedOn w:val="12"/>
    <w:semiHidden/>
    <w:unhideWhenUsed/>
    <w:uiPriority w:val="99"/>
    <w:rPr>
      <w:color w:val="605E5C"/>
      <w:shd w:val="clear" w:color="auto" w:fill="E1DFDD"/>
    </w:rPr>
  </w:style>
  <w:style w:type="character" w:customStyle="1" w:styleId="25">
    <w:name w:val="页眉 字符"/>
    <w:basedOn w:val="12"/>
    <w:link w:val="9"/>
    <w:uiPriority w:val="99"/>
    <w:rPr>
      <w:sz w:val="18"/>
      <w:szCs w:val="18"/>
    </w:rPr>
  </w:style>
  <w:style w:type="character" w:customStyle="1" w:styleId="26">
    <w:name w:val="页脚 字符"/>
    <w:basedOn w:val="12"/>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1369</Words>
  <Characters>1459</Characters>
  <Lines>11</Lines>
  <Paragraphs>3</Paragraphs>
  <TotalTime>162</TotalTime>
  <ScaleCrop>false</ScaleCrop>
  <LinksUpToDate>false</LinksUpToDate>
  <CharactersWithSpaces>1483</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2019-07-22T05:59:00Z</dcterms:created>
  <dc:creator>wxy</dc:creator>
  <cp:lastModifiedBy>123</cp:lastModifiedBy>
  <cp:lastPrinted>2019-07-23T06:21:00Z</cp:lastPrinted>
  <dcterms:modified xsi:type="dcterms:W3CDTF">2022-07-11T09:02:03Z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EBF87CED148944E4A8AF956D029798FD</vt:lpwstr>
  </property>
</Properties>
</file>