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240" w:lineRule="auto"/>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许环建审〔20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号</w:t>
      </w:r>
    </w:p>
    <w:p>
      <w:pPr>
        <w:keepNext w:val="0"/>
        <w:keepLines w:val="0"/>
        <w:pageBreakBefore w:val="0"/>
        <w:kinsoku/>
        <w:wordWrap/>
        <w:overflowPunct/>
        <w:topLinePunct w:val="0"/>
        <w:bidi w:val="0"/>
        <w:snapToGrid/>
        <w:spacing w:line="240" w:lineRule="auto"/>
        <w:ind w:left="0" w:leftChars="0" w:right="0" w:rightChars="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许昌市生态环境局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关于许昌</w:t>
      </w:r>
      <w:r>
        <w:rPr>
          <w:rFonts w:hint="eastAsia" w:ascii="方正小标宋简体" w:hAnsi="方正小标宋简体" w:eastAsia="方正小标宋简体" w:cs="方正小标宋简体"/>
          <w:b/>
          <w:sz w:val="44"/>
          <w:szCs w:val="44"/>
          <w:lang w:val="en-US" w:eastAsia="zh-CN"/>
        </w:rPr>
        <w:t>市京昌塑料制品有限公司年产500吨聚乙烯塑料薄膜生产</w:t>
      </w:r>
      <w:r>
        <w:rPr>
          <w:rFonts w:hint="eastAsia" w:ascii="方正小标宋简体" w:hAnsi="方正小标宋简体" w:eastAsia="方正小标宋简体" w:cs="方正小标宋简体"/>
          <w:b/>
          <w:sz w:val="44"/>
          <w:szCs w:val="44"/>
        </w:rPr>
        <w:t>项目环境影响报告表的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z w:val="44"/>
          <w:szCs w:val="44"/>
        </w:rPr>
        <w:t>批</w:t>
      </w:r>
      <w:r>
        <w:rPr>
          <w:rFonts w:hint="eastAsia" w:ascii="方正小标宋简体" w:hAnsi="方正小标宋简体" w:eastAsia="方正小标宋简体" w:cs="方正小标宋简体"/>
          <w:b/>
          <w:sz w:val="44"/>
          <w:szCs w:val="44"/>
          <w:lang w:val="en-US" w:eastAsia="zh-CN"/>
        </w:rPr>
        <w:t xml:space="preserve">  </w:t>
      </w:r>
      <w:r>
        <w:rPr>
          <w:rFonts w:hint="eastAsia" w:ascii="方正小标宋简体" w:hAnsi="方正小标宋简体" w:eastAsia="方正小标宋简体" w:cs="方正小标宋简体"/>
          <w:b/>
          <w:sz w:val="44"/>
          <w:szCs w:val="44"/>
        </w:rPr>
        <w:t>复</w:t>
      </w:r>
    </w:p>
    <w:p>
      <w:pPr>
        <w:keepNext w:val="0"/>
        <w:keepLines w:val="0"/>
        <w:pageBreakBefore w:val="0"/>
        <w:kinsoku/>
        <w:wordWrap/>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w:t>
      </w:r>
      <w:r>
        <w:rPr>
          <w:rFonts w:hint="eastAsia" w:ascii="仿宋_GB2312" w:hAnsi="仿宋_GB2312" w:eastAsia="仿宋_GB2312" w:cs="仿宋_GB2312"/>
          <w:sz w:val="32"/>
          <w:szCs w:val="32"/>
          <w:lang w:val="en-US" w:eastAsia="zh-CN"/>
        </w:rPr>
        <w:t>市京昌塑料制品有限公司</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你公司（统一社会信用代码：91411</w:t>
      </w:r>
      <w:r>
        <w:rPr>
          <w:rFonts w:hint="eastAsia" w:ascii="仿宋_GB2312" w:hAnsi="仿宋_GB2312" w:eastAsia="仿宋_GB2312" w:cs="仿宋_GB2312"/>
          <w:sz w:val="32"/>
          <w:szCs w:val="32"/>
          <w:lang w:val="en-US" w:eastAsia="zh-CN"/>
        </w:rPr>
        <w:t>000749232567H</w:t>
      </w:r>
      <w:r>
        <w:rPr>
          <w:rFonts w:hint="eastAsia" w:ascii="仿宋_GB2312" w:hAnsi="仿宋_GB2312" w:eastAsia="仿宋_GB2312" w:cs="仿宋_GB2312"/>
          <w:sz w:val="32"/>
          <w:szCs w:val="32"/>
        </w:rPr>
        <w:t>）上报的由</w:t>
      </w:r>
      <w:r>
        <w:rPr>
          <w:rFonts w:hint="eastAsia" w:ascii="仿宋_GB2312" w:hAnsi="仿宋_GB2312" w:eastAsia="仿宋_GB2312" w:cs="仿宋_GB2312"/>
          <w:sz w:val="32"/>
          <w:szCs w:val="32"/>
          <w:lang w:val="en-US" w:eastAsia="zh-CN"/>
        </w:rPr>
        <w:t>河南哲达环保科技</w:t>
      </w:r>
      <w:r>
        <w:rPr>
          <w:rFonts w:hint="eastAsia" w:ascii="仿宋_GB2312" w:hAnsi="仿宋_GB2312" w:eastAsia="仿宋_GB2312" w:cs="仿宋_GB2312"/>
          <w:sz w:val="32"/>
          <w:szCs w:val="32"/>
        </w:rPr>
        <w:t>有限公司编制完成的《许昌</w:t>
      </w:r>
      <w:r>
        <w:rPr>
          <w:rFonts w:hint="eastAsia" w:ascii="仿宋_GB2312" w:hAnsi="仿宋_GB2312" w:eastAsia="仿宋_GB2312" w:cs="仿宋_GB2312"/>
          <w:sz w:val="32"/>
          <w:szCs w:val="32"/>
          <w:lang w:val="en-US" w:eastAsia="zh-CN"/>
        </w:rPr>
        <w:t>市京昌塑料制品有限公司年产500吨聚乙烯塑料薄膜生产</w:t>
      </w:r>
      <w:r>
        <w:rPr>
          <w:rFonts w:hint="eastAsia" w:ascii="仿宋_GB2312" w:hAnsi="仿宋_GB2312" w:eastAsia="仿宋_GB2312" w:cs="仿宋_GB2312"/>
          <w:sz w:val="32"/>
          <w:szCs w:val="32"/>
        </w:rPr>
        <w:t>项目环境影响报告表（报批版）》（以下简称《报告表》）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numPr>
          <w:ilvl w:val="0"/>
          <w:numId w:val="1"/>
        </w:numPr>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表》内容符合国家有关法律法规要求和建设项目环境管理规定，评价结论可信。我局批准该《报告表》，原则同意你公司按照《报告表》所列项目的性质、规模、地点、采用的生产工艺和环境保护对策进行项目建设。你公司应按照《关于印发建设项目环境影响评价信息公开机制方案的通知》（环发〔2015〕162号）要求，主动公开业经批准的《报告表》，做好建设项目环境信息公开工作，并接受相关方的咨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rPr>
      </w:pPr>
      <w:r>
        <w:rPr>
          <w:rFonts w:hint="eastAsia" w:ascii="仿宋" w:hAnsi="仿宋" w:eastAsia="仿宋" w:cs="仿宋"/>
          <w:sz w:val="32"/>
          <w:szCs w:val="32"/>
        </w:rPr>
        <w:t>二、项目位于</w:t>
      </w:r>
      <w:r>
        <w:rPr>
          <w:rFonts w:hint="eastAsia" w:ascii="Times New Roman" w:hAnsi="Times New Roman" w:eastAsia="仿宋" w:cs="Times New Roman"/>
          <w:color w:val="auto"/>
          <w:sz w:val="32"/>
          <w:szCs w:val="32"/>
          <w:lang w:val="en-US" w:eastAsia="zh-CN"/>
        </w:rPr>
        <w:t>许昌经济技术开发区岳氏精忠科技有限公司院内</w:t>
      </w:r>
      <w:r>
        <w:rPr>
          <w:rFonts w:hint="eastAsia" w:ascii="仿宋" w:hAnsi="仿宋" w:eastAsia="仿宋" w:cs="仿宋"/>
          <w:sz w:val="32"/>
          <w:szCs w:val="32"/>
        </w:rPr>
        <w:t>，</w:t>
      </w:r>
      <w:r>
        <w:rPr>
          <w:rFonts w:hint="eastAsia" w:ascii="Times New Roman" w:hAnsi="Times New Roman" w:eastAsia="仿宋" w:cs="Times New Roman"/>
          <w:color w:val="auto"/>
          <w:sz w:val="32"/>
          <w:szCs w:val="32"/>
          <w:lang w:val="en-US" w:eastAsia="zh-CN"/>
        </w:rPr>
        <w:t>租用建成车间，主要工艺为配料、吹塑、收卷、制袋</w:t>
      </w:r>
      <w:r>
        <w:rPr>
          <w:rFonts w:hint="eastAsia" w:ascii="仿宋" w:hAnsi="仿宋" w:eastAsia="仿宋" w:cs="仿宋"/>
          <w:sz w:val="32"/>
          <w:szCs w:val="32"/>
        </w:rPr>
        <w:t>。</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三、你公司应全面落实《报告表》提出的各项环境保护措施，确保各项环境保护设施与主体工程同时设计、同时施工、同时投入使用，确保各项污染物达标排放。</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（一）向设计单位提供《报告表》和本批复文件，确保项目设计按照环境保护设计规范要求，落实防治环境污染和生态破坏的措施以及环保设施投资概算。</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（二）依据《报告表》和本批复文件，对项目建设过程中产生的废水、废气、固体废物、噪声等污染采取相应的防治措施。</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项目外排污染物应满足以下要求：</w:t>
      </w:r>
    </w:p>
    <w:p>
      <w:pPr>
        <w:keepNext w:val="0"/>
        <w:keepLines w:val="0"/>
        <w:pageBreakBefore w:val="0"/>
        <w:kinsoku/>
        <w:wordWrap/>
        <w:overflowPunct/>
        <w:topLinePunct w:val="0"/>
        <w:bidi w:val="0"/>
        <w:snapToGrid/>
        <w:spacing w:line="240" w:lineRule="auto"/>
        <w:ind w:left="0" w:leftChars="0" w:right="0" w:rightChars="0" w:firstLine="640" w:firstLineChars="200"/>
        <w:jc w:val="both"/>
        <w:textAlignment w:val="auto"/>
        <w:outlineLvl w:val="9"/>
        <w:rPr>
          <w:rFonts w:ascii="Times New Roman" w:hAnsi="Times New Roman" w:eastAsia="仿宋"/>
          <w:color w:val="auto"/>
          <w:sz w:val="32"/>
          <w:szCs w:val="32"/>
        </w:rPr>
      </w:pPr>
      <w:r>
        <w:rPr>
          <w:rFonts w:hint="eastAsia" w:ascii="仿宋_GB2312" w:hAnsi="仿宋_GB2312" w:eastAsia="仿宋_GB2312" w:cs="仿宋_GB2312"/>
          <w:color w:val="000000"/>
          <w:sz w:val="32"/>
          <w:szCs w:val="32"/>
        </w:rPr>
        <w:t>1、废水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项目无生产废水，生活废水经化粪池预处理后排入屯南三达水务有限公司，污染物排放需满足《污水综合排放标准》（GB8978-1996）三级标准及屯南三达水务有限公司收水指标要求。</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2、废气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本项目废气</w:t>
      </w:r>
      <w:r>
        <w:rPr>
          <w:rFonts w:hint="eastAsia" w:ascii="仿宋_GB2312" w:hAnsi="仿宋_GB2312" w:eastAsia="仿宋_GB2312" w:cs="仿宋_GB2312"/>
          <w:color w:val="000000"/>
          <w:sz w:val="32"/>
          <w:szCs w:val="32"/>
          <w:lang w:val="en-US" w:eastAsia="zh-CN"/>
        </w:rPr>
        <w:t>主要为吹膜机和制袋机产生的有机废气。</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val="en-US" w:eastAsia="zh-CN"/>
        </w:rPr>
        <w:t>在封闭车间内对吹膜机进行二次封闭，设置负压抽风系统，在制袋机封切刀上方设置集气罩</w:t>
      </w:r>
      <w:r>
        <w:rPr>
          <w:rFonts w:hint="eastAsia" w:ascii="仿宋_GB2312" w:hAnsi="仿宋_GB2312" w:eastAsia="仿宋_GB2312" w:cs="仿宋_GB2312"/>
          <w:color w:val="000000"/>
          <w:sz w:val="32"/>
          <w:szCs w:val="32"/>
        </w:rPr>
        <w:t>，收集后</w:t>
      </w:r>
      <w:r>
        <w:rPr>
          <w:rFonts w:hint="eastAsia" w:ascii="仿宋_GB2312" w:hAnsi="仿宋_GB2312" w:eastAsia="仿宋_GB2312" w:cs="仿宋_GB2312"/>
          <w:color w:val="000000"/>
          <w:sz w:val="32"/>
          <w:szCs w:val="32"/>
          <w:lang w:val="en-US" w:eastAsia="zh-CN"/>
        </w:rPr>
        <w:t>的废气通过UV光解催化+活性炭吸附</w:t>
      </w:r>
      <w:r>
        <w:rPr>
          <w:rFonts w:hint="eastAsia" w:ascii="仿宋_GB2312" w:hAnsi="仿宋_GB2312" w:eastAsia="仿宋_GB2312" w:cs="仿宋_GB2312"/>
          <w:color w:val="000000"/>
          <w:sz w:val="32"/>
          <w:szCs w:val="32"/>
        </w:rPr>
        <w:t>处理后经15m高排气筒排放。</w:t>
      </w:r>
      <w:r>
        <w:rPr>
          <w:rFonts w:hint="eastAsia" w:ascii="仿宋_GB2312" w:hAnsi="仿宋_GB2312" w:eastAsia="仿宋_GB2312" w:cs="仿宋_GB2312"/>
          <w:color w:val="000000"/>
          <w:sz w:val="32"/>
          <w:szCs w:val="32"/>
          <w:lang w:val="en-US" w:eastAsia="zh-CN"/>
        </w:rPr>
        <w:t>非甲烷总烃排放浓度应满足</w:t>
      </w:r>
      <w:r>
        <w:rPr>
          <w:rFonts w:hint="eastAsia" w:ascii="Times New Roman" w:hAnsi="Times New Roman" w:eastAsia="仿宋"/>
          <w:color w:val="auto"/>
          <w:sz w:val="32"/>
          <w:szCs w:val="32"/>
          <w:lang w:val="en-US" w:eastAsia="zh-CN"/>
        </w:rPr>
        <w:t>《关于全省开展工业企业挥发性有机物专项治理工作中排放建议值的通知》（豫环攻坚办</w:t>
      </w:r>
      <w:r>
        <w:rPr>
          <w:rFonts w:hint="eastAsia" w:ascii="宋体" w:hAnsi="宋体" w:eastAsia="宋体" w:cs="宋体"/>
          <w:color w:val="auto"/>
          <w:sz w:val="32"/>
          <w:szCs w:val="32"/>
          <w:lang w:val="en-US" w:eastAsia="zh-CN"/>
        </w:rPr>
        <w:t>〔</w:t>
      </w:r>
      <w:r>
        <w:rPr>
          <w:rFonts w:hint="eastAsia" w:ascii="Times New Roman" w:hAnsi="Times New Roman" w:eastAsia="仿宋"/>
          <w:color w:val="auto"/>
          <w:sz w:val="32"/>
          <w:szCs w:val="32"/>
          <w:lang w:val="en-US" w:eastAsia="zh-CN"/>
        </w:rPr>
        <w:t>2017</w:t>
      </w:r>
      <w:r>
        <w:rPr>
          <w:rFonts w:hint="eastAsia" w:ascii="宋体" w:hAnsi="宋体" w:eastAsia="宋体" w:cs="宋体"/>
          <w:color w:val="auto"/>
          <w:sz w:val="32"/>
          <w:szCs w:val="32"/>
          <w:lang w:val="en-US" w:eastAsia="zh-CN"/>
        </w:rPr>
        <w:t>〕</w:t>
      </w:r>
      <w:r>
        <w:rPr>
          <w:rFonts w:hint="eastAsia" w:ascii="Times New Roman" w:hAnsi="Times New Roman" w:eastAsia="仿宋"/>
          <w:color w:val="auto"/>
          <w:sz w:val="32"/>
          <w:szCs w:val="32"/>
          <w:lang w:val="en-US" w:eastAsia="zh-CN"/>
        </w:rPr>
        <w:t>162号）（非甲烷总烃</w:t>
      </w:r>
      <w:r>
        <w:rPr>
          <w:rFonts w:hint="eastAsia" w:ascii="宋体" w:hAnsi="宋体" w:eastAsia="宋体" w:cs="宋体"/>
          <w:color w:val="auto"/>
          <w:sz w:val="32"/>
          <w:szCs w:val="32"/>
          <w:lang w:val="en-US" w:eastAsia="zh-CN"/>
        </w:rPr>
        <w:t>≤</w:t>
      </w:r>
      <w:r>
        <w:rPr>
          <w:rFonts w:hint="eastAsia" w:ascii="Times New Roman" w:hAnsi="Times New Roman" w:eastAsia="仿宋"/>
          <w:color w:val="auto"/>
          <w:sz w:val="32"/>
          <w:szCs w:val="32"/>
          <w:lang w:val="en-US" w:eastAsia="zh-CN"/>
        </w:rPr>
        <w:t>80mg/m</w:t>
      </w:r>
      <w:r>
        <w:rPr>
          <w:rFonts w:hint="eastAsia" w:ascii="Times New Roman" w:hAnsi="Times New Roman" w:eastAsia="仿宋"/>
          <w:color w:val="auto"/>
          <w:sz w:val="32"/>
          <w:szCs w:val="32"/>
          <w:vertAlign w:val="superscript"/>
          <w:lang w:val="en-US" w:eastAsia="zh-CN"/>
        </w:rPr>
        <w:t>3</w:t>
      </w:r>
      <w:r>
        <w:rPr>
          <w:rFonts w:hint="eastAsia" w:ascii="Times New Roman" w:hAnsi="Times New Roman" w:eastAsia="仿宋"/>
          <w:color w:val="auto"/>
          <w:sz w:val="32"/>
          <w:szCs w:val="32"/>
          <w:lang w:val="en-US" w:eastAsia="zh-CN"/>
        </w:rPr>
        <w:t>）的要求</w:t>
      </w:r>
      <w:r>
        <w:rPr>
          <w:rFonts w:hint="eastAsia" w:ascii="仿宋_GB2312" w:hAnsi="仿宋_GB2312" w:eastAsia="仿宋_GB2312" w:cs="仿宋_GB2312"/>
          <w:color w:val="000000"/>
          <w:sz w:val="32"/>
          <w:szCs w:val="32"/>
        </w:rPr>
        <w:t>。</w:t>
      </w:r>
    </w:p>
    <w:p>
      <w:pPr>
        <w:pStyle w:val="7"/>
        <w:keepNext w:val="0"/>
        <w:keepLines w:val="0"/>
        <w:pageBreakBefore w:val="0"/>
        <w:tabs>
          <w:tab w:val="left" w:pos="8598"/>
        </w:tabs>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3、噪声。项目</w:t>
      </w:r>
      <w:r>
        <w:rPr>
          <w:rFonts w:hint="eastAsia" w:ascii="仿宋_GB2312" w:hAnsi="仿宋_GB2312" w:eastAsia="仿宋_GB2312" w:cs="仿宋_GB2312"/>
          <w:color w:val="000000"/>
          <w:sz w:val="32"/>
          <w:szCs w:val="32"/>
          <w:lang w:val="en-US" w:eastAsia="zh-CN"/>
        </w:rPr>
        <w:t>对吹膜机、制袋机等噪声设备采取隔音减振措施，确保噪声</w:t>
      </w:r>
      <w:r>
        <w:rPr>
          <w:rFonts w:hint="eastAsia" w:ascii="仿宋_GB2312" w:hAnsi="仿宋_GB2312" w:eastAsia="仿宋_GB2312" w:cs="仿宋_GB2312"/>
          <w:color w:val="000000"/>
          <w:sz w:val="32"/>
          <w:szCs w:val="32"/>
        </w:rPr>
        <w:t>满足《工业企业厂界环境噪声排放标准》（GB12348-2008）2类标准要求。</w:t>
      </w:r>
    </w:p>
    <w:p>
      <w:pPr>
        <w:pStyle w:val="7"/>
        <w:keepNext w:val="0"/>
        <w:keepLines w:val="0"/>
        <w:pageBreakBefore w:val="0"/>
        <w:tabs>
          <w:tab w:val="left" w:pos="8598"/>
        </w:tabs>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4、固废。项目固体废物主要为生活垃圾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废边角料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废UV灯管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废催化剂、</w:t>
      </w:r>
      <w:r>
        <w:rPr>
          <w:rFonts w:hint="eastAsia" w:ascii="仿宋_GB2312" w:hAnsi="仿宋_GB2312" w:eastAsia="仿宋_GB2312" w:cs="仿宋_GB2312"/>
          <w:color w:val="000000"/>
          <w:sz w:val="32"/>
          <w:szCs w:val="32"/>
        </w:rPr>
        <w:t>废活性炭。</w:t>
      </w:r>
      <w:r>
        <w:rPr>
          <w:rFonts w:hint="eastAsia" w:ascii="Times New Roman" w:hAnsi="Times New Roman" w:eastAsia="仿宋"/>
          <w:color w:val="auto"/>
          <w:sz w:val="32"/>
          <w:szCs w:val="32"/>
          <w:lang w:val="en-US" w:eastAsia="zh-CN"/>
        </w:rPr>
        <w:t>废边角料</w:t>
      </w:r>
      <w:r>
        <w:rPr>
          <w:rFonts w:hint="eastAsia" w:ascii="Times New Roman" w:hAnsi="Times New Roman" w:eastAsia="仿宋"/>
          <w:color w:val="auto"/>
          <w:sz w:val="32"/>
          <w:szCs w:val="32"/>
        </w:rPr>
        <w:t>收集后</w:t>
      </w:r>
      <w:r>
        <w:rPr>
          <w:rFonts w:hint="eastAsia" w:ascii="Times New Roman" w:hAnsi="Times New Roman" w:eastAsia="仿宋"/>
          <w:color w:val="auto"/>
          <w:sz w:val="32"/>
          <w:szCs w:val="32"/>
          <w:lang w:val="en-US" w:eastAsia="zh-CN"/>
        </w:rPr>
        <w:t>回用于生产；</w:t>
      </w:r>
      <w:r>
        <w:rPr>
          <w:rFonts w:hint="eastAsia" w:ascii="Times New Roman" w:hAnsi="Times New Roman" w:eastAsia="仿宋"/>
          <w:color w:val="auto"/>
          <w:sz w:val="32"/>
          <w:szCs w:val="32"/>
          <w:lang w:eastAsia="zh-CN"/>
        </w:rPr>
        <w:t>废UV灯管、废活性炭、</w:t>
      </w:r>
      <w:r>
        <w:rPr>
          <w:rFonts w:hint="eastAsia" w:ascii="Times New Roman" w:hAnsi="Times New Roman" w:eastAsia="仿宋"/>
          <w:color w:val="auto"/>
          <w:sz w:val="32"/>
          <w:szCs w:val="32"/>
          <w:lang w:val="en-US" w:eastAsia="zh-CN"/>
        </w:rPr>
        <w:t>废催化剂为危险废物，</w:t>
      </w:r>
      <w:r>
        <w:rPr>
          <w:rFonts w:hint="eastAsia" w:ascii="Times New Roman" w:hAnsi="Times New Roman" w:eastAsia="仿宋"/>
          <w:color w:val="auto"/>
          <w:sz w:val="32"/>
          <w:szCs w:val="32"/>
        </w:rPr>
        <w:t>收集后暂存于</w:t>
      </w:r>
      <w:r>
        <w:rPr>
          <w:rFonts w:hint="eastAsia" w:ascii="Times New Roman" w:hAnsi="Times New Roman" w:eastAsia="仿宋"/>
          <w:color w:val="auto"/>
          <w:sz w:val="32"/>
          <w:szCs w:val="32"/>
          <w:lang w:val="en-US" w:eastAsia="zh-CN"/>
        </w:rPr>
        <w:t>危险废物</w:t>
      </w:r>
      <w:r>
        <w:rPr>
          <w:rFonts w:ascii="Times New Roman" w:hAnsi="Times New Roman" w:eastAsia="仿宋"/>
          <w:color w:val="auto"/>
          <w:sz w:val="32"/>
          <w:szCs w:val="32"/>
        </w:rPr>
        <w:t>暂存间</w:t>
      </w:r>
      <w:r>
        <w:rPr>
          <w:rFonts w:hint="eastAsia" w:ascii="Times New Roman" w:hAnsi="Times New Roman" w:eastAsia="仿宋"/>
          <w:color w:val="auto"/>
          <w:sz w:val="32"/>
          <w:szCs w:val="32"/>
        </w:rPr>
        <w:t>定期</w:t>
      </w:r>
      <w:r>
        <w:rPr>
          <w:rFonts w:hint="eastAsia" w:ascii="Times New Roman" w:hAnsi="Times New Roman" w:eastAsia="仿宋"/>
          <w:color w:val="auto"/>
          <w:sz w:val="32"/>
          <w:szCs w:val="32"/>
          <w:lang w:val="en-US" w:eastAsia="zh-CN"/>
        </w:rPr>
        <w:t>交有资质单位进行处理</w:t>
      </w:r>
      <w:r>
        <w:rPr>
          <w:rFonts w:hint="eastAsia" w:ascii="Times New Roman" w:hAnsi="Times New Roman" w:eastAsia="仿宋"/>
          <w:color w:val="auto"/>
          <w:sz w:val="32"/>
          <w:szCs w:val="32"/>
          <w:lang w:eastAsia="zh-CN"/>
        </w:rPr>
        <w:t>；</w:t>
      </w:r>
      <w:r>
        <w:rPr>
          <w:rFonts w:hint="eastAsia" w:ascii="Times New Roman" w:hAnsi="Times New Roman" w:eastAsia="仿宋"/>
          <w:color w:val="auto"/>
          <w:sz w:val="32"/>
          <w:szCs w:val="32"/>
          <w:lang w:val="en-US" w:eastAsia="zh-CN"/>
        </w:rPr>
        <w:t>生活垃圾由环卫部门定期清运。</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lang w:eastAsia="zh-CN"/>
        </w:rPr>
        <w:t>项目非甲烷总烃排放量为</w:t>
      </w:r>
      <w:r>
        <w:rPr>
          <w:rFonts w:hint="eastAsia" w:ascii="仿宋_GB2312" w:hAnsi="仿宋_GB2312" w:eastAsia="仿宋_GB2312" w:cs="仿宋_GB2312"/>
          <w:color w:val="000000"/>
          <w:sz w:val="32"/>
          <w:szCs w:val="32"/>
          <w:lang w:val="en-US" w:eastAsia="zh-CN"/>
        </w:rPr>
        <w:t>0.0338</w:t>
      </w:r>
      <w:r>
        <w:rPr>
          <w:rFonts w:hint="eastAsia" w:ascii="仿宋_GB2312" w:hAnsi="仿宋_GB2312" w:eastAsia="仿宋_GB2312" w:cs="仿宋_GB2312"/>
          <w:color w:val="000000"/>
          <w:sz w:val="32"/>
          <w:szCs w:val="32"/>
          <w:lang w:eastAsia="zh-CN"/>
        </w:rPr>
        <w:t>t/a，根据</w:t>
      </w:r>
      <w:r>
        <w:rPr>
          <w:rFonts w:hint="eastAsia" w:ascii="仿宋_GB2312" w:hAnsi="仿宋_GB2312" w:eastAsia="仿宋_GB2312" w:cs="仿宋_GB2312"/>
          <w:color w:val="000000"/>
          <w:sz w:val="32"/>
          <w:szCs w:val="32"/>
          <w:lang w:val="en-US" w:eastAsia="zh-CN"/>
        </w:rPr>
        <w:t>许昌市生态环境局开发区分局</w:t>
      </w:r>
      <w:r>
        <w:rPr>
          <w:rFonts w:hint="eastAsia" w:ascii="仿宋_GB2312" w:hAnsi="仿宋_GB2312" w:eastAsia="仿宋_GB2312" w:cs="仿宋_GB2312"/>
          <w:color w:val="000000"/>
          <w:sz w:val="32"/>
          <w:szCs w:val="32"/>
          <w:lang w:eastAsia="zh-CN"/>
        </w:rPr>
        <w:t>出具的审核意见，本项目新增VOC总量从“</w:t>
      </w:r>
      <w:r>
        <w:rPr>
          <w:rFonts w:hint="eastAsia" w:ascii="仿宋" w:hAnsi="仿宋" w:eastAsia="仿宋" w:cs="仿宋"/>
          <w:kern w:val="0"/>
          <w:sz w:val="32"/>
          <w:szCs w:val="32"/>
        </w:rPr>
        <w:t>许昌永昌印务有限公司</w:t>
      </w:r>
      <w:r>
        <w:rPr>
          <w:rFonts w:hint="eastAsia" w:ascii="仿宋" w:hAnsi="仿宋" w:eastAsia="仿宋" w:cs="仿宋"/>
          <w:kern w:val="0"/>
          <w:sz w:val="32"/>
          <w:szCs w:val="32"/>
          <w:lang w:eastAsia="zh-CN"/>
        </w:rPr>
        <w:t>烟标装潢</w:t>
      </w:r>
      <w:r>
        <w:rPr>
          <w:rFonts w:hint="eastAsia" w:ascii="仿宋" w:hAnsi="仿宋" w:eastAsia="仿宋" w:cs="仿宋"/>
          <w:kern w:val="0"/>
          <w:sz w:val="32"/>
          <w:szCs w:val="32"/>
          <w:lang w:val="en-US" w:eastAsia="zh-CN"/>
        </w:rPr>
        <w:t>80万箱/年技术及设备</w:t>
      </w:r>
      <w:r>
        <w:rPr>
          <w:rFonts w:hint="eastAsia" w:ascii="仿宋" w:hAnsi="仿宋" w:eastAsia="仿宋" w:cs="仿宋"/>
          <w:kern w:val="0"/>
          <w:sz w:val="32"/>
          <w:szCs w:val="32"/>
        </w:rPr>
        <w:t>升级改造项目</w:t>
      </w:r>
      <w:r>
        <w:rPr>
          <w:rFonts w:hint="eastAsia" w:ascii="仿宋_GB2312" w:hAnsi="仿宋_GB2312" w:eastAsia="仿宋_GB2312" w:cs="仿宋_GB2312"/>
          <w:color w:val="000000"/>
          <w:sz w:val="32"/>
          <w:szCs w:val="32"/>
          <w:lang w:eastAsia="zh-CN"/>
        </w:rPr>
        <w:t>”中进行倍量替代。</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eastAsia="仿宋_GB2312"/>
          <w:sz w:val="32"/>
          <w:szCs w:val="32"/>
          <w:lang w:eastAsia="zh-CN"/>
        </w:rPr>
        <w:t>项目建设严格执行环境保护设施与主体工程同时设计、同时施工、同时投入使用的环境保护“三同时”制度。项目建成后，须按规定程序进行竣工环境保护验收，验收合格后，方可投入正式运行。</w:t>
      </w:r>
      <w:r>
        <w:rPr>
          <w:rFonts w:hint="eastAsia" w:ascii="仿宋_GB2312" w:hAnsi="仿宋_GB2312" w:eastAsia="仿宋_GB2312" w:cs="仿宋_GB2312"/>
          <w:sz w:val="32"/>
          <w:szCs w:val="32"/>
        </w:rPr>
        <w:t>如果今后国家或我省颁布污染物排放限值的新标准，届时你公司应按新的排放标准执行。</w:t>
      </w:r>
    </w:p>
    <w:p>
      <w:pPr>
        <w:keepNext w:val="0"/>
        <w:keepLines w:val="0"/>
        <w:pageBreakBefore w:val="0"/>
        <w:kinsoku/>
        <w:wordWrap/>
        <w:overflowPunct/>
        <w:topLinePunct w:val="0"/>
        <w:bidi w:val="0"/>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自本批复下达之日起</w:t>
      </w:r>
      <w:r>
        <w:rPr>
          <w:rFonts w:hint="eastAsia" w:ascii="仿宋_GB2312" w:hAnsi="仿宋_GB2312" w:eastAsia="仿宋_GB2312" w:cs="仿宋_GB2312"/>
          <w:sz w:val="32"/>
          <w:szCs w:val="32"/>
          <w:lang w:eastAsia="zh-CN"/>
        </w:rPr>
        <w:t>，超过</w:t>
      </w:r>
      <w:r>
        <w:rPr>
          <w:rFonts w:hint="eastAsia" w:ascii="仿宋_GB2312" w:hAnsi="仿宋_GB2312" w:eastAsia="仿宋_GB2312" w:cs="仿宋_GB2312"/>
          <w:sz w:val="32"/>
          <w:szCs w:val="32"/>
        </w:rPr>
        <w:t>5年</w:t>
      </w:r>
      <w:r>
        <w:rPr>
          <w:rFonts w:hint="eastAsia" w:ascii="仿宋_GB2312" w:hAnsi="仿宋_GB2312" w:eastAsia="仿宋_GB2312" w:cs="仿宋_GB2312"/>
          <w:sz w:val="32"/>
          <w:szCs w:val="32"/>
          <w:lang w:eastAsia="zh-CN"/>
        </w:rPr>
        <w:t>方决定开工建设的，环境影响评价文件应报我局重新审核</w:t>
      </w:r>
      <w:r>
        <w:rPr>
          <w:rFonts w:hint="eastAsia" w:ascii="仿宋_GB2312" w:hAnsi="仿宋_GB2312" w:eastAsia="仿宋_GB2312" w:cs="仿宋_GB2312"/>
          <w:sz w:val="32"/>
          <w:szCs w:val="32"/>
        </w:rPr>
        <w:t xml:space="preserve">。项目的性质、规模、地点、采用的工艺或防治污染、防治生态破坏的措施发生重大变动的，应当重新报批项目的环境影响评价文件。              </w:t>
      </w:r>
    </w:p>
    <w:p>
      <w:pPr>
        <w:keepNext w:val="0"/>
        <w:keepLines w:val="0"/>
        <w:pageBreakBefore w:val="0"/>
        <w:kinsoku/>
        <w:wordWrap/>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bookmarkStart w:id="0" w:name="_GoBack"/>
      <w:bookmarkEnd w:id="0"/>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pBdr>
          <w:top w:val="single" w:color="auto" w:sz="4" w:space="0"/>
          <w:bottom w:val="single" w:color="auto" w:sz="4" w:space="0"/>
        </w:pBdr>
        <w:kinsoku/>
        <w:wordWrap w:val="0"/>
        <w:overflowPunct/>
        <w:topLinePunct w:val="0"/>
        <w:bidi w:val="0"/>
        <w:snapToGrid/>
        <w:spacing w:line="240" w:lineRule="auto"/>
        <w:ind w:left="0" w:leftChars="0" w:right="0" w:rightChars="0"/>
        <w:textAlignment w:val="auto"/>
        <w:outlineLvl w:val="9"/>
      </w:pPr>
      <w:r>
        <w:rPr>
          <w:rFonts w:hint="eastAsia" w:ascii="仿宋_GB2312" w:hAnsi="仿宋_GB2312" w:eastAsia="仿宋_GB2312" w:cs="仿宋_GB2312"/>
          <w:sz w:val="32"/>
          <w:szCs w:val="32"/>
        </w:rPr>
        <w:t>抄送：</w:t>
      </w:r>
      <w:r>
        <w:rPr>
          <w:rFonts w:hint="eastAsia" w:ascii="仿宋" w:hAnsi="仿宋" w:eastAsia="仿宋" w:cs="仿宋"/>
          <w:sz w:val="32"/>
          <w:szCs w:val="32"/>
          <w:lang w:val="en-US" w:eastAsia="zh-CN"/>
        </w:rPr>
        <w:t>许昌市生态环境综合行政执法支队</w:t>
      </w:r>
      <w:r>
        <w:rPr>
          <w:rFonts w:hint="eastAsia" w:ascii="仿宋_GB2312" w:hAnsi="仿宋_GB2312" w:eastAsia="仿宋_GB2312" w:cs="仿宋_GB2312"/>
          <w:sz w:val="32"/>
          <w:szCs w:val="32"/>
        </w:rPr>
        <w:t>，许昌市</w:t>
      </w:r>
      <w:r>
        <w:rPr>
          <w:rFonts w:hint="eastAsia" w:ascii="仿宋_GB2312" w:hAnsi="仿宋_GB2312" w:eastAsia="仿宋_GB2312" w:cs="仿宋_GB2312"/>
          <w:sz w:val="32"/>
          <w:szCs w:val="32"/>
          <w:lang w:val="en-US" w:eastAsia="zh-CN"/>
        </w:rPr>
        <w:t>生态环境局开发区分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河南哲达环保科技</w:t>
      </w:r>
      <w:r>
        <w:rPr>
          <w:rFonts w:hint="eastAsia" w:ascii="仿宋_GB2312" w:hAnsi="仿宋_GB2312" w:eastAsia="仿宋_GB2312" w:cs="仿宋_GB2312"/>
          <w:sz w:val="32"/>
          <w:szCs w:val="32"/>
        </w:rPr>
        <w:t>有限公司。</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qzVF0AAAAAMBAAAPAAAAAAAAAAEAIAAAACIAAABkcnMvZG93bnJldi54bWxQSwECFAAUAAAACACH&#10;TuJAA1WQ4roBAABRAwAADgAAAAAAAAABACAAAAAfAQAAZHJzL2Uyb0RvYy54bWxQSwUGAAAAAAYA&#10;BgBZAQAAS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F13C"/>
    <w:multiLevelType w:val="singleLevel"/>
    <w:tmpl w:val="6997F1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96EB7"/>
    <w:rsid w:val="1B480511"/>
    <w:rsid w:val="2736309D"/>
    <w:rsid w:val="44536651"/>
    <w:rsid w:val="511274E0"/>
    <w:rsid w:val="6BB95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adjustRightInd/>
      <w:snapToGrid/>
      <w:spacing w:after="0" w:line="640" w:lineRule="exact"/>
      <w:jc w:val="center"/>
    </w:pPr>
    <w:rPr>
      <w:rFonts w:ascii="华文中宋" w:hAnsi="华文中宋" w:eastAsia="华文中宋"/>
      <w:b/>
      <w:bCs/>
      <w:kern w:val="2"/>
      <w:sz w:val="44"/>
      <w:szCs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dcterms:modified xsi:type="dcterms:W3CDTF">2020-05-13T02:35:01Z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