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河南力旋科技股份有限</w:t>
      </w:r>
      <w:r>
        <w:rPr>
          <w:rFonts w:hint="eastAsia" w:ascii="黑体" w:hAnsi="黑体" w:eastAsia="黑体" w:cs="黑体"/>
          <w:sz w:val="44"/>
          <w:szCs w:val="44"/>
        </w:rPr>
        <w:t>公司注销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河南力旋科技股份有限</w:t>
      </w:r>
      <w:r>
        <w:rPr>
          <w:rFonts w:hint="eastAsia" w:ascii="仿宋" w:hAnsi="仿宋" w:eastAsia="仿宋" w:cs="仿宋"/>
          <w:sz w:val="32"/>
          <w:szCs w:val="32"/>
        </w:rPr>
        <w:t>公司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你单位关于注销《辐射安全许可证》申请材料收悉。根据《放射性同位素与射线装置安全和防护条例》第十四条的规定，我局经认真研究，批复如下：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现同意你公司注销辐射安全许可证，原许可证正、副本收回。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    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14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A40D0"/>
    <w:rsid w:val="3A0568EB"/>
    <w:rsid w:val="667A4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2020-04-10T01:26:00Z</dcterms:created>
  <dc:creator>铭错刻岩</dc:creator>
  <cp:lastModifiedBy>铭错刻岩</cp:lastModifiedBy>
  <dcterms:modified xsi:type="dcterms:W3CDTF">2020-04-14T03:31:14Z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