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60" w:firstLineChars="1300"/>
        <w:jc w:val="left"/>
        <w:textAlignment w:val="auto"/>
        <w:outlineLvl w:val="9"/>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许环建审〔20</w:t>
      </w:r>
      <w:r>
        <w:rPr>
          <w:rFonts w:hint="eastAsia" w:ascii="仿宋_GB2312" w:hAnsi="仿宋_GB2312" w:eastAsia="仿宋_GB2312"/>
          <w:sz w:val="32"/>
          <w:lang w:val="en-US" w:eastAsia="zh-CN"/>
        </w:rPr>
        <w:t>20</w:t>
      </w:r>
      <w:r>
        <w:rPr>
          <w:rFonts w:hint="eastAsia" w:ascii="仿宋_GB2312" w:hAnsi="仿宋_GB2312" w:eastAsia="仿宋_GB2312"/>
          <w:sz w:val="32"/>
        </w:rPr>
        <w:t>〕</w:t>
      </w:r>
      <w:r>
        <w:rPr>
          <w:rFonts w:hint="eastAsia" w:ascii="仿宋_GB2312" w:hAnsi="仿宋_GB2312" w:eastAsia="仿宋_GB2312"/>
          <w:sz w:val="32"/>
          <w:lang w:val="en-US" w:eastAsia="zh-CN"/>
        </w:rPr>
        <w:t>39</w:t>
      </w:r>
      <w:r>
        <w:rPr>
          <w:rFonts w:hint="eastAsia" w:ascii="仿宋_GB2312" w:hAnsi="仿宋_GB2312" w:eastAsia="仿宋_GB2312"/>
          <w:sz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eastAsia="穝灿砰"/>
          <w:b/>
          <w:sz w:val="44"/>
          <w:szCs w:val="44"/>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color w:val="000000"/>
          <w:sz w:val="44"/>
          <w:szCs w:val="44"/>
          <w:lang w:eastAsia="zh-CN"/>
        </w:rPr>
        <w:t>许昌市生态环境局</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rPr>
        <w:t>关于</w:t>
      </w:r>
      <w:r>
        <w:rPr>
          <w:rFonts w:hint="eastAsia" w:ascii="方正小标宋简体" w:hAnsi="方正小标宋简体" w:eastAsia="方正小标宋简体" w:cs="方正小标宋简体"/>
          <w:b w:val="0"/>
          <w:bCs/>
          <w:sz w:val="44"/>
          <w:szCs w:val="44"/>
          <w:lang w:val="en-US" w:eastAsia="zh-CN"/>
        </w:rPr>
        <w:t>许昌经济技术开发区苏华教育科技有限</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责任公司</w:t>
      </w:r>
      <w:r>
        <w:rPr>
          <w:rFonts w:hint="eastAsia" w:ascii="方正小标宋简体" w:hAnsi="方正小标宋简体" w:eastAsia="方正小标宋简体" w:cs="方正小标宋简体"/>
          <w:b w:val="0"/>
          <w:bCs/>
          <w:sz w:val="44"/>
          <w:szCs w:val="44"/>
        </w:rPr>
        <w:t>许昌</w:t>
      </w:r>
      <w:r>
        <w:rPr>
          <w:rFonts w:hint="eastAsia" w:ascii="方正小标宋简体" w:hAnsi="方正小标宋简体" w:eastAsia="方正小标宋简体" w:cs="方正小标宋简体"/>
          <w:b w:val="0"/>
          <w:bCs/>
          <w:sz w:val="44"/>
          <w:szCs w:val="44"/>
          <w:lang w:val="en-US" w:eastAsia="zh-CN"/>
        </w:rPr>
        <w:t>经济技术开发区新时代精英学校</w:t>
      </w:r>
      <w:r>
        <w:rPr>
          <w:rFonts w:hint="eastAsia" w:ascii="方正小标宋简体" w:hAnsi="方正小标宋简体" w:eastAsia="方正小标宋简体" w:cs="方正小标宋简体"/>
          <w:b w:val="0"/>
          <w:bCs/>
          <w:sz w:val="44"/>
          <w:szCs w:val="44"/>
          <w:lang w:eastAsia="zh-CN"/>
        </w:rPr>
        <w:t>项目</w:t>
      </w:r>
      <w:r>
        <w:rPr>
          <w:rFonts w:hint="eastAsia" w:ascii="方正小标宋简体" w:hAnsi="方正小标宋简体" w:eastAsia="方正小标宋简体" w:cs="方正小标宋简体"/>
          <w:b w:val="0"/>
          <w:bCs/>
          <w:sz w:val="44"/>
          <w:szCs w:val="44"/>
        </w:rPr>
        <w:t>环境影响报告</w:t>
      </w:r>
      <w:r>
        <w:rPr>
          <w:rFonts w:hint="eastAsia" w:ascii="方正小标宋简体" w:hAnsi="方正小标宋简体" w:eastAsia="方正小标宋简体" w:cs="方正小标宋简体"/>
          <w:b w:val="0"/>
          <w:bCs/>
          <w:sz w:val="44"/>
          <w:szCs w:val="44"/>
          <w:lang w:eastAsia="zh-CN"/>
        </w:rPr>
        <w:t>表</w:t>
      </w:r>
      <w:r>
        <w:rPr>
          <w:rFonts w:hint="eastAsia" w:ascii="方正小标宋简体" w:hAnsi="方正小标宋简体" w:eastAsia="方正小标宋简体" w:cs="方正小标宋简体"/>
          <w:b w:val="0"/>
          <w:bCs/>
          <w:sz w:val="44"/>
          <w:szCs w:val="44"/>
        </w:rPr>
        <w:t>的批复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许昌经济技术开发区苏华教育科技有限责任公司</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你公司（统一社会信用代码：</w:t>
      </w:r>
      <w:r>
        <w:rPr>
          <w:rFonts w:hint="eastAsia" w:ascii="仿宋" w:hAnsi="仿宋" w:eastAsia="仿宋" w:cs="仿宋"/>
          <w:sz w:val="32"/>
          <w:szCs w:val="32"/>
          <w:lang w:val="en-US" w:eastAsia="zh-CN"/>
        </w:rPr>
        <w:t>91411000MA47X4351K</w:t>
      </w:r>
      <w:r>
        <w:rPr>
          <w:rFonts w:hint="eastAsia" w:ascii="仿宋" w:hAnsi="仿宋" w:eastAsia="仿宋" w:cs="仿宋"/>
          <w:sz w:val="32"/>
          <w:szCs w:val="32"/>
          <w:lang w:eastAsia="zh-CN"/>
        </w:rPr>
        <w:t>）上报的由</w:t>
      </w:r>
      <w:r>
        <w:rPr>
          <w:rFonts w:hint="eastAsia" w:ascii="仿宋" w:hAnsi="仿宋" w:eastAsia="仿宋" w:cs="仿宋"/>
          <w:sz w:val="32"/>
          <w:szCs w:val="32"/>
          <w:lang w:val="en-US" w:eastAsia="zh-CN"/>
        </w:rPr>
        <w:t>河南先登环保科技有限公司</w:t>
      </w:r>
      <w:r>
        <w:rPr>
          <w:rFonts w:hint="eastAsia" w:ascii="仿宋" w:hAnsi="仿宋" w:eastAsia="仿宋" w:cs="仿宋"/>
          <w:sz w:val="32"/>
          <w:szCs w:val="32"/>
          <w:lang w:eastAsia="zh-CN"/>
        </w:rPr>
        <w:t>编制完成的《许昌</w:t>
      </w:r>
      <w:r>
        <w:rPr>
          <w:rFonts w:hint="eastAsia" w:ascii="仿宋" w:hAnsi="仿宋" w:eastAsia="仿宋" w:cs="仿宋"/>
          <w:sz w:val="32"/>
          <w:szCs w:val="32"/>
          <w:lang w:val="en-US" w:eastAsia="zh-CN"/>
        </w:rPr>
        <w:t>经济技术开发区新时代精英学校</w:t>
      </w:r>
      <w:r>
        <w:rPr>
          <w:rFonts w:hint="eastAsia" w:ascii="仿宋" w:hAnsi="仿宋" w:eastAsia="仿宋" w:cs="仿宋"/>
          <w:sz w:val="32"/>
          <w:szCs w:val="32"/>
          <w:lang w:eastAsia="zh-CN"/>
        </w:rPr>
        <w:t>项目环境影响报告表（报批版）》（以下简称《报告表》）收悉，并已在我局网站公示期满。根据《中华人民共和国环境保护法》《中华人民共和国行政许可法》《中华人民共和国环境影响评价法》《建设项目环境保护管理条例》等法律法规规定，经研究，批复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《报告</w:t>
      </w:r>
      <w:r>
        <w:rPr>
          <w:rFonts w:hint="eastAsia" w:ascii="仿宋" w:hAnsi="仿宋" w:eastAsia="仿宋" w:cs="仿宋"/>
          <w:sz w:val="32"/>
          <w:szCs w:val="32"/>
          <w:lang w:eastAsia="zh-CN"/>
        </w:rPr>
        <w:t>表</w:t>
      </w:r>
      <w:r>
        <w:rPr>
          <w:rFonts w:hint="eastAsia" w:ascii="仿宋" w:hAnsi="仿宋" w:eastAsia="仿宋" w:cs="仿宋"/>
          <w:sz w:val="32"/>
          <w:szCs w:val="32"/>
        </w:rPr>
        <w:t>》内容符合国家有关法律法规要求和建设项目环境管理规定，评价结论可信。我</w:t>
      </w:r>
      <w:r>
        <w:rPr>
          <w:rFonts w:hint="eastAsia" w:ascii="仿宋" w:hAnsi="仿宋" w:eastAsia="仿宋" w:cs="仿宋"/>
          <w:sz w:val="32"/>
          <w:szCs w:val="32"/>
          <w:lang w:eastAsia="zh-CN"/>
        </w:rPr>
        <w:t>局</w:t>
      </w:r>
      <w:r>
        <w:rPr>
          <w:rFonts w:hint="eastAsia" w:ascii="仿宋" w:hAnsi="仿宋" w:eastAsia="仿宋" w:cs="仿宋"/>
          <w:sz w:val="32"/>
          <w:szCs w:val="32"/>
        </w:rPr>
        <w:t>批准该《报告</w:t>
      </w:r>
      <w:r>
        <w:rPr>
          <w:rFonts w:hint="eastAsia" w:ascii="仿宋" w:hAnsi="仿宋" w:eastAsia="仿宋" w:cs="仿宋"/>
          <w:sz w:val="32"/>
          <w:szCs w:val="32"/>
          <w:lang w:eastAsia="zh-CN"/>
        </w:rPr>
        <w:t>表</w:t>
      </w:r>
      <w:r>
        <w:rPr>
          <w:rFonts w:hint="eastAsia" w:ascii="仿宋" w:hAnsi="仿宋" w:eastAsia="仿宋" w:cs="仿宋"/>
          <w:sz w:val="32"/>
          <w:szCs w:val="32"/>
        </w:rPr>
        <w:t>》，原则同意你公司按照《报告</w:t>
      </w:r>
      <w:r>
        <w:rPr>
          <w:rFonts w:hint="eastAsia" w:ascii="仿宋" w:hAnsi="仿宋" w:eastAsia="仿宋" w:cs="仿宋"/>
          <w:sz w:val="32"/>
          <w:szCs w:val="32"/>
          <w:lang w:eastAsia="zh-CN"/>
        </w:rPr>
        <w:t>表</w:t>
      </w:r>
      <w:r>
        <w:rPr>
          <w:rFonts w:hint="eastAsia" w:ascii="仿宋" w:hAnsi="仿宋" w:eastAsia="仿宋" w:cs="仿宋"/>
          <w:sz w:val="32"/>
          <w:szCs w:val="32"/>
        </w:rPr>
        <w:t>》所列项目的性质、规模、地点、采用的生产工艺和环境保护对策进行项目建设。</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你公司应按照《关于印发建设项目环境影响评价信息公开机制方案的通知》（环发〔2015〕162号）要求，主动公开业经批准的《报告</w:t>
      </w:r>
      <w:r>
        <w:rPr>
          <w:rFonts w:hint="eastAsia" w:ascii="仿宋" w:hAnsi="仿宋" w:eastAsia="仿宋" w:cs="仿宋"/>
          <w:sz w:val="32"/>
          <w:szCs w:val="32"/>
          <w:lang w:eastAsia="zh-CN"/>
        </w:rPr>
        <w:t>表</w:t>
      </w:r>
      <w:r>
        <w:rPr>
          <w:rFonts w:hint="eastAsia" w:ascii="仿宋" w:hAnsi="仿宋" w:eastAsia="仿宋" w:cs="仿宋"/>
          <w:sz w:val="32"/>
          <w:szCs w:val="32"/>
        </w:rPr>
        <w:t>》，做好建设项目环境信息公开工作，并接受相关方的咨询。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三、你公司应按照有关规定，向社会公众主动公开经批准的《报告</w:t>
      </w:r>
      <w:r>
        <w:rPr>
          <w:rFonts w:hint="eastAsia" w:ascii="仿宋" w:hAnsi="仿宋" w:eastAsia="仿宋" w:cs="仿宋"/>
          <w:color w:val="000000"/>
          <w:sz w:val="32"/>
          <w:szCs w:val="32"/>
          <w:lang w:val="en-US" w:eastAsia="zh-CN"/>
        </w:rPr>
        <w:t>表</w:t>
      </w:r>
      <w:r>
        <w:rPr>
          <w:rFonts w:hint="eastAsia" w:ascii="仿宋" w:hAnsi="仿宋" w:eastAsia="仿宋" w:cs="仿宋"/>
          <w:color w:val="000000"/>
          <w:sz w:val="32"/>
          <w:szCs w:val="32"/>
        </w:rPr>
        <w:t>》，并接受相关方的咨询。全面落实《报告</w:t>
      </w:r>
      <w:r>
        <w:rPr>
          <w:rFonts w:hint="eastAsia" w:ascii="仿宋" w:hAnsi="仿宋" w:eastAsia="仿宋" w:cs="仿宋"/>
          <w:color w:val="000000"/>
          <w:sz w:val="32"/>
          <w:szCs w:val="32"/>
          <w:lang w:val="en-US" w:eastAsia="zh-CN"/>
        </w:rPr>
        <w:t>表</w:t>
      </w:r>
      <w:r>
        <w:rPr>
          <w:rFonts w:hint="eastAsia" w:ascii="仿宋" w:hAnsi="仿宋" w:eastAsia="仿宋" w:cs="仿宋"/>
          <w:color w:val="000000"/>
          <w:sz w:val="32"/>
          <w:szCs w:val="32"/>
        </w:rPr>
        <w:t>》提出的各项环境保护措施，确保各项环境保护设施与主体工程同时设计、同时施工、同时投入使用，确保各项污染物达标排放。向设计单位提供《报告</w:t>
      </w:r>
      <w:r>
        <w:rPr>
          <w:rFonts w:hint="eastAsia" w:ascii="仿宋" w:hAnsi="仿宋" w:eastAsia="仿宋" w:cs="仿宋"/>
          <w:color w:val="000000"/>
          <w:sz w:val="32"/>
          <w:szCs w:val="32"/>
          <w:lang w:val="en-US" w:eastAsia="zh-CN"/>
        </w:rPr>
        <w:t>表</w:t>
      </w:r>
      <w:r>
        <w:rPr>
          <w:rFonts w:hint="eastAsia" w:ascii="仿宋" w:hAnsi="仿宋" w:eastAsia="仿宋" w:cs="仿宋"/>
          <w:color w:val="000000"/>
          <w:sz w:val="32"/>
          <w:szCs w:val="32"/>
        </w:rPr>
        <w:t>》和本批复文件，确保项目设计按照环境保护设计规范要求，落实防治环境污染和生态破坏的措施以及环保设施投资概算。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四、</w:t>
      </w:r>
      <w:r>
        <w:rPr>
          <w:rFonts w:hint="eastAsia" w:ascii="仿宋" w:hAnsi="仿宋" w:eastAsia="仿宋" w:cs="仿宋"/>
          <w:color w:val="000000"/>
          <w:sz w:val="32"/>
          <w:szCs w:val="32"/>
        </w:rPr>
        <w:t>项目</w:t>
      </w:r>
      <w:r>
        <w:rPr>
          <w:rFonts w:hint="eastAsia" w:ascii="仿宋" w:hAnsi="仿宋" w:eastAsia="仿宋" w:cs="仿宋"/>
          <w:color w:val="000000"/>
          <w:sz w:val="32"/>
          <w:szCs w:val="32"/>
          <w:lang w:val="en-US" w:eastAsia="zh-CN"/>
        </w:rPr>
        <w:t>建设期</w:t>
      </w:r>
      <w:r>
        <w:rPr>
          <w:rFonts w:hint="eastAsia" w:ascii="仿宋" w:hAnsi="仿宋" w:eastAsia="仿宋" w:cs="仿宋"/>
          <w:color w:val="000000"/>
          <w:sz w:val="32"/>
          <w:szCs w:val="32"/>
        </w:rPr>
        <w:t>应</w:t>
      </w:r>
      <w:r>
        <w:rPr>
          <w:rFonts w:hint="eastAsia" w:ascii="仿宋" w:hAnsi="仿宋" w:eastAsia="仿宋" w:cs="仿宋"/>
          <w:color w:val="000000"/>
          <w:sz w:val="32"/>
          <w:szCs w:val="32"/>
          <w:lang w:val="en-US" w:eastAsia="zh-CN"/>
        </w:rPr>
        <w:t>做好</w:t>
      </w:r>
      <w:r>
        <w:rPr>
          <w:rFonts w:hint="eastAsia" w:ascii="仿宋" w:hAnsi="仿宋" w:eastAsia="仿宋" w:cs="仿宋"/>
          <w:color w:val="000000"/>
          <w:sz w:val="32"/>
          <w:szCs w:val="32"/>
        </w:rPr>
        <w:t>以下</w:t>
      </w:r>
      <w:r>
        <w:rPr>
          <w:rFonts w:hint="eastAsia" w:ascii="仿宋" w:hAnsi="仿宋" w:eastAsia="仿宋" w:cs="仿宋"/>
          <w:color w:val="000000"/>
          <w:sz w:val="32"/>
          <w:szCs w:val="32"/>
          <w:lang w:val="en-US" w:eastAsia="zh-CN"/>
        </w:rPr>
        <w:t>工作</w:t>
      </w:r>
      <w:r>
        <w:rPr>
          <w:rFonts w:hint="eastAsia" w:ascii="仿宋" w:hAnsi="仿宋" w:eastAsia="仿宋" w:cs="仿宋"/>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废水。施工期生活污水就近利用周边现有的卫生设施，经化粪池处理后通过市政污水管网进入屯南三达水务有限公司处理。做好施工现场雨污分流，雨水及时排入区域市政雨水管网。施工废水在经沉淀池沉淀后用于工地洒水抑尘，不外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eastAsia="zh-CN"/>
        </w:rPr>
        <w:t>废气。施工期大气污染物主要是施工扬尘，运输扬尘、机械作业燃油尾气</w:t>
      </w:r>
      <w:r>
        <w:rPr>
          <w:rFonts w:hint="eastAsia" w:ascii="仿宋" w:hAnsi="仿宋" w:eastAsia="仿宋" w:cs="仿宋"/>
          <w:sz w:val="32"/>
          <w:szCs w:val="32"/>
          <w:highlight w:val="none"/>
          <w:lang w:val="en-US" w:eastAsia="zh-CN"/>
        </w:rPr>
        <w:t>等</w:t>
      </w:r>
      <w:r>
        <w:rPr>
          <w:rFonts w:hint="eastAsia" w:ascii="仿宋" w:hAnsi="仿宋" w:eastAsia="仿宋" w:cs="仿宋"/>
          <w:sz w:val="32"/>
          <w:szCs w:val="32"/>
          <w:highlight w:val="none"/>
          <w:lang w:eastAsia="zh-CN"/>
        </w:rPr>
        <w:t>。建设单位应严格</w:t>
      </w:r>
      <w:r>
        <w:rPr>
          <w:rFonts w:hint="eastAsia" w:ascii="仿宋" w:hAnsi="仿宋" w:eastAsia="仿宋" w:cs="仿宋"/>
          <w:sz w:val="32"/>
          <w:szCs w:val="32"/>
          <w:highlight w:val="none"/>
          <w:lang w:val="en-US" w:eastAsia="zh-CN"/>
        </w:rPr>
        <w:t>按照</w:t>
      </w:r>
      <w:r>
        <w:rPr>
          <w:rFonts w:hint="eastAsia" w:ascii="仿宋" w:hAnsi="仿宋" w:eastAsia="仿宋" w:cs="仿宋"/>
          <w:sz w:val="32"/>
          <w:szCs w:val="32"/>
          <w:highlight w:val="none"/>
          <w:lang w:eastAsia="zh-CN"/>
        </w:rPr>
        <w:t>河南省《城市房屋建筑和市政基础设施工程及道路扬尘污染防治标准》（</w:t>
      </w:r>
      <w:r>
        <w:rPr>
          <w:rFonts w:hint="eastAsia" w:ascii="仿宋" w:hAnsi="仿宋" w:eastAsia="仿宋" w:cs="仿宋"/>
          <w:sz w:val="32"/>
          <w:szCs w:val="32"/>
          <w:highlight w:val="none"/>
          <w:lang w:val="en-US" w:eastAsia="zh-CN"/>
        </w:rPr>
        <w:t>DBJ41/T174-2020</w:t>
      </w:r>
      <w:r>
        <w:rPr>
          <w:rFonts w:hint="eastAsia" w:ascii="仿宋" w:hAnsi="仿宋" w:eastAsia="仿宋" w:cs="仿宋"/>
          <w:sz w:val="32"/>
          <w:szCs w:val="32"/>
          <w:highlight w:val="none"/>
          <w:lang w:eastAsia="zh-CN"/>
        </w:rPr>
        <w:t>）要求，</w:t>
      </w:r>
      <w:r>
        <w:rPr>
          <w:rFonts w:hint="eastAsia" w:ascii="仿宋" w:hAnsi="仿宋" w:eastAsia="仿宋" w:cs="仿宋"/>
          <w:sz w:val="32"/>
          <w:szCs w:val="32"/>
          <w:highlight w:val="none"/>
          <w:lang w:val="en-US" w:eastAsia="zh-CN"/>
        </w:rPr>
        <w:t>加强施工期管理，工地</w:t>
      </w:r>
      <w:r>
        <w:rPr>
          <w:rFonts w:hint="eastAsia" w:ascii="仿宋" w:hAnsi="仿宋" w:eastAsia="仿宋" w:cs="仿宋"/>
          <w:sz w:val="32"/>
          <w:szCs w:val="32"/>
          <w:highlight w:val="none"/>
          <w:lang w:eastAsia="zh-CN"/>
        </w:rPr>
        <w:t>开工前做到“六个到位”、施工过程中执行“6个100%”、施工现状要做到“两个禁止”。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lang w:eastAsia="zh-CN"/>
        </w:rPr>
        <w:t>噪声。施工方应采用低噪声施工机械和先进工艺进行施工，设置隔声屏障，严格执行《建筑施工场界环境噪声排放标准》（GB12523-2011）中有关规定，合理安排各类施工机械的工作时间，严禁夜间时段（22：00-次日6：00）施工，防止噪声扰民，如必须夜间施工的，必须向相关部门申请，征得同意后方可施工，并告知周边居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lang w:eastAsia="zh-CN"/>
        </w:rPr>
        <w:t>固废。生活垃圾分类收集后交由环卫部门处置</w:t>
      </w:r>
      <w:r>
        <w:rPr>
          <w:rFonts w:hint="eastAsia" w:ascii="仿宋" w:hAnsi="仿宋" w:eastAsia="仿宋" w:cs="仿宋"/>
          <w:color w:val="000000"/>
          <w:sz w:val="32"/>
          <w:szCs w:val="32"/>
          <w:lang w:eastAsia="zh-CN"/>
        </w:rPr>
        <w:t>；建筑垃圾和工程弃土弃渣及时清运、妥善处置，不得长期堆存、随意倾倒。</w:t>
      </w:r>
    </w:p>
    <w:p>
      <w:pPr>
        <w:pStyle w:val="8"/>
        <w:keepNext w:val="0"/>
        <w:keepLines w:val="0"/>
        <w:pageBreakBefore w:val="0"/>
        <w:tabs>
          <w:tab w:val="left" w:pos="8598"/>
        </w:tabs>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五、项目建成后</w:t>
      </w:r>
      <w:r>
        <w:rPr>
          <w:rFonts w:hint="eastAsia" w:ascii="仿宋" w:hAnsi="仿宋" w:eastAsia="仿宋" w:cs="仿宋"/>
          <w:color w:val="000000"/>
          <w:sz w:val="32"/>
          <w:szCs w:val="32"/>
        </w:rPr>
        <w:t>食堂</w:t>
      </w:r>
      <w:r>
        <w:rPr>
          <w:rFonts w:hint="eastAsia" w:ascii="仿宋" w:hAnsi="仿宋" w:eastAsia="仿宋" w:cs="仿宋"/>
          <w:color w:val="000000"/>
          <w:sz w:val="32"/>
          <w:szCs w:val="32"/>
          <w:lang w:val="en-US" w:eastAsia="zh-CN"/>
        </w:rPr>
        <w:t>使用</w:t>
      </w:r>
      <w:r>
        <w:rPr>
          <w:rFonts w:hint="eastAsia" w:ascii="仿宋" w:hAnsi="仿宋" w:eastAsia="仿宋" w:cs="仿宋"/>
          <w:color w:val="000000"/>
          <w:sz w:val="32"/>
          <w:szCs w:val="32"/>
        </w:rPr>
        <w:t>天然气等清洁能源，安装</w:t>
      </w:r>
      <w:r>
        <w:rPr>
          <w:rFonts w:hint="eastAsia" w:ascii="仿宋" w:hAnsi="仿宋" w:eastAsia="仿宋" w:cs="仿宋"/>
          <w:sz w:val="32"/>
          <w:szCs w:val="32"/>
        </w:rPr>
        <w:t>油烟净化装置，对食堂油烟进行净化处置，确保油烟废气排放浓度</w:t>
      </w:r>
      <w:r>
        <w:rPr>
          <w:rFonts w:hint="eastAsia" w:ascii="仿宋" w:hAnsi="仿宋" w:eastAsia="仿宋" w:cs="仿宋"/>
          <w:sz w:val="32"/>
          <w:szCs w:val="32"/>
          <w:lang w:val="en-US" w:eastAsia="zh-CN"/>
        </w:rPr>
        <w:t>满足</w:t>
      </w:r>
      <w:r>
        <w:rPr>
          <w:rFonts w:hint="eastAsia" w:ascii="仿宋" w:hAnsi="仿宋" w:eastAsia="仿宋" w:cs="仿宋"/>
          <w:sz w:val="32"/>
          <w:szCs w:val="32"/>
        </w:rPr>
        <w:t>《</w:t>
      </w:r>
      <w:r>
        <w:rPr>
          <w:rFonts w:hint="eastAsia" w:ascii="仿宋" w:hAnsi="仿宋" w:eastAsia="仿宋" w:cs="仿宋"/>
          <w:sz w:val="32"/>
          <w:szCs w:val="32"/>
          <w:lang w:val="en-US" w:eastAsia="zh-CN"/>
        </w:rPr>
        <w:t>餐饮业油烟污染物排放标准</w:t>
      </w:r>
      <w:r>
        <w:rPr>
          <w:rFonts w:hint="eastAsia" w:ascii="仿宋" w:hAnsi="仿宋" w:eastAsia="仿宋" w:cs="仿宋"/>
          <w:sz w:val="32"/>
          <w:szCs w:val="32"/>
        </w:rPr>
        <w:t>》（</w:t>
      </w:r>
      <w:r>
        <w:rPr>
          <w:rFonts w:hint="eastAsia" w:ascii="仿宋" w:hAnsi="仿宋" w:eastAsia="仿宋" w:cs="仿宋"/>
          <w:sz w:val="32"/>
          <w:szCs w:val="32"/>
          <w:lang w:val="en-US" w:eastAsia="zh-CN"/>
        </w:rPr>
        <w:t>DB41/1604-2018</w:t>
      </w:r>
      <w:r>
        <w:rPr>
          <w:rFonts w:hint="eastAsia" w:ascii="仿宋" w:hAnsi="仿宋" w:eastAsia="仿宋" w:cs="仿宋"/>
          <w:sz w:val="32"/>
          <w:szCs w:val="32"/>
        </w:rPr>
        <w:t>）规定。</w:t>
      </w:r>
    </w:p>
    <w:p>
      <w:pPr>
        <w:pStyle w:val="8"/>
        <w:keepNext w:val="0"/>
        <w:keepLines w:val="0"/>
        <w:pageBreakBefore w:val="0"/>
        <w:tabs>
          <w:tab w:val="left" w:pos="8598"/>
        </w:tabs>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食堂废水经隔油池预处理汇同实验室清洗废水和生活废水经化粪池处理后排入屯南三达水务有限公司，污染物排放应满足《污水综合排放标准》（GB8978-1996）三级标准及屯南三达水务有限公司收水标准，</w:t>
      </w:r>
      <w:r>
        <w:rPr>
          <w:rFonts w:hint="eastAsia" w:ascii="仿宋" w:hAnsi="仿宋" w:eastAsia="仿宋" w:cs="仿宋"/>
          <w:color w:val="000000"/>
          <w:sz w:val="32"/>
          <w:szCs w:val="32"/>
        </w:rPr>
        <w:t>主要污染物控制指标（出厂量）为：化学需氧量</w:t>
      </w:r>
      <w:r>
        <w:rPr>
          <w:rFonts w:hint="eastAsia" w:ascii="仿宋" w:hAnsi="仿宋" w:eastAsia="仿宋" w:cs="仿宋"/>
          <w:color w:val="000000"/>
          <w:sz w:val="32"/>
          <w:szCs w:val="32"/>
          <w:lang w:val="en-US" w:eastAsia="zh-CN"/>
        </w:rPr>
        <w:t>11.9185</w:t>
      </w:r>
      <w:r>
        <w:rPr>
          <w:rFonts w:hint="eastAsia" w:ascii="仿宋" w:hAnsi="仿宋" w:eastAsia="仿宋" w:cs="仿宋"/>
          <w:b w:val="0"/>
          <w:bCs w:val="0"/>
          <w:color w:val="auto"/>
          <w:sz w:val="32"/>
          <w:szCs w:val="32"/>
          <w:lang w:val="en-US" w:eastAsia="zh-CN"/>
        </w:rPr>
        <w:t>吨/年</w:t>
      </w:r>
      <w:r>
        <w:rPr>
          <w:rFonts w:hint="eastAsia" w:ascii="仿宋" w:hAnsi="仿宋" w:eastAsia="仿宋" w:cs="仿宋"/>
          <w:color w:val="000000"/>
          <w:sz w:val="32"/>
          <w:szCs w:val="32"/>
        </w:rPr>
        <w:t>，氨氮</w:t>
      </w:r>
      <w:r>
        <w:rPr>
          <w:rFonts w:hint="eastAsia" w:ascii="仿宋" w:hAnsi="仿宋" w:eastAsia="仿宋" w:cs="仿宋"/>
          <w:color w:val="000000"/>
          <w:sz w:val="32"/>
          <w:szCs w:val="32"/>
          <w:lang w:val="en-US" w:eastAsia="zh-CN"/>
        </w:rPr>
        <w:t>1.0016</w:t>
      </w:r>
      <w:r>
        <w:rPr>
          <w:rFonts w:hint="eastAsia" w:ascii="仿宋" w:hAnsi="仿宋" w:eastAsia="仿宋" w:cs="仿宋"/>
          <w:color w:val="000000"/>
          <w:sz w:val="32"/>
          <w:szCs w:val="32"/>
        </w:rPr>
        <w:t>吨/年</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实验室残留化学药剂及其包装物暂存于危废暂存间，定期交有资质单位处理。生活垃圾、餐厨垃圾由环卫部门定期清运。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、项目</w:t>
      </w:r>
      <w:r>
        <w:rPr>
          <w:rFonts w:hint="eastAsia" w:ascii="仿宋" w:hAnsi="仿宋" w:eastAsia="仿宋" w:cs="仿宋"/>
          <w:color w:val="000000"/>
          <w:sz w:val="32"/>
          <w:szCs w:val="32"/>
        </w:rPr>
        <w:t>自本批复下达之日起</w:t>
      </w:r>
      <w:r>
        <w:rPr>
          <w:rFonts w:hint="eastAsia" w:ascii="仿宋" w:hAnsi="仿宋" w:eastAsia="仿宋" w:cs="仿宋"/>
          <w:color w:val="000000"/>
          <w:sz w:val="32"/>
          <w:szCs w:val="32"/>
          <w:lang w:eastAsia="zh-CN"/>
        </w:rPr>
        <w:t>，超过</w:t>
      </w:r>
      <w:r>
        <w:rPr>
          <w:rFonts w:hint="eastAsia" w:ascii="仿宋" w:hAnsi="仿宋" w:eastAsia="仿宋" w:cs="仿宋"/>
          <w:color w:val="000000"/>
          <w:sz w:val="32"/>
          <w:szCs w:val="32"/>
        </w:rPr>
        <w:t>5年</w:t>
      </w:r>
      <w:r>
        <w:rPr>
          <w:rFonts w:hint="eastAsia" w:ascii="仿宋" w:hAnsi="仿宋" w:eastAsia="仿宋" w:cs="仿宋"/>
          <w:color w:val="000000"/>
          <w:sz w:val="32"/>
          <w:szCs w:val="32"/>
          <w:lang w:eastAsia="zh-CN"/>
        </w:rPr>
        <w:t>方决定开工建设的，环境影响评价文件应报我局重新审核</w:t>
      </w:r>
      <w:r>
        <w:rPr>
          <w:rFonts w:hint="eastAsia" w:ascii="仿宋" w:hAnsi="仿宋" w:eastAsia="仿宋" w:cs="仿宋"/>
          <w:color w:val="000000"/>
          <w:sz w:val="32"/>
          <w:szCs w:val="32"/>
        </w:rPr>
        <w:t>。</w:t>
      </w:r>
      <w:r>
        <w:rPr>
          <w:rFonts w:hint="eastAsia" w:ascii="仿宋" w:hAnsi="仿宋" w:eastAsia="仿宋" w:cs="仿宋"/>
          <w:sz w:val="32"/>
          <w:szCs w:val="32"/>
        </w:rPr>
        <w:t>项目的性质、规模、地点、采用的工艺或防治污染、防治生态破坏的措施发生重大变动的，应当重新报批项目的环境影响评价文件。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60" w:firstLineChars="180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0" w:firstLineChars="20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2020</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28</w:t>
      </w:r>
      <w:r>
        <w:rPr>
          <w:rFonts w:hint="eastAsia" w:ascii="仿宋" w:hAnsi="仿宋" w:eastAsia="仿宋" w:cs="仿宋"/>
          <w:sz w:val="32"/>
          <w:szCs w:val="32"/>
          <w:lang w:eastAsia="zh-CN"/>
        </w:rPr>
        <w:t>日</w:t>
      </w:r>
    </w:p>
    <w:p>
      <w:pPr>
        <w:pStyle w:val="3"/>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lang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lang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lang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lang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lang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lang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lang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lang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lang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lang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lang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lang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lang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lang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lang w:eastAsia="zh-CN"/>
        </w:rPr>
      </w:pPr>
      <w:bookmarkStart w:id="0" w:name="_GoBack"/>
      <w:bookmarkEnd w:id="0"/>
    </w:p>
    <w:p>
      <w:pPr>
        <w:keepNext w:val="0"/>
        <w:keepLines w:val="0"/>
        <w:pageBreakBefore w:val="0"/>
        <w:widowControl w:val="0"/>
        <w:pBdr>
          <w:top w:val="single" w:color="auto" w:sz="4" w:space="0"/>
          <w:bottom w:val="single" w:color="auto" w:sz="4" w:space="0"/>
        </w:pBdr>
        <w:kinsoku/>
        <w:wordWrap w:val="0"/>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抄送：许昌市生态环境综合行政执法支队</w:t>
      </w:r>
      <w:r>
        <w:rPr>
          <w:rFonts w:hint="eastAsia" w:ascii="仿宋" w:hAnsi="仿宋" w:eastAsia="仿宋" w:cs="仿宋"/>
          <w:sz w:val="32"/>
          <w:szCs w:val="32"/>
        </w:rPr>
        <w:t>，许昌市</w:t>
      </w:r>
      <w:r>
        <w:rPr>
          <w:rFonts w:hint="eastAsia" w:ascii="仿宋" w:hAnsi="仿宋" w:eastAsia="仿宋" w:cs="仿宋"/>
          <w:sz w:val="32"/>
          <w:szCs w:val="32"/>
          <w:lang w:val="en-US" w:eastAsia="zh-CN"/>
        </w:rPr>
        <w:t>生态环境局开发区分</w:t>
      </w:r>
      <w:r>
        <w:rPr>
          <w:rFonts w:hint="eastAsia" w:ascii="仿宋" w:hAnsi="仿宋" w:eastAsia="仿宋" w:cs="仿宋"/>
          <w:sz w:val="32"/>
          <w:szCs w:val="32"/>
        </w:rPr>
        <w:t>局，</w:t>
      </w:r>
      <w:r>
        <w:rPr>
          <w:rFonts w:hint="eastAsia" w:ascii="仿宋" w:hAnsi="仿宋" w:eastAsia="仿宋" w:cs="仿宋"/>
          <w:sz w:val="32"/>
          <w:szCs w:val="32"/>
          <w:lang w:val="en-US" w:eastAsia="zh-CN"/>
        </w:rPr>
        <w:t>河南先登环保科技有限公司。</w:t>
      </w:r>
    </w:p>
    <w:sectPr>
      <w:footerReference r:id="rId3" w:type="default"/>
      <w:footerReference r:id="rId4" w:type="even"/>
      <w:pgSz w:w="11906" w:h="16838"/>
      <w:pgMar w:top="2098" w:right="1531" w:bottom="204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穝灿砰">
    <w:altName w:val="微软雅黑"/>
    <w:panose1 w:val="00000000000000000000"/>
    <w:charset w:val="00"/>
    <w:family w:val="auto"/>
    <w:pitch w:val="default"/>
    <w:sig w:usb0="00000000" w:usb1="00000000" w:usb2="00000000"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7F13C"/>
    <w:multiLevelType w:val="singleLevel"/>
    <w:tmpl w:val="6997F13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55855"/>
    <w:rsid w:val="16FE52D9"/>
    <w:rsid w:val="1C9C0B68"/>
    <w:rsid w:val="1E982AD1"/>
    <w:rsid w:val="24315301"/>
    <w:rsid w:val="53281115"/>
    <w:rsid w:val="6B4A7A2A"/>
    <w:rsid w:val="73BD7B79"/>
    <w:rsid w:val="766E5A1D"/>
    <w:rsid w:val="7C561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sz w:val="32"/>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yue</cp:lastModifiedBy>
  <cp:lastPrinted>2020-09-30T01:01:11Z</cp:lastPrinted>
  <dcterms:modified xsi:type="dcterms:W3CDTF">2020-09-30T01:01:51Z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