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</w:rPr>
      </w:pPr>
      <w:r>
        <w:rPr>
          <w:rFonts w:hint="eastAsia" w:ascii="仿宋" w:hAnsi="仿宋" w:eastAsia="仿宋"/>
          <w:sz w:val="31"/>
        </w:rPr>
        <w:t>审批意见</w:t>
      </w:r>
      <w:r>
        <w:rPr>
          <w:rFonts w:ascii="仿宋" w:hAnsi="仿宋" w:eastAsia="仿宋"/>
          <w:sz w:val="31"/>
        </w:rPr>
        <w:t xml:space="preserve">：                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  <w:r>
        <w:rPr>
          <w:rFonts w:ascii="仿宋" w:hAnsi="仿宋" w:eastAsia="仿宋"/>
          <w:sz w:val="31"/>
        </w:rPr>
        <w:t xml:space="preserve">              </w:t>
      </w:r>
      <w:r>
        <w:rPr>
          <w:rFonts w:hint="eastAsia" w:ascii="仿宋" w:hAnsi="仿宋" w:eastAsia="仿宋"/>
          <w:sz w:val="31"/>
        </w:rPr>
        <w:t xml:space="preserve">            </w:t>
      </w:r>
      <w:r>
        <w:rPr>
          <w:rFonts w:ascii="仿宋" w:hAnsi="仿宋" w:eastAsia="仿宋"/>
          <w:sz w:val="31"/>
        </w:rPr>
        <w:t>许环辐审〔201</w:t>
      </w:r>
      <w:r>
        <w:rPr>
          <w:rFonts w:hint="eastAsia" w:ascii="仿宋" w:hAnsi="仿宋" w:eastAsia="仿宋"/>
          <w:sz w:val="31"/>
          <w:lang w:val="en-US" w:eastAsia="zh-CN"/>
        </w:rPr>
        <w:t>9</w:t>
      </w:r>
      <w:r>
        <w:rPr>
          <w:rFonts w:ascii="仿宋" w:hAnsi="仿宋" w:eastAsia="仿宋"/>
          <w:sz w:val="31"/>
        </w:rPr>
        <w:t>〕</w:t>
      </w:r>
      <w:r>
        <w:rPr>
          <w:rFonts w:hint="eastAsia" w:ascii="仿宋" w:hAnsi="仿宋" w:eastAsia="仿宋"/>
          <w:sz w:val="31"/>
          <w:lang w:val="en-US" w:eastAsia="zh-CN"/>
        </w:rPr>
        <w:t>22</w:t>
      </w:r>
      <w:r>
        <w:rPr>
          <w:rFonts w:ascii="仿宋" w:hAnsi="仿宋" w:eastAsia="仿宋"/>
          <w:sz w:val="31"/>
        </w:rPr>
        <w:t>号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</w:p>
    <w:p>
      <w:pPr>
        <w:snapToGrid w:val="0"/>
        <w:spacing w:line="500" w:lineRule="exact"/>
        <w:jc w:val="center"/>
        <w:textAlignment w:val="baseline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襄城县</w:t>
      </w:r>
      <w:r>
        <w:rPr>
          <w:rFonts w:hint="eastAsia" w:ascii="华文中宋" w:hAnsi="华文中宋" w:eastAsia="华文中宋" w:cs="华文中宋"/>
          <w:sz w:val="44"/>
          <w:szCs w:val="44"/>
        </w:rPr>
        <w:t>中医院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C形臂X射线</w:t>
      </w:r>
      <w:r>
        <w:rPr>
          <w:rFonts w:hint="eastAsia" w:ascii="华文中宋" w:hAnsi="华文中宋" w:eastAsia="华文中宋" w:cs="华文中宋"/>
          <w:sz w:val="44"/>
          <w:szCs w:val="44"/>
        </w:rPr>
        <w:t>机应用项目环境影响报告表的批复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1"/>
        </w:rPr>
      </w:pPr>
      <w:r>
        <w:rPr>
          <w:rFonts w:ascii="仿宋" w:hAnsi="仿宋" w:eastAsia="仿宋"/>
          <w:sz w:val="31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襄城县中医院：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124110254170255962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襄城县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C形臂X射线</w:t>
      </w:r>
      <w:r>
        <w:rPr>
          <w:rFonts w:hint="eastAsia" w:ascii="仿宋_GB2312" w:hAnsi="仿宋_GB2312" w:eastAsia="仿宋_GB2312" w:cs="仿宋_GB2312"/>
          <w:sz w:val="32"/>
          <w:szCs w:val="32"/>
        </w:rPr>
        <w:t>机应用项目环境影响报告表》（以下简称《报告表》）收悉，经研究，批复如下：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一、原则批准由四川省核工业辐射测试防护院编制的该项目《报告表》，建设单位应据此认真落实环保投资和各项污染防治措施。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二、审批内容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（一）种类和范围：使用Ⅱ类射线装置。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（二）项目内容：项目建设地点位于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河南省许昌市襄城县城关镇泰安路西段</w:t>
      </w:r>
      <w:r>
        <w:rPr>
          <w:rFonts w:hint="eastAsia" w:ascii="仿宋_GB2312" w:hAnsi="仿宋_GB2312" w:eastAsia="仿宋_GB2312" w:cs="仿宋_GB2312"/>
          <w:sz w:val="32"/>
          <w:szCs w:val="32"/>
        </w:rPr>
        <w:t>。医院拟对急诊楼2楼手术室及其相邻值班室进行改造，同时新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1台型号为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O</w:t>
      </w:r>
      <w:r>
        <w:rPr>
          <w:rFonts w:hint="eastAsia" w:ascii="仿宋_GB2312" w:hAnsi="仿宋_GB2312" w:eastAsia="仿宋_GB2312" w:cs="仿宋_GB2312"/>
          <w:sz w:val="32"/>
          <w:szCs w:val="32"/>
        </w:rPr>
        <w:t>EC990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Elite型C形臂X线机，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额定</w:t>
      </w:r>
      <w:r>
        <w:rPr>
          <w:rFonts w:hint="eastAsia" w:ascii="仿宋_GB2312" w:hAnsi="仿宋_GB2312" w:eastAsia="仿宋_GB2312" w:cs="仿宋_GB2312"/>
          <w:sz w:val="32"/>
          <w:szCs w:val="32"/>
        </w:rPr>
        <w:t>管电压12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5k</w:t>
      </w:r>
      <w:r>
        <w:rPr>
          <w:rFonts w:hint="eastAsia" w:ascii="仿宋_GB2312" w:hAnsi="仿宋_GB2312" w:eastAsia="仿宋_GB2312" w:cs="仿宋_GB2312"/>
          <w:sz w:val="32"/>
          <w:szCs w:val="32"/>
        </w:rPr>
        <w:t>V、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额</w:t>
      </w:r>
      <w:r>
        <w:rPr>
          <w:rFonts w:hint="eastAsia" w:ascii="仿宋_GB2312" w:hAnsi="仿宋_GB2312" w:eastAsia="仿宋_GB2312" w:cs="仿宋_GB2312"/>
          <w:sz w:val="32"/>
          <w:szCs w:val="32"/>
        </w:rPr>
        <w:t>定管电流150mA，用于介入及血管造影。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占工程总投资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10%。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三、你单位应在项目建成后30日内向社会公众主动公开本项目环评及许可情况，并接受相关方的咨询。同时，应将经批准的《报告表》报送当地环保部门，并接受监督管理。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（一）你单位应将《报告表》中各项污染防治措施落实到工程建设中，切实加强施工监督管理，确保项目的工程建设质量。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（二）你单位应设置辐射环境安全专（兼）职管理人员，建立并落实辐射防护、环境安全管理、事故预防、应急处理等规章制度。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（三）辐射工作场所须设置明显的电离辐射标志和中文警示说明。配备相应辐射监测仪器，定期对辐射工作场所及周围环境进行辐射监测，监测记录长期保存。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（四）射线装置安装、调试、使用时，应由专业技术人员操作。操作人员必须经辐射安全和防护知识培训合格后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</w:rPr>
        <w:t>上岗，定期进行个人剂量监测，建立和完善个人剂量档案。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（五）按时组织开展辐射安全与防护状况年度评估工作，发现安全隐患的，立即进行整改，年度评估报告每年1月31日前报送我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，同时抄送当地环保部门。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（六）按规定重新申领《辐射安全许可证》，并报告当地环保部门。取得《辐射安全许可证》后，该项目方可投入运行。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襄城县环保局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负责该项目日常环境监督管理工作，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  <w:sz w:val="31"/>
        </w:rPr>
      </w:pPr>
    </w:p>
    <w:p>
      <w:pPr>
        <w:snapToGrid w:val="0"/>
        <w:spacing w:line="500" w:lineRule="exact"/>
        <w:ind w:firstLine="620" w:firstLineChars="200"/>
        <w:jc w:val="left"/>
        <w:textAlignment w:val="baseline"/>
      </w:pPr>
      <w:r>
        <w:rPr>
          <w:rFonts w:hint="eastAsia" w:ascii="仿宋" w:hAnsi="仿宋" w:eastAsia="仿宋"/>
          <w:sz w:val="31"/>
        </w:rPr>
        <w:t xml:space="preserve">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C17F4"/>
    <w:rsid w:val="01FE42F9"/>
    <w:rsid w:val="09A16437"/>
    <w:rsid w:val="19DC0F52"/>
    <w:rsid w:val="2AAB27F4"/>
    <w:rsid w:val="358B103F"/>
    <w:rsid w:val="45CE2F3C"/>
    <w:rsid w:val="4DD55B4A"/>
    <w:rsid w:val="4E4C7D3E"/>
    <w:rsid w:val="643C1857"/>
    <w:rsid w:val="65AD468F"/>
    <w:rsid w:val="6D046EB3"/>
    <w:rsid w:val="6F4E4F4F"/>
    <w:rsid w:val="78257B93"/>
    <w:rsid w:val="7A0C17F4"/>
    <w:rsid w:val="7E5B2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2019-09-20T08:41:00Z</dcterms:created>
  <dc:creator>Administrator</dc:creator>
  <cp:lastModifiedBy>【埖开埖谢】</cp:lastModifiedBy>
  <cp:lastPrinted>2019-09-24T10:16:57Z</cp:lastPrinted>
  <dcterms:modified xsi:type="dcterms:W3CDTF">2019-09-24T10:19:20Z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