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color w:val="161616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161616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161616"/>
          <w:sz w:val="44"/>
          <w:szCs w:val="44"/>
          <w:lang w:eastAsia="zh-CN"/>
        </w:rPr>
        <w:t>关于许昌圆融颈肩腰腿痛医院有限公司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许昌圆融颈肩腰腿痛医院有限公司：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许昌圆融颈肩腰腿痛医院有限公司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，单位法人有原郭国灿变更为刘焕霞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河南省许昌市学院路中段。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69849AB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5EF41CA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F6454DF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CE12826"/>
    <w:rsid w:val="7DAC334F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2020-03-24T00:34:00Z</cp:lastPrinted>
  <dcterms:modified xsi:type="dcterms:W3CDTF">2021-03-15T16:01:44Z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D323C15B38EE4D0B88C04111C2141652</vt:lpwstr>
  </property>
</Properties>
</file>