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许环建审〔2019〕</w:t>
      </w:r>
      <w:r>
        <w:rPr>
          <w:rFonts w:hint="default"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号</w:t>
      </w:r>
    </w:p>
    <w:p>
      <w:pPr>
        <w:spacing w:line="600" w:lineRule="exact"/>
        <w:jc w:val="center"/>
        <w:rPr>
          <w:rFonts w:hint="eastAsia" w:ascii="仿宋_GB2312" w:hAnsi="仿宋_GB2312" w:eastAsia="仿宋_GB2312" w:cs="仿宋_GB2312"/>
          <w:b/>
          <w:sz w:val="32"/>
          <w:szCs w:val="32"/>
        </w:rPr>
      </w:pPr>
    </w:p>
    <w:p>
      <w:pPr>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许昌市生态环境局</w:t>
      </w:r>
    </w:p>
    <w:p>
      <w:pPr>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关</w:t>
      </w:r>
      <w:r>
        <w:rPr>
          <w:rFonts w:hint="eastAsia" w:ascii="宋体" w:hAnsi="宋体" w:eastAsia="宋体" w:cs="宋体"/>
          <w:b/>
          <w:bCs w:val="0"/>
          <w:sz w:val="44"/>
          <w:szCs w:val="44"/>
          <w:lang w:eastAsia="zh-CN"/>
        </w:rPr>
        <w:t>于</w:t>
      </w:r>
      <w:r>
        <w:rPr>
          <w:rFonts w:hint="eastAsia" w:ascii="宋体" w:hAnsi="宋体" w:eastAsia="宋体" w:cs="宋体"/>
          <w:b/>
          <w:bCs w:val="0"/>
          <w:sz w:val="44"/>
          <w:szCs w:val="44"/>
          <w:lang w:val="en-US" w:eastAsia="zh-CN"/>
        </w:rPr>
        <w:t>万里运业股份有限公司许昌市零换乘站加油站</w:t>
      </w:r>
      <w:r>
        <w:rPr>
          <w:rFonts w:hint="eastAsia" w:ascii="宋体" w:hAnsi="宋体" w:eastAsia="宋体" w:cs="宋体"/>
          <w:b/>
          <w:bCs w:val="0"/>
          <w:sz w:val="44"/>
          <w:szCs w:val="44"/>
        </w:rPr>
        <w:t>项目环境影响报告表的批复</w:t>
      </w:r>
    </w:p>
    <w:p>
      <w:pPr>
        <w:spacing w:line="600" w:lineRule="exact"/>
        <w:rPr>
          <w:rFonts w:hint="eastAsia" w:ascii="仿宋" w:hAnsi="仿宋" w:eastAsia="仿宋" w:cs="仿宋"/>
          <w:b/>
          <w:bCs w:val="0"/>
          <w:sz w:val="32"/>
          <w:szCs w:val="32"/>
        </w:rPr>
      </w:pPr>
      <w:r>
        <w:rPr>
          <w:rFonts w:hint="eastAsia" w:ascii="仿宋" w:hAnsi="仿宋" w:eastAsia="仿宋" w:cs="仿宋"/>
          <w:b/>
          <w:bCs w:val="0"/>
          <w:sz w:val="32"/>
          <w:szCs w:val="32"/>
        </w:rPr>
        <w:t xml:space="preserve">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万里运业股份</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你公司（统一社会信用代码：91411000</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7694949786</w:t>
      </w:r>
      <w:r>
        <w:rPr>
          <w:rFonts w:hint="eastAsia" w:ascii="仿宋_GB2312" w:hAnsi="仿宋_GB2312" w:eastAsia="仿宋_GB2312" w:cs="仿宋_GB2312"/>
          <w:sz w:val="32"/>
          <w:szCs w:val="32"/>
        </w:rPr>
        <w:t>）上报的由</w:t>
      </w:r>
      <w:r>
        <w:rPr>
          <w:rFonts w:hint="eastAsia" w:ascii="仿宋_GB2312" w:hAnsi="仿宋_GB2312" w:eastAsia="仿宋_GB2312" w:cs="仿宋_GB2312"/>
          <w:sz w:val="32"/>
          <w:szCs w:val="32"/>
          <w:lang w:val="en-US" w:eastAsia="zh-CN"/>
        </w:rPr>
        <w:t>河南咏蓝环境科技</w:t>
      </w:r>
      <w:r>
        <w:rPr>
          <w:rFonts w:hint="eastAsia" w:ascii="仿宋_GB2312" w:hAnsi="仿宋_GB2312" w:eastAsia="仿宋_GB2312" w:cs="仿宋_GB2312"/>
          <w:sz w:val="32"/>
          <w:szCs w:val="32"/>
        </w:rPr>
        <w:t>有限公司编制完成的《</w:t>
      </w:r>
      <w:r>
        <w:rPr>
          <w:rFonts w:hint="eastAsia" w:ascii="仿宋_GB2312" w:hAnsi="仿宋_GB2312" w:eastAsia="仿宋_GB2312" w:cs="仿宋_GB2312"/>
          <w:sz w:val="32"/>
          <w:szCs w:val="32"/>
          <w:lang w:val="en-US" w:eastAsia="zh-CN"/>
        </w:rPr>
        <w:t>万里运业股份有限公司许昌市零换乘站加油站</w:t>
      </w:r>
      <w:r>
        <w:rPr>
          <w:rFonts w:hint="eastAsia" w:ascii="仿宋_GB2312" w:hAnsi="仿宋_GB2312" w:eastAsia="仿宋_GB2312" w:cs="仿宋_GB2312"/>
          <w:sz w:val="32"/>
          <w:szCs w:val="32"/>
        </w:rPr>
        <w:t>项目环境影响报告表（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》内容符合国家有关法律法规要求和建设项目环境管理规定，评价结论可信。我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批准该《报告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》所列项目的性质、规模、地点、采用的生产工艺和环境保护对策进行项目建设。</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你公司应按照《关于印发建设项目环境影响评价信息公开机制方案的通知》（环发〔2015〕162号）要求，主动公开业经批准的《报告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》，做好建设项目环境信息公开工作，并接受相关方的咨询。</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三、你公司应全面落实《报告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》提出的各项环境保护措施，确保各项环境保护设施与主体工程同时设计、同时施工、同时投入使用，确保各项污染物达标排放。</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（一）向设计单位提供《报告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》和本批复文件，确保项目设计按照环境保护设计规范要求，落实防治环境污染和生态破坏的措施以及环保设施投资概算。</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（二）依据《报告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》和本批复文件，对项目建设过程中产生的废水、废气、固体废物、噪声等污染，采取相应的防治措施。</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项目外排污染物应满足以下要求：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eastAsia" w:eastAsia="仿宋"/>
          <w:lang w:val="en-US" w:eastAsia="zh-CN"/>
        </w:rPr>
      </w:pPr>
      <w:r>
        <w:rPr>
          <w:rFonts w:hint="eastAsia" w:ascii="仿宋_GB2312" w:hAnsi="仿宋_GB2312" w:eastAsia="仿宋_GB2312" w:cs="仿宋_GB2312"/>
          <w:color w:val="000000"/>
          <w:sz w:val="32"/>
          <w:szCs w:val="32"/>
        </w:rPr>
        <w:t>1、废水。</w:t>
      </w:r>
      <w:r>
        <w:rPr>
          <w:rFonts w:ascii="Times New Roman" w:hAnsi="Times New Roman" w:eastAsia="仿宋"/>
          <w:sz w:val="32"/>
          <w:szCs w:val="32"/>
        </w:rPr>
        <w:t>本项目</w:t>
      </w:r>
      <w:r>
        <w:rPr>
          <w:rFonts w:hint="eastAsia" w:ascii="Times New Roman" w:hAnsi="Times New Roman" w:eastAsia="仿宋"/>
          <w:sz w:val="32"/>
          <w:szCs w:val="32"/>
        </w:rPr>
        <w:t>站内不设洗车设备，加油车辆不在站内清洗，无生产</w:t>
      </w:r>
      <w:r>
        <w:rPr>
          <w:rFonts w:ascii="Times New Roman" w:hAnsi="Times New Roman" w:eastAsia="仿宋"/>
          <w:sz w:val="32"/>
          <w:szCs w:val="32"/>
        </w:rPr>
        <w:t>废水</w:t>
      </w:r>
      <w:r>
        <w:rPr>
          <w:rFonts w:hint="eastAsia" w:ascii="Times New Roman" w:hAnsi="Times New Roman" w:eastAsia="仿宋"/>
          <w:sz w:val="32"/>
          <w:szCs w:val="32"/>
        </w:rPr>
        <w:t>，主要废水为站内员工及加油车辆司乘人员产生少量的</w:t>
      </w:r>
      <w:r>
        <w:rPr>
          <w:rFonts w:ascii="Times New Roman" w:hAnsi="Times New Roman" w:eastAsia="仿宋"/>
          <w:sz w:val="32"/>
          <w:szCs w:val="32"/>
        </w:rPr>
        <w:t>生活污水</w:t>
      </w:r>
      <w:r>
        <w:rPr>
          <w:rFonts w:hint="eastAsia" w:eastAsia="仿宋"/>
          <w:sz w:val="32"/>
          <w:szCs w:val="32"/>
          <w:lang w:eastAsia="zh-CN"/>
        </w:rPr>
        <w:t>，废水</w:t>
      </w:r>
      <w:r>
        <w:rPr>
          <w:rFonts w:hint="eastAsia" w:ascii="仿宋" w:hAnsi="仿宋" w:eastAsia="仿宋" w:cs="仿宋"/>
          <w:i w:val="0"/>
          <w:caps w:val="0"/>
          <w:color w:val="auto"/>
          <w:spacing w:val="0"/>
          <w:kern w:val="0"/>
          <w:sz w:val="32"/>
          <w:szCs w:val="32"/>
          <w:lang w:val="en-US" w:eastAsia="zh-CN" w:bidi="ar"/>
        </w:rPr>
        <w:t>经化粪池处理后达到</w:t>
      </w:r>
      <w:r>
        <w:rPr>
          <w:rFonts w:ascii="仿宋_GB2312" w:hAnsi="宋体" w:eastAsia="仿宋_GB2312" w:cs="仿宋_GB2312"/>
          <w:i w:val="0"/>
          <w:caps w:val="0"/>
          <w:color w:val="auto"/>
          <w:spacing w:val="0"/>
          <w:sz w:val="32"/>
          <w:szCs w:val="32"/>
        </w:rPr>
        <w:t>《污水综合排放标准》（GB8978-1996）表4三级标准，排入城市污水管网，进</w:t>
      </w:r>
      <w:r>
        <w:rPr>
          <w:rFonts w:hint="eastAsia" w:ascii="仿宋_GB2312" w:hAnsi="宋体" w:eastAsia="仿宋_GB2312" w:cs="仿宋_GB2312"/>
          <w:i w:val="0"/>
          <w:caps w:val="0"/>
          <w:color w:val="auto"/>
          <w:spacing w:val="0"/>
          <w:sz w:val="32"/>
          <w:szCs w:val="32"/>
          <w:lang w:eastAsia="zh-CN"/>
        </w:rPr>
        <w:t>入</w:t>
      </w:r>
      <w:r>
        <w:rPr>
          <w:rFonts w:hint="eastAsia" w:ascii="仿宋_GB2312" w:hAnsi="宋体" w:eastAsia="仿宋_GB2312" w:cs="仿宋_GB2312"/>
          <w:i w:val="0"/>
          <w:caps w:val="0"/>
          <w:color w:val="auto"/>
          <w:spacing w:val="0"/>
          <w:sz w:val="32"/>
          <w:szCs w:val="32"/>
        </w:rPr>
        <w:t>许昌瑞贝卡水业有限公司污水净化公司</w:t>
      </w:r>
      <w:r>
        <w:rPr>
          <w:rFonts w:ascii="仿宋_GB2312" w:hAnsi="宋体" w:eastAsia="仿宋_GB2312" w:cs="仿宋_GB2312"/>
          <w:i w:val="0"/>
          <w:caps w:val="0"/>
          <w:color w:val="auto"/>
          <w:spacing w:val="0"/>
          <w:sz w:val="32"/>
          <w:szCs w:val="32"/>
        </w:rPr>
        <w:t>进</w:t>
      </w:r>
      <w:r>
        <w:rPr>
          <w:rFonts w:hint="eastAsia" w:ascii="仿宋_GB2312" w:hAnsi="宋体" w:eastAsia="仿宋_GB2312" w:cs="仿宋_GB2312"/>
          <w:i w:val="0"/>
          <w:caps w:val="0"/>
          <w:color w:val="auto"/>
          <w:spacing w:val="0"/>
          <w:sz w:val="32"/>
          <w:szCs w:val="32"/>
          <w:lang w:eastAsia="zh-CN"/>
        </w:rPr>
        <w:t>行深度</w:t>
      </w:r>
      <w:r>
        <w:rPr>
          <w:rFonts w:ascii="仿宋_GB2312" w:hAnsi="宋体" w:eastAsia="仿宋_GB2312" w:cs="仿宋_GB2312"/>
          <w:i w:val="0"/>
          <w:caps w:val="0"/>
          <w:color w:val="auto"/>
          <w:spacing w:val="0"/>
          <w:sz w:val="32"/>
          <w:szCs w:val="32"/>
        </w:rPr>
        <w:t>处理。</w:t>
      </w:r>
    </w:p>
    <w:p>
      <w:pPr>
        <w:spacing w:line="600" w:lineRule="exact"/>
        <w:ind w:firstLine="640" w:firstLineChars="200"/>
        <w:rPr>
          <w:rFonts w:hint="eastAsia" w:ascii="Times New Roman" w:hAnsi="Times New Roman" w:eastAsia="仿宋"/>
          <w:sz w:val="32"/>
          <w:szCs w:val="32"/>
        </w:rPr>
      </w:pPr>
      <w:r>
        <w:rPr>
          <w:rFonts w:hint="eastAsia" w:ascii="仿宋_GB2312" w:hAnsi="仿宋_GB2312" w:eastAsia="仿宋_GB2312" w:cs="仿宋_GB2312"/>
          <w:color w:val="000000"/>
          <w:sz w:val="32"/>
          <w:szCs w:val="32"/>
        </w:rPr>
        <w:t>2、废气。</w:t>
      </w:r>
      <w:r>
        <w:rPr>
          <w:rFonts w:ascii="Times New Roman" w:hAnsi="Times New Roman" w:eastAsia="仿宋"/>
          <w:sz w:val="32"/>
          <w:szCs w:val="32"/>
        </w:rPr>
        <w:t>项目废气污染物主要为</w:t>
      </w:r>
      <w:r>
        <w:rPr>
          <w:rFonts w:hint="eastAsia" w:ascii="Times New Roman" w:hAnsi="Times New Roman" w:eastAsia="仿宋"/>
          <w:sz w:val="32"/>
          <w:szCs w:val="32"/>
        </w:rPr>
        <w:t>油品挥发产生的油气和进出站车辆汽车尾气</w:t>
      </w:r>
      <w:r>
        <w:rPr>
          <w:rFonts w:ascii="Times New Roman" w:hAnsi="Times New Roman" w:eastAsia="仿宋"/>
          <w:sz w:val="32"/>
          <w:szCs w:val="32"/>
        </w:rPr>
        <w:t>。</w:t>
      </w:r>
      <w:r>
        <w:rPr>
          <w:rFonts w:hint="eastAsia" w:ascii="Times New Roman" w:hAnsi="Times New Roman" w:eastAsia="仿宋"/>
          <w:sz w:val="32"/>
          <w:szCs w:val="32"/>
        </w:rPr>
        <w:t>设置卸油油气回收系统（即一次油气回收）、加油油气回收系统（即二次油气回收），非甲烷总烃厂界浓度满足《大气污染物综合排放标准》（GB16297—1996）表2无组织排放监控浓度限值（周界外浓度最高点4.0mg/m</w:t>
      </w:r>
      <w:r>
        <w:rPr>
          <w:rFonts w:hint="eastAsia" w:ascii="Times New Roman" w:hAnsi="Times New Roman" w:eastAsia="仿宋"/>
          <w:sz w:val="32"/>
          <w:szCs w:val="32"/>
          <w:vertAlign w:val="superscript"/>
        </w:rPr>
        <w:t>3</w:t>
      </w:r>
      <w:r>
        <w:rPr>
          <w:rFonts w:hint="eastAsia" w:ascii="Times New Roman" w:hAnsi="Times New Roman" w:eastAsia="仿宋"/>
          <w:sz w:val="32"/>
          <w:szCs w:val="32"/>
        </w:rPr>
        <w:t>），同时满足《关于全省开展工业企业挥发性有机物专项治理工作中排放建议值的通知》（豫环攻坚办〔2017〕162号）工业企业边界挥发性有机物排放建议值（其他行业2.0mg/m</w:t>
      </w:r>
      <w:r>
        <w:rPr>
          <w:rFonts w:hint="eastAsia" w:ascii="Times New Roman" w:hAnsi="Times New Roman" w:eastAsia="仿宋"/>
          <w:sz w:val="32"/>
          <w:szCs w:val="32"/>
          <w:vertAlign w:val="superscript"/>
        </w:rPr>
        <w:t>3</w:t>
      </w:r>
      <w:r>
        <w:rPr>
          <w:rFonts w:hint="eastAsia" w:ascii="Times New Roman" w:hAnsi="Times New Roman" w:eastAsia="仿宋"/>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3、噪声。对</w:t>
      </w:r>
      <w:r>
        <w:rPr>
          <w:rFonts w:hint="eastAsia" w:ascii="仿宋_GB2312" w:hAnsi="仿宋_GB2312" w:eastAsia="仿宋_GB2312" w:cs="仿宋_GB2312"/>
          <w:color w:val="000000"/>
          <w:sz w:val="32"/>
          <w:szCs w:val="32"/>
          <w:lang w:eastAsia="zh-CN"/>
        </w:rPr>
        <w:t>真空泵、冷冻油泵、冲孔机</w:t>
      </w:r>
      <w:r>
        <w:rPr>
          <w:rFonts w:hint="eastAsia" w:ascii="仿宋_GB2312" w:hAnsi="仿宋_GB2312" w:eastAsia="仿宋_GB2312" w:cs="仿宋_GB2312"/>
          <w:color w:val="000000"/>
          <w:sz w:val="32"/>
          <w:szCs w:val="32"/>
        </w:rPr>
        <w:t>等噪声源采取隔音、减振措施，厂界噪声应满足《工业企业厂界环境噪声排放标准》(GB12348-2008)表1中2类标准要求。</w:t>
      </w:r>
    </w:p>
    <w:p>
      <w:pPr>
        <w:spacing w:after="0" w:line="600" w:lineRule="exact"/>
        <w:ind w:firstLine="640" w:firstLineChars="200"/>
        <w:jc w:val="both"/>
        <w:rPr>
          <w:rFonts w:ascii="Times New Roman" w:hAnsi="Times New Roman" w:eastAsia="仿宋"/>
          <w:bCs/>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、固废。</w:t>
      </w:r>
      <w:r>
        <w:rPr>
          <w:rFonts w:ascii="Times New Roman" w:hAnsi="Times New Roman" w:eastAsia="仿宋"/>
          <w:sz w:val="32"/>
          <w:szCs w:val="32"/>
        </w:rPr>
        <w:t>项目固体废物主要为</w:t>
      </w:r>
      <w:r>
        <w:rPr>
          <w:rFonts w:hint="eastAsia" w:ascii="Times New Roman" w:hAnsi="Times New Roman" w:eastAsia="仿宋"/>
          <w:sz w:val="32"/>
          <w:szCs w:val="32"/>
        </w:rPr>
        <w:t>油罐清洗产生的清罐废物</w:t>
      </w:r>
      <w:r>
        <w:rPr>
          <w:rFonts w:ascii="Times New Roman" w:hAnsi="Times New Roman" w:eastAsia="仿宋"/>
          <w:sz w:val="32"/>
          <w:szCs w:val="32"/>
        </w:rPr>
        <w:t>和</w:t>
      </w:r>
      <w:r>
        <w:rPr>
          <w:rFonts w:hint="eastAsia" w:ascii="Times New Roman" w:hAnsi="Times New Roman" w:eastAsia="仿宋"/>
          <w:sz w:val="32"/>
          <w:szCs w:val="32"/>
        </w:rPr>
        <w:t>员工及司乘人员产生的</w:t>
      </w:r>
      <w:r>
        <w:rPr>
          <w:rFonts w:ascii="Times New Roman" w:hAnsi="Times New Roman" w:eastAsia="仿宋"/>
          <w:sz w:val="32"/>
          <w:szCs w:val="32"/>
        </w:rPr>
        <w:t>生活垃圾。</w:t>
      </w:r>
      <w:r>
        <w:rPr>
          <w:rFonts w:hint="eastAsia" w:ascii="Times New Roman" w:hAnsi="Times New Roman" w:eastAsia="仿宋"/>
          <w:bCs/>
          <w:sz w:val="32"/>
          <w:szCs w:val="32"/>
        </w:rPr>
        <w:t>清罐废物属于危险废物</w:t>
      </w:r>
      <w:r>
        <w:rPr>
          <w:rFonts w:ascii="Times New Roman" w:hAnsi="Times New Roman" w:eastAsia="仿宋"/>
          <w:bCs/>
          <w:sz w:val="32"/>
          <w:szCs w:val="32"/>
        </w:rPr>
        <w:t>，</w:t>
      </w:r>
      <w:r>
        <w:rPr>
          <w:rFonts w:hint="eastAsia" w:ascii="Times New Roman" w:hAnsi="Times New Roman" w:eastAsia="仿宋"/>
          <w:bCs/>
          <w:sz w:val="32"/>
          <w:szCs w:val="32"/>
        </w:rPr>
        <w:t>清理后交有资质单位进行处置。</w:t>
      </w:r>
      <w:r>
        <w:rPr>
          <w:rFonts w:ascii="Times New Roman" w:hAnsi="Times New Roman" w:eastAsia="仿宋"/>
          <w:bCs/>
          <w:sz w:val="32"/>
          <w:szCs w:val="32"/>
        </w:rPr>
        <w:t>生活垃圾收集后，交由环卫部门统一处置。</w:t>
      </w:r>
    </w:p>
    <w:p>
      <w:pPr>
        <w:pStyle w:val="8"/>
        <w:rPr>
          <w:rFonts w:hint="eastAsia" w:eastAsia="仿宋"/>
          <w:lang w:val="en-US" w:eastAsia="zh-CN"/>
        </w:rPr>
      </w:pPr>
      <w:r>
        <w:rPr>
          <w:rFonts w:hint="eastAsia" w:ascii="Times New Roman" w:hAnsi="Times New Roman" w:eastAsia="仿宋"/>
          <w:bCs/>
          <w:sz w:val="32"/>
          <w:szCs w:val="32"/>
          <w:lang w:val="en-US" w:eastAsia="zh-CN"/>
        </w:rPr>
        <w:t xml:space="preserve">    5、地下水。项目站内采取分区防渗，储罐采用双层罐，做好防渗处理，同时设置地下水观测井。</w:t>
      </w:r>
    </w:p>
    <w:p>
      <w:pPr>
        <w:pStyle w:val="9"/>
        <w:tabs>
          <w:tab w:val="left" w:pos="8598"/>
        </w:tabs>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（四）本项目建成后，主要污染物</w:t>
      </w:r>
      <w:r>
        <w:rPr>
          <w:rFonts w:hint="eastAsia" w:ascii="仿宋_GB2312" w:hAnsi="仿宋_GB2312" w:eastAsia="仿宋_GB2312" w:cs="仿宋_GB2312"/>
          <w:color w:val="000000"/>
          <w:sz w:val="32"/>
          <w:szCs w:val="32"/>
          <w:lang w:eastAsia="zh-CN"/>
        </w:rPr>
        <w:t>排放</w:t>
      </w:r>
      <w:r>
        <w:rPr>
          <w:rFonts w:hint="eastAsia" w:ascii="仿宋_GB2312" w:hAnsi="仿宋_GB2312" w:eastAsia="仿宋_GB2312" w:cs="仿宋_GB2312"/>
          <w:color w:val="000000"/>
          <w:sz w:val="32"/>
          <w:szCs w:val="32"/>
        </w:rPr>
        <w:t>控制指标（出厂量）为</w:t>
      </w:r>
      <w:r>
        <w:rPr>
          <w:rFonts w:ascii="Times New Roman" w:hAnsi="Times New Roman" w:eastAsia="仿宋"/>
          <w:sz w:val="32"/>
          <w:szCs w:val="32"/>
        </w:rPr>
        <w:t>COD</w:t>
      </w:r>
      <w:r>
        <w:rPr>
          <w:rFonts w:hint="eastAsia" w:ascii="Times New Roman" w:hAnsi="Times New Roman" w:eastAsia="仿宋"/>
          <w:sz w:val="32"/>
          <w:szCs w:val="32"/>
        </w:rPr>
        <w:t>：</w:t>
      </w:r>
      <w:r>
        <w:rPr>
          <w:rFonts w:ascii="Times New Roman" w:hAnsi="Times New Roman" w:eastAsia="仿宋"/>
          <w:sz w:val="32"/>
          <w:szCs w:val="32"/>
        </w:rPr>
        <w:t>0.0389t/a</w:t>
      </w:r>
      <w:r>
        <w:rPr>
          <w:rFonts w:hint="eastAsia" w:ascii="Times New Roman" w:hAnsi="Times New Roman" w:eastAsia="仿宋"/>
          <w:sz w:val="32"/>
          <w:szCs w:val="32"/>
        </w:rPr>
        <w:t>、氨氮0</w:t>
      </w:r>
      <w:r>
        <w:rPr>
          <w:rFonts w:ascii="Times New Roman" w:hAnsi="Times New Roman" w:eastAsia="仿宋"/>
          <w:sz w:val="32"/>
          <w:szCs w:val="32"/>
        </w:rPr>
        <w:t>.0039t/a</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如果今后国家或我省颁布污染物排放新标准，届时你公司应按新的排放标准执行。</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项目</w:t>
      </w:r>
      <w:r>
        <w:rPr>
          <w:rFonts w:hint="eastAsia" w:ascii="仿宋_GB2312" w:hAnsi="仿宋_GB2312" w:eastAsia="仿宋_GB2312" w:cs="仿宋_GB2312"/>
          <w:color w:val="000000"/>
          <w:sz w:val="32"/>
          <w:szCs w:val="32"/>
        </w:rPr>
        <w:t>自本批复下达之日起，超过5年方决定开工建设的，环境影响评价文件应报我局重新审核</w:t>
      </w:r>
      <w:r>
        <w:rPr>
          <w:rFonts w:hint="eastAsia" w:ascii="仿宋_GB2312" w:hAnsi="仿宋_GB2312" w:eastAsia="仿宋_GB2312" w:cs="仿宋_GB2312"/>
          <w:sz w:val="32"/>
          <w:szCs w:val="32"/>
        </w:rPr>
        <w:t>。如建设项目的性质、规模、地点、采用的生产工艺或者防治污染措施发生重大变动，应当重新报批建设项目的环境影响评价文件。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default"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bookmarkStart w:id="0" w:name="_GoBack"/>
      <w:bookmarkEnd w:id="0"/>
    </w:p>
    <w:p>
      <w:pPr>
        <w:pStyle w:val="2"/>
        <w:rPr>
          <w:rFonts w:hint="eastAsia"/>
        </w:rPr>
      </w:pPr>
    </w:p>
    <w:p>
      <w:pPr>
        <w:pBdr>
          <w:top w:val="single" w:color="auto" w:sz="4" w:space="0"/>
          <w:bottom w:val="single" w:color="auto" w:sz="4" w:space="0"/>
        </w:pBdr>
        <w:wordWrap w:val="0"/>
        <w:spacing w:line="600" w:lineRule="exact"/>
      </w:pPr>
      <w:r>
        <w:rPr>
          <w:rFonts w:hint="eastAsia" w:ascii="仿宋_GB2312" w:hAnsi="仿宋_GB2312" w:eastAsia="仿宋_GB2312" w:cs="仿宋_GB2312"/>
          <w:sz w:val="32"/>
          <w:szCs w:val="32"/>
        </w:rPr>
        <w:t>抄送：许昌市环境监察支队，</w:t>
      </w:r>
      <w:r>
        <w:rPr>
          <w:rFonts w:hint="eastAsia" w:ascii="仿宋" w:hAnsi="仿宋" w:eastAsia="仿宋" w:cs="仿宋"/>
          <w:i w:val="0"/>
          <w:caps w:val="0"/>
          <w:color w:val="auto"/>
          <w:spacing w:val="0"/>
          <w:sz w:val="32"/>
          <w:szCs w:val="32"/>
          <w:lang w:eastAsia="zh-CN"/>
        </w:rPr>
        <w:t>许昌市东城区环境保护局</w:t>
      </w:r>
      <w:r>
        <w:rPr>
          <w:rFonts w:hint="eastAsia" w:ascii="仿宋" w:hAnsi="仿宋" w:eastAsia="仿宋" w:cs="仿宋"/>
          <w:i w:val="0"/>
          <w:caps w:val="0"/>
          <w:color w:val="auto"/>
          <w:spacing w:val="0"/>
          <w:sz w:val="32"/>
          <w:szCs w:val="32"/>
          <w:lang w:val="en-US" w:eastAsia="zh-CN"/>
        </w:rPr>
        <w:t>,</w:t>
      </w:r>
      <w:r>
        <w:rPr>
          <w:rFonts w:hint="eastAsia" w:ascii="仿宋_GB2312" w:hAnsi="仿宋_GB2312" w:eastAsia="仿宋_GB2312" w:cs="仿宋_GB2312"/>
          <w:sz w:val="32"/>
          <w:szCs w:val="32"/>
          <w:lang w:val="en-US" w:eastAsia="zh-CN"/>
        </w:rPr>
        <w:t>河南咏蓝环境科技</w:t>
      </w:r>
      <w:r>
        <w:rPr>
          <w:rFonts w:hint="eastAsia" w:ascii="仿宋_GB2312" w:hAnsi="仿宋_GB2312" w:eastAsia="仿宋_GB2312" w:cs="仿宋_GB2312"/>
          <w:sz w:val="32"/>
          <w:szCs w:val="32"/>
        </w:rPr>
        <w:t>有限公司。</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06" w:bottom="1440" w:left="17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nqzVF&#10;0AAAAAMBAAAPAAAAAAAAAAEAIAAAACIAAABkcnMvZG93bnJldi54bWxQSwECFAAUAAAACACHTuJA&#10;Z8P+ALcBAABWAwAADgAAAAAAAAABACAAAAAf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D47A9"/>
    <w:rsid w:val="15103041"/>
    <w:rsid w:val="1AD84ADF"/>
    <w:rsid w:val="297E282A"/>
    <w:rsid w:val="2F5C51AD"/>
    <w:rsid w:val="4262065F"/>
    <w:rsid w:val="4349494E"/>
    <w:rsid w:val="436D2AE3"/>
    <w:rsid w:val="436F5D1F"/>
    <w:rsid w:val="487A7FE1"/>
    <w:rsid w:val="56DB6EAA"/>
    <w:rsid w:val="56F110A5"/>
    <w:rsid w:val="5DA218A4"/>
    <w:rsid w:val="612D73E7"/>
    <w:rsid w:val="664A1F8F"/>
    <w:rsid w:val="6FB459BB"/>
    <w:rsid w:val="70E77070"/>
    <w:rsid w:val="716B39D7"/>
    <w:rsid w:val="749F3125"/>
    <w:rsid w:val="77EB4E0A"/>
    <w:rsid w:val="79E1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Default"/>
    <w:unhideWhenUsed/>
    <w:qFormat/>
    <w:uiPriority w:val="99"/>
    <w:pPr>
      <w:widowControl w:val="0"/>
      <w:autoSpaceDE w:val="0"/>
      <w:autoSpaceDN w:val="0"/>
      <w:adjustRightInd w:val="0"/>
    </w:pPr>
    <w:rPr>
      <w:rFonts w:ascii="宋体" w:hAnsi="宋体" w:eastAsiaTheme="minorEastAsia" w:cstheme="minorBidi"/>
      <w:color w:val="000000"/>
      <w:sz w:val="24"/>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2019-11-12T02:29:00Z</cp:lastPrinted>
  <dcterms:modified xsi:type="dcterms:W3CDTF">2019-11-12T07:00:17Z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