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许环建审〔20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2640" w:firstLineChars="6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许昌市生态环境局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许昌市餐厨废弃物收运处理项目（一期）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环境影响报告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contextualSpacing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contextualSpacing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许昌欧绿保环保科技有限公司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（统一社会信用代码：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91411002MA48194Y5A</w:t>
      </w:r>
      <w:r>
        <w:rPr>
          <w:rFonts w:hint="eastAsia" w:ascii="仿宋" w:hAnsi="仿宋" w:eastAsia="仿宋" w:cs="仿宋"/>
          <w:sz w:val="32"/>
          <w:szCs w:val="32"/>
        </w:rPr>
        <w:t>）上报的由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河南咏蓝环境科技</w:t>
      </w:r>
      <w:r>
        <w:rPr>
          <w:rFonts w:hint="eastAsia" w:ascii="仿宋" w:hAnsi="仿宋" w:eastAsia="仿宋" w:cs="仿宋"/>
          <w:sz w:val="32"/>
          <w:szCs w:val="32"/>
        </w:rPr>
        <w:t>有限公司编制的《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许昌市餐厨废弃物收运处理项目（一期）</w:t>
      </w:r>
      <w:r>
        <w:rPr>
          <w:rFonts w:hint="eastAsia" w:ascii="仿宋" w:hAnsi="仿宋" w:eastAsia="仿宋" w:cs="仿宋"/>
          <w:sz w:val="32"/>
          <w:szCs w:val="32"/>
        </w:rPr>
        <w:t>（报批版）》（以下简称《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报告书</w:t>
      </w:r>
      <w:r>
        <w:rPr>
          <w:rFonts w:hint="eastAsia" w:ascii="仿宋" w:hAnsi="仿宋" w:eastAsia="仿宋" w:cs="仿宋"/>
          <w:sz w:val="32"/>
          <w:szCs w:val="32"/>
        </w:rPr>
        <w:t>》）收悉。该项目审批事项已在我局网站公示期满。根据《中华人民共和国环境保护法》、《中华人民共和国行政许可法》、《中华人民共和国环境影响评价法》、《建设项目环境保护管理条例》等法律法规规定，经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报告书</w:t>
      </w:r>
      <w:r>
        <w:rPr>
          <w:rFonts w:hint="eastAsia" w:ascii="仿宋" w:hAnsi="仿宋" w:eastAsia="仿宋" w:cs="仿宋"/>
          <w:sz w:val="32"/>
          <w:szCs w:val="32"/>
        </w:rPr>
        <w:t>》内容符合国家有关法律法规要求和建设项目环境管理规定，评价结论可信。我局原则同意你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报告书</w:t>
      </w:r>
      <w:r>
        <w:rPr>
          <w:rFonts w:hint="eastAsia" w:ascii="仿宋" w:hAnsi="仿宋" w:eastAsia="仿宋" w:cs="仿宋"/>
          <w:sz w:val="32"/>
          <w:szCs w:val="32"/>
        </w:rPr>
        <w:t>》所列项目的性质、规模、地点、采用的生产工艺和环境保护对策措施进行项目建设。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二、项目位于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许昌市静脉产业园内，香山公园以南、庞庄村以西、许昌市生活垃圾综合处理厂以东。本项目设计处理规模为餐厨垃圾100t/d，地沟油10t/d。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应按照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《关于印发建设项目环境影响评价信息公开机制方案的通知》（环发〔2015〕162号）要求</w:t>
      </w:r>
      <w:r>
        <w:rPr>
          <w:rFonts w:hint="eastAsia" w:ascii="仿宋" w:hAnsi="仿宋" w:eastAsia="仿宋" w:cs="仿宋"/>
          <w:sz w:val="32"/>
          <w:szCs w:val="32"/>
        </w:rPr>
        <w:t>，向社会公众主动公开经批准的《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报告书</w:t>
      </w:r>
      <w:r>
        <w:rPr>
          <w:rFonts w:hint="eastAsia" w:ascii="仿宋" w:hAnsi="仿宋" w:eastAsia="仿宋" w:cs="仿宋"/>
          <w:sz w:val="32"/>
          <w:szCs w:val="32"/>
        </w:rPr>
        <w:t>》，并接受相关方的咨询。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应全面落实《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报告书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》提出的各项环境保护措施，确保各项环境保护设施与主体工程同时设计、同时施工、同时投入使用，确保各项污染物达标排放。向设计单位提供《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报告书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》和本批复文件，确保项目设计按照环境保护设计规范要求，落实防治环境污染和生态破坏的措施以及环保设施投资概算。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施工期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做好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1、废水。施工期泥浆水、车辆冲洗水、沉降水经沉淀池收集后用于施工现场洒水抑尘，不得外排；生活污水经化粪池处理后，排入城市污水管网，进瑞贝卡污水处理厂进行深度处理。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废气。施工期大气污染物主要是施工扬尘，运输扬尘、机械作业燃油尾气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。建设单位应严格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河南省《城市房屋建筑和市政基础设施工程及道路扬尘污染防治标准》（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DBJ41/T174-2020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）要求，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加强施工期管理，工地施工机械应按要求向生态环境部门登记备案并悬挂环保标牌。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噪声。施工方应采用低噪声施工机械和先进工艺进行施工，设置隔声屏障，严格执行《建筑施工场界环境噪声排放标准》（GB12523-2011）中有关规定，合理安排各类施工机械的工作时间，严禁夜间时段（22：00-次日6：00）施工，防止噪声扰民，如必须夜间施工的，必须向相关部门申请，征得同意后方可施工，并告知周边居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固废。生活垃圾分类收集后交由环卫部门处置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；建筑垃圾和工程弃土弃渣及时清运、妥善处置，不得长期堆存、随意倾倒。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生态保护。施工期应严格落实生态保护和水土保持各项措施。施工结束后，应及时对施工便道等临时占地进行土地平整、表土回覆和植被恢复。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建成后</w:t>
      </w:r>
      <w:r>
        <w:rPr>
          <w:rFonts w:hint="eastAsia" w:ascii="仿宋" w:hAnsi="仿宋" w:eastAsia="仿宋" w:cs="仿宋"/>
          <w:sz w:val="32"/>
          <w:szCs w:val="32"/>
        </w:rPr>
        <w:t>外排污染物应满足以下要求：</w:t>
      </w:r>
    </w:p>
    <w:p>
      <w:pPr>
        <w:spacing w:after="0" w:line="64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1.废水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项目产生的</w:t>
      </w:r>
      <w:r>
        <w:rPr>
          <w:rFonts w:hint="eastAsia" w:ascii="仿宋" w:hAnsi="仿宋" w:eastAsia="仿宋" w:cs="仿宋"/>
          <w:sz w:val="32"/>
          <w:szCs w:val="32"/>
        </w:rPr>
        <w:t>沼液、沼气净化过程中产生的脱硫废水和沼气脱水废水、锅炉软水制备过程中产生的反渗透浓水和树脂再生废水、设备清洗废水、车辆冲洗废水、场地冲洗废水、除臭系统定期排水、生活污水等，经厂内污水管网收集后一并进入污水处理站净化处理，污水处理站采用“预处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二级AO+MBR膜”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处理工艺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处理后的废水应</w:t>
      </w:r>
      <w:r>
        <w:rPr>
          <w:rFonts w:hint="eastAsia" w:ascii="仿宋" w:hAnsi="仿宋" w:eastAsia="仿宋" w:cs="仿宋"/>
          <w:sz w:val="32"/>
          <w:szCs w:val="32"/>
        </w:rPr>
        <w:t>满足《污水综合排放标准》（GB8978-1996）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表4三级标准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许昌瑞贝卡污水净化有限公司进水水质要求。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处理后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排入</w:t>
      </w:r>
      <w:r>
        <w:rPr>
          <w:rFonts w:hint="eastAsia" w:ascii="仿宋" w:hAnsi="仿宋" w:eastAsia="仿宋" w:cs="仿宋"/>
          <w:sz w:val="32"/>
          <w:szCs w:val="32"/>
        </w:rPr>
        <w:t>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污水管网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</w:t>
      </w:r>
      <w:r>
        <w:rPr>
          <w:rFonts w:hint="eastAsia" w:ascii="仿宋" w:hAnsi="仿宋" w:eastAsia="仿宋" w:cs="仿宋"/>
          <w:sz w:val="32"/>
          <w:szCs w:val="32"/>
        </w:rPr>
        <w:t>许昌瑞贝卡污水净化有限公司进行深度处理。</w:t>
      </w:r>
    </w:p>
    <w:p>
      <w:pPr>
        <w:spacing w:after="0" w:line="64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废气。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项目采用全密闭的翻转式餐厨垃圾收运车，对装卸口设密封圈并定期检查保证密闭效果，运输过程中不得遗撒、飘散运载物，并对车辆及时冲洗，清洁上路，严禁使用淘汰老旧车辆。</w:t>
      </w:r>
    </w:p>
    <w:p>
      <w:pPr>
        <w:spacing w:after="0" w:line="640" w:lineRule="exact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项目卸料区设置在预处理车间内，卸料过程要保证车间处于全密闭状态。预处理</w:t>
      </w:r>
      <w:r>
        <w:rPr>
          <w:rFonts w:hint="eastAsia" w:ascii="仿宋" w:hAnsi="仿宋" w:eastAsia="仿宋" w:cs="仿宋"/>
          <w:kern w:val="2"/>
          <w:sz w:val="32"/>
          <w:szCs w:val="32"/>
        </w:rPr>
        <w:t>车间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恶臭气体及VOCs</w:t>
      </w:r>
      <w:r>
        <w:rPr>
          <w:rFonts w:hint="eastAsia" w:ascii="仿宋" w:hAnsi="仿宋" w:eastAsia="仿宋" w:cs="仿宋"/>
          <w:kern w:val="2"/>
          <w:sz w:val="32"/>
          <w:szCs w:val="32"/>
        </w:rPr>
        <w:t>采取“设备密闭或加盖+集气管道”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“车间密闭负压+车间顶部二次收集装置”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两种方式收集后</w:t>
      </w:r>
      <w:r>
        <w:rPr>
          <w:rFonts w:hint="eastAsia" w:ascii="仿宋" w:hAnsi="仿宋" w:eastAsia="仿宋" w:cs="仿宋"/>
          <w:kern w:val="2"/>
          <w:sz w:val="32"/>
          <w:szCs w:val="32"/>
        </w:rPr>
        <w:t>引入“碱洗+酸洗+生物滤池+UV光催化氧化”装置净化处理，净化后的废气经15m高排气筒排放。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对污水处理站气浮池、调节池、厌氧池、污泥浓缩池、消化液脱水和污泥脱水间等环节进行封闭，沼渣、污泥采用密闭式螺旋输送至密闭式箱体进行运输，</w:t>
      </w:r>
      <w:r>
        <w:rPr>
          <w:rFonts w:hint="eastAsia" w:ascii="仿宋" w:hAnsi="仿宋" w:eastAsia="仿宋" w:cs="仿宋"/>
          <w:kern w:val="2"/>
          <w:sz w:val="32"/>
          <w:szCs w:val="32"/>
        </w:rPr>
        <w:t>恶臭气体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kern w:val="2"/>
          <w:sz w:val="32"/>
          <w:szCs w:val="32"/>
        </w:rPr>
        <w:t>生物滤池吸附装置净化处理，净化处理后与预处理车间净化废气经同一个15m高的排气筒排放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恶臭污染物排放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应满足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《恶臭污染物排放标准》（GB14554-93）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限值要求（NH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≤4.9kg/h、H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S≤0.33kg/h、臭气浓度≤2000）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after="0" w:line="64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锅炉制备蒸汽的过程中采用自产经过脱硫净化的沼气为燃料，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kern w:val="2"/>
          <w:sz w:val="32"/>
          <w:szCs w:val="32"/>
        </w:rPr>
        <w:t>采用“低氮燃烧器+烟气再循环技术+15m排气筒”废气净化措施，</w:t>
      </w:r>
      <w:r>
        <w:rPr>
          <w:rFonts w:hint="eastAsia" w:ascii="仿宋" w:hAnsi="仿宋" w:eastAsia="仿宋" w:cs="仿宋"/>
          <w:sz w:val="32"/>
          <w:szCs w:val="32"/>
        </w:rPr>
        <w:t>净化后的锅炉燃烧废气颗粒物、SO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、NO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的排放浓度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kern w:val="2"/>
          <w:sz w:val="32"/>
          <w:szCs w:val="32"/>
        </w:rPr>
        <w:t>满足《锅炉大气污染物排放标准》（GB13271-2014）表3大气污染物特别排放限值和河南省2019年锅炉综合整治方案（</w:t>
      </w:r>
      <w:r>
        <w:rPr>
          <w:rFonts w:hint="eastAsia" w:ascii="仿宋" w:hAnsi="仿宋" w:eastAsia="仿宋" w:cs="仿宋"/>
          <w:sz w:val="32"/>
          <w:szCs w:val="32"/>
        </w:rPr>
        <w:t>颗粒物</w:t>
      </w:r>
      <w:r>
        <w:rPr>
          <w:rFonts w:hint="eastAsia" w:ascii="仿宋" w:hAnsi="仿宋" w:eastAsia="仿宋" w:cs="仿宋"/>
          <w:kern w:val="2"/>
          <w:sz w:val="32"/>
          <w:szCs w:val="32"/>
        </w:rPr>
        <w:t>5mg/m</w:t>
      </w:r>
      <w:r>
        <w:rPr>
          <w:rFonts w:hint="eastAsia" w:ascii="仿宋" w:hAnsi="仿宋" w:eastAsia="仿宋" w:cs="仿宋"/>
          <w:kern w:val="2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、SO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</w:rPr>
        <w:t>10mg/m</w:t>
      </w:r>
      <w:r>
        <w:rPr>
          <w:rFonts w:hint="eastAsia" w:ascii="仿宋" w:hAnsi="仿宋" w:eastAsia="仿宋" w:cs="仿宋"/>
          <w:kern w:val="2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、NO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x</w:t>
      </w:r>
      <w:r>
        <w:rPr>
          <w:rFonts w:hint="eastAsia" w:ascii="仿宋" w:hAnsi="仿宋" w:eastAsia="仿宋" w:cs="仿宋"/>
          <w:kern w:val="2"/>
          <w:sz w:val="32"/>
          <w:szCs w:val="32"/>
        </w:rPr>
        <w:t>30mg/m</w:t>
      </w:r>
      <w:r>
        <w:rPr>
          <w:rFonts w:hint="eastAsia" w:ascii="仿宋" w:hAnsi="仿宋" w:eastAsia="仿宋" w:cs="仿宋"/>
          <w:kern w:val="2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</w:rPr>
        <w:t>）相关要求。</w:t>
      </w:r>
    </w:p>
    <w:p>
      <w:pPr>
        <w:spacing w:after="0" w:line="6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kern w:val="2"/>
          <w:sz w:val="32"/>
          <w:szCs w:val="32"/>
        </w:rPr>
        <w:t>发电机组内燃机废气采取2套“选择性催化还原（SCR）脱硝+15m排气筒”废气净化措施，</w:t>
      </w:r>
      <w:r>
        <w:rPr>
          <w:rFonts w:hint="eastAsia" w:ascii="仿宋" w:hAnsi="仿宋" w:eastAsia="仿宋" w:cs="仿宋"/>
          <w:sz w:val="32"/>
          <w:szCs w:val="32"/>
        </w:rPr>
        <w:t>净化后的废气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kern w:val="2"/>
          <w:sz w:val="32"/>
          <w:szCs w:val="32"/>
        </w:rPr>
        <w:t>满足</w:t>
      </w:r>
      <w:r>
        <w:rPr>
          <w:rFonts w:hint="eastAsia" w:ascii="仿宋" w:hAnsi="仿宋" w:eastAsia="仿宋" w:cs="仿宋"/>
          <w:sz w:val="32"/>
          <w:szCs w:val="32"/>
        </w:rPr>
        <w:t>《大气污染物综合排放标准》（GB16297-1996）表2排放限值</w:t>
      </w:r>
      <w:r>
        <w:rPr>
          <w:rFonts w:hint="eastAsia" w:ascii="仿宋" w:hAnsi="仿宋" w:eastAsia="仿宋" w:cs="仿宋"/>
          <w:kern w:val="2"/>
          <w:sz w:val="32"/>
          <w:szCs w:val="32"/>
        </w:rPr>
        <w:t>及《重型柴油车污染物排放限值及测量方法》（中国第六阶段GB17691-2018）点燃式发动机瞬态工况排放要求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，同时氨逃逸浓度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满足《火电厂烟气脱硝工程技术规范选择性催化还原法》（HJ562-2010）要求（氨逃逸浓度宜小于2.5mg/m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噪声。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项目采取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选用低噪声设备、基础减振、建筑隔声、加强厂区绿化等降噪处理后，厂界噪声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满足《工业企业厂界环境噪声排放标准》（GB12348-2008）2类标准要求（昼间60dB（A），夜间50dB（A））；厂界东侧71m处庞庄村的噪声叠加值满足《声环境质量标准》（GB3096-2008）2类标准要求（昼间60dB（A），夜间50dB（A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、固废。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筛拣过程产生的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废塑料、玻璃、金属、砂石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集后，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由环卫部门定期清运，随城市生活垃圾一并分类处理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污水处理站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污泥、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沼渣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经浓缩脱水后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和沼气过滤产生的滤渣运至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许昌旺能环保能源有限公司焚烧处理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；废离子交换树脂、废润滑油、废MBR膜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收集后暂存于危废暂存间，定期由有资质单位处置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</w:t>
      </w:r>
    </w:p>
    <w:p>
      <w:pPr>
        <w:autoSpaceDE w:val="0"/>
        <w:autoSpaceDN w:val="0"/>
        <w:spacing w:after="0" w:line="640" w:lineRule="exact"/>
        <w:ind w:firstLine="640" w:firstLineChars="200"/>
        <w:jc w:val="both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5、你单位应做好恶臭气体</w:t>
      </w:r>
      <w:r>
        <w:rPr>
          <w:rFonts w:ascii="Times New Roman" w:hAnsi="Times New Roman" w:eastAsia="仿宋_GB2312"/>
          <w:kern w:val="2"/>
          <w:sz w:val="32"/>
          <w:szCs w:val="32"/>
        </w:rPr>
        <w:t>无组织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预防处理工作，对</w:t>
      </w:r>
      <w:r>
        <w:rPr>
          <w:rFonts w:ascii="Times New Roman" w:hAnsi="Times New Roman" w:eastAsia="仿宋_GB2312"/>
          <w:kern w:val="2"/>
          <w:sz w:val="32"/>
          <w:szCs w:val="32"/>
        </w:rPr>
        <w:t>预处理车间和污水处理站未被集气系统收集到的恶臭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气体</w:t>
      </w:r>
      <w:r>
        <w:rPr>
          <w:rFonts w:ascii="Times New Roman" w:hAnsi="Times New Roman" w:eastAsia="仿宋_GB2312"/>
          <w:kern w:val="2"/>
          <w:sz w:val="32"/>
          <w:szCs w:val="32"/>
        </w:rPr>
        <w:t>（NH</w:t>
      </w:r>
      <w:r>
        <w:rPr>
          <w:rFonts w:ascii="Times New Roman" w:hAnsi="Times New Roman" w:eastAsia="仿宋_GB2312"/>
          <w:kern w:val="2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2"/>
          <w:sz w:val="32"/>
          <w:szCs w:val="32"/>
        </w:rPr>
        <w:t>、H</w:t>
      </w:r>
      <w:r>
        <w:rPr>
          <w:rFonts w:ascii="Times New Roman" w:hAnsi="Times New Roman" w:eastAsia="仿宋_GB2312"/>
          <w:kern w:val="2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kern w:val="2"/>
          <w:sz w:val="32"/>
          <w:szCs w:val="32"/>
        </w:rPr>
        <w:t>S）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在</w:t>
      </w:r>
      <w:r>
        <w:rPr>
          <w:rFonts w:ascii="Times New Roman" w:hAnsi="Times New Roman" w:eastAsia="仿宋_GB2312"/>
          <w:kern w:val="2"/>
          <w:sz w:val="32"/>
          <w:szCs w:val="32"/>
        </w:rPr>
        <w:t>预处理车间外、污水处理站周边定期喷洒生物除臭剂，同时加强厂区绿化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等措施</w:t>
      </w:r>
      <w:r>
        <w:rPr>
          <w:rFonts w:ascii="Times New Roman" w:hAnsi="Times New Roman" w:eastAsia="仿宋_GB2312"/>
          <w:kern w:val="2"/>
          <w:sz w:val="32"/>
          <w:szCs w:val="32"/>
        </w:rPr>
        <w:t>，NH</w:t>
      </w:r>
      <w:r>
        <w:rPr>
          <w:rFonts w:ascii="Times New Roman" w:hAnsi="Times New Roman" w:eastAsia="仿宋_GB2312"/>
          <w:kern w:val="2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2"/>
          <w:sz w:val="32"/>
          <w:szCs w:val="32"/>
        </w:rPr>
        <w:t>、H</w:t>
      </w:r>
      <w:r>
        <w:rPr>
          <w:rFonts w:ascii="Times New Roman" w:hAnsi="Times New Roman" w:eastAsia="仿宋_GB2312"/>
          <w:kern w:val="2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kern w:val="2"/>
          <w:sz w:val="32"/>
          <w:szCs w:val="32"/>
        </w:rPr>
        <w:t>S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、恶臭浓度</w:t>
      </w:r>
      <w:r>
        <w:rPr>
          <w:rFonts w:ascii="Times New Roman" w:hAnsi="Times New Roman" w:eastAsia="仿宋_GB2312"/>
          <w:kern w:val="2"/>
          <w:sz w:val="32"/>
          <w:szCs w:val="32"/>
        </w:rPr>
        <w:t>厂界浓度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应</w:t>
      </w:r>
      <w:r>
        <w:rPr>
          <w:rFonts w:ascii="Times New Roman" w:hAnsi="Times New Roman" w:eastAsia="仿宋_GB2312"/>
          <w:kern w:val="2"/>
          <w:sz w:val="32"/>
          <w:szCs w:val="32"/>
        </w:rPr>
        <w:t>达到《恶臭污染物排放标准》（GB14554-93）表1标准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限值要求（</w:t>
      </w:r>
      <w:r>
        <w:rPr>
          <w:rFonts w:ascii="Times New Roman" w:hAnsi="Times New Roman" w:eastAsia="仿宋_GB2312"/>
          <w:kern w:val="2"/>
          <w:sz w:val="32"/>
          <w:szCs w:val="32"/>
        </w:rPr>
        <w:t>NH</w:t>
      </w:r>
      <w:r>
        <w:rPr>
          <w:rFonts w:ascii="Times New Roman" w:hAnsi="Times New Roman" w:eastAsia="仿宋_GB2312"/>
          <w:kern w:val="2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1.5mg</w:t>
      </w:r>
      <w:r>
        <w:rPr>
          <w:rFonts w:ascii="Times New Roman" w:hAnsi="Times New Roman" w:eastAsia="仿宋_GB2312"/>
          <w:kern w:val="2"/>
          <w:sz w:val="32"/>
          <w:szCs w:val="32"/>
        </w:rPr>
        <w:t>/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m</w:t>
      </w:r>
      <w:r>
        <w:rPr>
          <w:rFonts w:hint="eastAsia" w:ascii="Times New Roman" w:hAnsi="Times New Roman" w:eastAsia="仿宋_GB2312"/>
          <w:kern w:val="2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/>
          <w:kern w:val="2"/>
          <w:sz w:val="32"/>
          <w:szCs w:val="32"/>
        </w:rPr>
        <w:t>，H</w:t>
      </w:r>
      <w:r>
        <w:rPr>
          <w:rFonts w:ascii="Times New Roman" w:hAnsi="Times New Roman" w:eastAsia="仿宋_GB2312"/>
          <w:kern w:val="2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kern w:val="2"/>
          <w:sz w:val="32"/>
          <w:szCs w:val="32"/>
        </w:rPr>
        <w:t>S 0.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06m</w:t>
      </w:r>
      <w:r>
        <w:rPr>
          <w:rFonts w:ascii="Times New Roman" w:hAnsi="Times New Roman" w:eastAsia="仿宋_GB2312"/>
          <w:kern w:val="2"/>
          <w:sz w:val="32"/>
          <w:szCs w:val="32"/>
        </w:rPr>
        <w:t>g/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m</w:t>
      </w:r>
      <w:r>
        <w:rPr>
          <w:rFonts w:hint="eastAsia" w:ascii="Times New Roman" w:hAnsi="Times New Roman" w:eastAsia="仿宋_GB2312"/>
          <w:kern w:val="2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，恶臭浓度20（无量纲）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）。</w:t>
      </w:r>
    </w:p>
    <w:p>
      <w:pPr>
        <w:pStyle w:val="3"/>
        <w:spacing w:line="6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六、项目废水污染物排放量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控制指标为（出厂量）</w:t>
      </w:r>
      <w:r>
        <w:rPr>
          <w:rFonts w:hint="eastAsia" w:ascii="仿宋" w:hAnsi="仿宋" w:eastAsia="仿宋" w:cs="仿宋"/>
          <w:sz w:val="32"/>
          <w:szCs w:val="32"/>
        </w:rPr>
        <w:t>COD 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9.919</w:t>
      </w:r>
      <w:r>
        <w:rPr>
          <w:rFonts w:hint="eastAsia" w:ascii="仿宋" w:hAnsi="仿宋" w:eastAsia="仿宋" w:cs="仿宋"/>
          <w:sz w:val="32"/>
          <w:szCs w:val="32"/>
        </w:rPr>
        <w:t>t/a、氨氮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1.8981</w:t>
      </w:r>
      <w:r>
        <w:rPr>
          <w:rFonts w:hint="eastAsia" w:ascii="仿宋" w:hAnsi="仿宋" w:eastAsia="仿宋" w:cs="仿宋"/>
          <w:sz w:val="32"/>
          <w:szCs w:val="32"/>
        </w:rPr>
        <w:t>t/a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，废气污染物</w:t>
      </w:r>
      <w:r>
        <w:rPr>
          <w:rFonts w:hint="eastAsia" w:ascii="仿宋" w:hAnsi="仿宋" w:eastAsia="仿宋" w:cs="仿宋"/>
          <w:sz w:val="32"/>
          <w:szCs w:val="32"/>
        </w:rPr>
        <w:t>排放量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控制指标为SO</w:t>
      </w:r>
      <w:r>
        <w:rPr>
          <w:rFonts w:hint="eastAsia" w:ascii="仿宋" w:hAnsi="仿宋" w:eastAsia="仿宋" w:cs="仿宋"/>
          <w:sz w:val="32"/>
          <w:szCs w:val="32"/>
          <w:vertAlign w:val="subscript"/>
          <w:lang w:val="en-US" w:eastAsia="zh-CN"/>
        </w:rPr>
        <w:t xml:space="preserve">2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0.2117t/a，NO</w:t>
      </w:r>
      <w:r>
        <w:rPr>
          <w:rFonts w:hint="eastAsia" w:ascii="仿宋" w:hAnsi="仿宋" w:eastAsia="仿宋" w:cs="仿宋"/>
          <w:sz w:val="32"/>
          <w:szCs w:val="32"/>
          <w:vertAlign w:val="subscript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0.8103t/a，VOCs 0.356t/a。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项目建设应严格执行环境保护设施与主体工程同时设计、同时施工、同时投入使用的环境保护“三同时”制度。项目建成后，须按规定程序进行竣工环境保护验收，验收合格后，方可投入正式运行。如果今后国家或我省颁布新的污染物排放标准，届时项目应按新的排放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>八、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项目自本批复下达之日起，超过5年方决定开工建设的，环境影响评价文件应报我局重新审核。如建设项目的性质、规模、地点、采用的生产工艺或者防治污染措施发生重大变动，应当重新报批建设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                        2020年6月23日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抄送：许昌市生态环境综合行政执法支队，许昌市生态环境局魏都分局，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河南咏蓝环境科技有限公司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font-weight : 4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B2CAA"/>
    <w:multiLevelType w:val="singleLevel"/>
    <w:tmpl w:val="5EEB2CA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87887"/>
    <w:rsid w:val="02ED543E"/>
    <w:rsid w:val="0DA75F5F"/>
    <w:rsid w:val="0E016035"/>
    <w:rsid w:val="135563A8"/>
    <w:rsid w:val="20241CDC"/>
    <w:rsid w:val="259D26B2"/>
    <w:rsid w:val="2ABA4749"/>
    <w:rsid w:val="38C37C48"/>
    <w:rsid w:val="3F293B8D"/>
    <w:rsid w:val="503F5B55"/>
    <w:rsid w:val="541B08F4"/>
    <w:rsid w:val="68FE5483"/>
    <w:rsid w:val="75512C7D"/>
    <w:rsid w:val="7585561F"/>
    <w:rsid w:val="7AD46318"/>
    <w:rsid w:val="7D9A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widowControl/>
      <w:adjustRightInd w:val="0"/>
      <w:snapToGrid w:val="0"/>
      <w:ind w:firstLine="420" w:firstLineChars="200"/>
      <w:jc w:val="left"/>
    </w:pPr>
    <w:rPr>
      <w:rFonts w:ascii="Tahoma" w:hAnsi="Tahoma"/>
      <w:kern w:val="0"/>
      <w:sz w:val="22"/>
      <w:szCs w:val="22"/>
      <w:lang w:val="en-US" w:eastAsia="zh-CN"/>
    </w:rPr>
  </w:style>
  <w:style w:type="paragraph" w:styleId="3">
    <w:name w:val="Normal Indent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/>
      <w:kern w:val="2"/>
      <w:sz w:val="21"/>
      <w:szCs w:val="24"/>
    </w:rPr>
  </w:style>
  <w:style w:type="paragraph" w:styleId="4">
    <w:name w:val="Body Text"/>
    <w:basedOn w:val="1"/>
    <w:qFormat/>
    <w:uiPriority w:val="0"/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岳瑜璐</cp:lastModifiedBy>
  <cp:lastPrinted>2020-06-22T08:47:00Z</cp:lastPrinted>
  <dcterms:modified xsi:type="dcterms:W3CDTF">2020-06-28T01:06:05Z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2052-10.8.0.6379</vt:lpwstr>
  </property>
</Properties>
</file>