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b w:val="0"/>
          <w:bCs w:val="0"/>
          <w:sz w:val="72"/>
          <w:szCs w:val="72"/>
        </w:rPr>
        <w:t>建设项目环境影响报告表</w:t>
      </w:r>
    </w:p>
    <w:p>
      <w:pPr>
        <w:ind w:left="0" w:leftChars="0" w:firstLine="0" w:firstLineChars="0"/>
        <w:jc w:val="center"/>
        <w:rPr>
          <w:rFonts w:hint="eastAsia"/>
          <w:b w:val="0"/>
          <w:bCs w:val="0"/>
        </w:rPr>
      </w:pPr>
      <w:r>
        <w:rPr>
          <w:rFonts w:hint="eastAsia" w:ascii="楷体" w:hAnsi="楷体" w:eastAsia="楷体" w:cs="楷体"/>
          <w:b w:val="0"/>
          <w:bCs w:val="0"/>
          <w:sz w:val="48"/>
          <w:szCs w:val="48"/>
        </w:rPr>
        <w:t>（污染影响类）</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4"/>
        <w:gridCol w:w="5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4" w:type="dxa"/>
            <w:tcBorders>
              <w:top w:val="nil"/>
              <w:left w:val="nil"/>
              <w:bottom w:val="nil"/>
              <w:right w:val="nil"/>
            </w:tcBorders>
          </w:tcPr>
          <w:p>
            <w:pPr>
              <w:ind w:left="0" w:leftChars="0" w:firstLine="0" w:firstLineChars="0"/>
              <w:rPr>
                <w:rFonts w:hint="eastAsia" w:ascii="仿宋" w:hAnsi="仿宋" w:eastAsia="仿宋" w:cs="仿宋"/>
                <w:b/>
                <w:bCs/>
                <w:sz w:val="32"/>
                <w:szCs w:val="32"/>
                <w:vertAlign w:val="baseline"/>
              </w:rPr>
            </w:pPr>
            <w:r>
              <w:rPr>
                <w:rFonts w:hint="eastAsia" w:ascii="仿宋" w:hAnsi="仿宋" w:eastAsia="仿宋" w:cs="仿宋"/>
                <w:b/>
                <w:bCs/>
                <w:sz w:val="32"/>
                <w:szCs w:val="32"/>
              </w:rPr>
              <w:t>项</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目</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名</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称：</w:t>
            </w:r>
          </w:p>
        </w:tc>
        <w:tc>
          <w:tcPr>
            <w:tcW w:w="5488" w:type="dxa"/>
            <w:tcBorders>
              <w:top w:val="nil"/>
              <w:left w:val="nil"/>
              <w:bottom w:val="single" w:color="auto" w:sz="4" w:space="0"/>
              <w:right w:val="nil"/>
            </w:tcBorders>
          </w:tcPr>
          <w:p>
            <w:pPr>
              <w:ind w:left="0" w:leftChars="0" w:firstLine="0" w:firstLineChars="0"/>
              <w:jc w:val="center"/>
              <w:rPr>
                <w:rFonts w:hint="default" w:ascii="Times New Roman" w:hAnsi="Times New Roman" w:eastAsia="仿宋" w:cs="Times New Roman"/>
                <w:b/>
                <w:bCs/>
                <w:sz w:val="32"/>
                <w:szCs w:val="32"/>
                <w:lang w:val="en-US" w:eastAsia="zh-CN"/>
              </w:rPr>
            </w:pPr>
            <w:r>
              <w:rPr>
                <w:rFonts w:hint="eastAsia" w:eastAsia="仿宋" w:cs="Times New Roman"/>
                <w:b/>
                <w:bCs/>
                <w:sz w:val="32"/>
                <w:szCs w:val="32"/>
                <w:lang w:val="en-US" w:eastAsia="zh-CN"/>
              </w:rPr>
              <w:t>年产20万只输变电复合绝缘子、2500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34" w:type="dxa"/>
            <w:tcBorders>
              <w:top w:val="nil"/>
              <w:left w:val="nil"/>
              <w:bottom w:val="nil"/>
              <w:right w:val="nil"/>
            </w:tcBorders>
          </w:tcPr>
          <w:p>
            <w:pPr>
              <w:ind w:left="0" w:leftChars="0" w:firstLine="0" w:firstLineChars="0"/>
              <w:rPr>
                <w:rFonts w:hint="eastAsia" w:ascii="仿宋" w:hAnsi="仿宋" w:eastAsia="仿宋" w:cs="仿宋"/>
                <w:b/>
                <w:bCs/>
                <w:sz w:val="32"/>
                <w:szCs w:val="32"/>
              </w:rPr>
            </w:pPr>
          </w:p>
        </w:tc>
        <w:tc>
          <w:tcPr>
            <w:tcW w:w="5488" w:type="dxa"/>
            <w:tcBorders>
              <w:top w:val="nil"/>
              <w:left w:val="nil"/>
              <w:bottom w:val="single" w:color="auto" w:sz="4" w:space="0"/>
              <w:right w:val="nil"/>
            </w:tcBorders>
          </w:tcPr>
          <w:p>
            <w:pPr>
              <w:ind w:left="0" w:leftChars="0" w:firstLine="0" w:firstLineChars="0"/>
              <w:jc w:val="center"/>
              <w:rPr>
                <w:rFonts w:hint="eastAsia" w:eastAsia="仿宋" w:cs="Times New Roman"/>
                <w:b/>
                <w:bCs/>
                <w:sz w:val="32"/>
                <w:szCs w:val="32"/>
                <w:lang w:val="en-US" w:eastAsia="zh-CN"/>
              </w:rPr>
            </w:pPr>
            <w:r>
              <w:rPr>
                <w:rFonts w:hint="eastAsia" w:eastAsia="仿宋" w:cs="Times New Roman"/>
                <w:b/>
                <w:bCs/>
                <w:sz w:val="32"/>
                <w:szCs w:val="32"/>
                <w:lang w:val="en-US" w:eastAsia="zh-CN"/>
              </w:rPr>
              <w:t>吨电力金具生产线智能化改造项目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4" w:type="dxa"/>
            <w:tcBorders>
              <w:top w:val="nil"/>
              <w:left w:val="nil"/>
              <w:bottom w:val="nil"/>
              <w:right w:val="nil"/>
            </w:tcBorders>
          </w:tcPr>
          <w:p>
            <w:pPr>
              <w:ind w:left="0" w:leftChars="0" w:firstLine="0" w:firstLineChars="0"/>
              <w:rPr>
                <w:rFonts w:hint="eastAsia" w:ascii="仿宋" w:hAnsi="仿宋" w:eastAsia="仿宋" w:cs="仿宋"/>
                <w:b/>
                <w:bCs/>
                <w:sz w:val="32"/>
                <w:szCs w:val="32"/>
                <w:vertAlign w:val="baseline"/>
              </w:rPr>
            </w:pPr>
            <w:r>
              <w:rPr>
                <w:rFonts w:hint="eastAsia" w:ascii="仿宋" w:hAnsi="仿宋" w:eastAsia="仿宋" w:cs="仿宋"/>
                <w:b/>
                <w:bCs/>
                <w:sz w:val="32"/>
                <w:szCs w:val="32"/>
              </w:rPr>
              <w:t>建设单位（盖章）：</w:t>
            </w:r>
          </w:p>
        </w:tc>
        <w:tc>
          <w:tcPr>
            <w:tcW w:w="5488" w:type="dxa"/>
            <w:tcBorders>
              <w:top w:val="single" w:color="auto" w:sz="4" w:space="0"/>
              <w:left w:val="nil"/>
              <w:bottom w:val="single" w:color="auto" w:sz="4" w:space="0"/>
              <w:right w:val="nil"/>
            </w:tcBorders>
          </w:tcPr>
          <w:p>
            <w:pPr>
              <w:ind w:left="0" w:leftChars="0" w:firstLine="0" w:firstLineChars="0"/>
              <w:jc w:val="center"/>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河南新弘电力科技有限公司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4" w:type="dxa"/>
            <w:tcBorders>
              <w:top w:val="nil"/>
              <w:left w:val="nil"/>
              <w:bottom w:val="nil"/>
              <w:right w:val="nil"/>
            </w:tcBorders>
          </w:tcPr>
          <w:p>
            <w:pPr>
              <w:ind w:left="0" w:leftChars="0" w:firstLine="0" w:firstLineChars="0"/>
              <w:rPr>
                <w:rFonts w:hint="eastAsia" w:ascii="仿宋" w:hAnsi="仿宋" w:eastAsia="仿宋" w:cs="仿宋"/>
                <w:b/>
                <w:bCs/>
                <w:sz w:val="32"/>
                <w:szCs w:val="32"/>
                <w:vertAlign w:val="baseline"/>
              </w:rPr>
            </w:pPr>
            <w:r>
              <w:rPr>
                <w:rFonts w:hint="eastAsia" w:ascii="仿宋" w:hAnsi="仿宋" w:eastAsia="仿宋" w:cs="仿宋"/>
                <w:b/>
                <w:bCs/>
                <w:sz w:val="32"/>
                <w:szCs w:val="32"/>
              </w:rPr>
              <w:t>编</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制</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日</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期：</w:t>
            </w:r>
          </w:p>
        </w:tc>
        <w:tc>
          <w:tcPr>
            <w:tcW w:w="5488" w:type="dxa"/>
            <w:tcBorders>
              <w:top w:val="single" w:color="auto" w:sz="4" w:space="0"/>
              <w:left w:val="nil"/>
              <w:bottom w:val="single" w:color="auto" w:sz="4" w:space="0"/>
              <w:right w:val="nil"/>
            </w:tcBorders>
          </w:tcPr>
          <w:p>
            <w:pPr>
              <w:ind w:left="0" w:leftChars="0" w:firstLine="0" w:firstLineChars="0"/>
              <w:jc w:val="center"/>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二〇二</w:t>
            </w:r>
            <w:r>
              <w:rPr>
                <w:rFonts w:hint="eastAsia" w:eastAsia="仿宋" w:cs="Times New Roman"/>
                <w:b/>
                <w:bCs/>
                <w:sz w:val="32"/>
                <w:szCs w:val="32"/>
                <w:lang w:val="en-US" w:eastAsia="zh-CN"/>
              </w:rPr>
              <w:t>二</w:t>
            </w:r>
            <w:r>
              <w:rPr>
                <w:rFonts w:hint="default" w:ascii="Times New Roman" w:hAnsi="Times New Roman" w:eastAsia="仿宋" w:cs="Times New Roman"/>
                <w:b/>
                <w:bCs/>
                <w:sz w:val="32"/>
                <w:szCs w:val="32"/>
                <w:lang w:val="en-US" w:eastAsia="zh-CN"/>
              </w:rPr>
              <w:t>年</w:t>
            </w:r>
            <w:r>
              <w:rPr>
                <w:rFonts w:hint="eastAsia" w:eastAsia="仿宋" w:cs="Times New Roman"/>
                <w:b/>
                <w:bCs/>
                <w:sz w:val="32"/>
                <w:szCs w:val="32"/>
                <w:lang w:val="en-US" w:eastAsia="zh-CN"/>
              </w:rPr>
              <w:t>三</w:t>
            </w:r>
            <w:r>
              <w:rPr>
                <w:rFonts w:hint="default" w:ascii="Times New Roman" w:hAnsi="Times New Roman" w:eastAsia="仿宋" w:cs="Times New Roman"/>
                <w:b/>
                <w:bCs/>
                <w:sz w:val="32"/>
                <w:szCs w:val="32"/>
                <w:lang w:val="en-US" w:eastAsia="zh-CN"/>
              </w:rPr>
              <w:t>月</w:t>
            </w:r>
          </w:p>
        </w:tc>
      </w:tr>
    </w:tbl>
    <w:p>
      <w:pPr>
        <w:rPr>
          <w:rFonts w:hint="eastAsia"/>
        </w:rPr>
      </w:pPr>
    </w:p>
    <w:p>
      <w:pPr>
        <w:rPr>
          <w:rFonts w:hint="eastAsia"/>
        </w:rPr>
      </w:pPr>
    </w:p>
    <w:p>
      <w:pPr>
        <w:ind w:left="0" w:leftChars="0" w:firstLine="0" w:firstLineChars="0"/>
        <w:jc w:val="center"/>
        <w:rPr>
          <w:rFonts w:hint="eastAsia" w:ascii="楷体" w:hAnsi="楷体" w:eastAsia="楷体" w:cs="楷体"/>
          <w:b w:val="0"/>
          <w:bCs w:val="0"/>
          <w:sz w:val="36"/>
          <w:szCs w:val="36"/>
        </w:rPr>
        <w:sectPr>
          <w:pgSz w:w="11906" w:h="16838"/>
          <w:pgMar w:top="1701" w:right="1587" w:bottom="1984" w:left="1587" w:header="851" w:footer="992" w:gutter="0"/>
          <w:cols w:space="0" w:num="1"/>
          <w:rtlGutter w:val="0"/>
          <w:docGrid w:type="lines" w:linePitch="328" w:charSpace="0"/>
        </w:sectPr>
      </w:pPr>
      <w:r>
        <w:rPr>
          <w:rFonts w:hint="eastAsia" w:ascii="楷体" w:hAnsi="楷体" w:eastAsia="楷体" w:cs="楷体"/>
          <w:b w:val="0"/>
          <w:bCs w:val="0"/>
          <w:sz w:val="36"/>
          <w:szCs w:val="36"/>
        </w:rPr>
        <w:t>中华人民共和国生态环境部制</w:t>
      </w:r>
    </w:p>
    <w:p>
      <w:pPr>
        <w:ind w:left="0" w:leftChars="0" w:firstLine="0" w:firstLineChars="0"/>
        <w:jc w:val="center"/>
        <w:rPr>
          <w:rFonts w:hint="eastAsia" w:ascii="楷体" w:hAnsi="楷体" w:eastAsia="楷体" w:cs="楷体"/>
          <w:b w:val="0"/>
          <w:bCs w:val="0"/>
          <w:sz w:val="36"/>
          <w:szCs w:val="36"/>
        </w:rPr>
        <w:sectPr>
          <w:pgSz w:w="11906" w:h="16838"/>
          <w:pgMar w:top="1701" w:right="1587" w:bottom="1984" w:left="1587" w:header="851" w:footer="992" w:gutter="0"/>
          <w:cols w:space="0" w:num="1"/>
          <w:rtlGutter w:val="0"/>
          <w:docGrid w:type="lines" w:linePitch="328" w:charSpace="0"/>
        </w:sectPr>
      </w:pPr>
    </w:p>
    <w:p>
      <w:pPr>
        <w:pStyle w:val="2"/>
        <w:bidi w:val="0"/>
        <w:jc w:val="center"/>
        <w:rPr>
          <w:rFonts w:hint="eastAsia"/>
          <w:vertAlign w:val="baseline"/>
          <w:lang w:eastAsia="zh-CN"/>
        </w:rPr>
      </w:pPr>
      <w:r>
        <w:rPr>
          <w:rFonts w:hint="eastAsia"/>
          <w:lang w:eastAsia="zh-CN"/>
        </w:rPr>
        <w:t>一、建设项目基本情况</w:t>
      </w:r>
    </w:p>
    <w:tbl>
      <w:tblPr>
        <w:tblStyle w:val="9"/>
        <w:tblW w:w="5045" w:type="pct"/>
        <w:tblInd w:w="-11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4"/>
        <w:gridCol w:w="1765"/>
        <w:gridCol w:w="2054"/>
        <w:gridCol w:w="31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23" w:hRule="atLeast"/>
        </w:trPr>
        <w:tc>
          <w:tcPr>
            <w:tcW w:w="1152" w:type="pct"/>
            <w:gridSpan w:val="2"/>
            <w:vAlign w:val="center"/>
          </w:tcPr>
          <w:p>
            <w:pPr>
              <w:bidi w:val="0"/>
              <w:ind w:left="0" w:leftChars="0" w:firstLine="0" w:firstLineChars="0"/>
              <w:jc w:val="center"/>
              <w:rPr>
                <w:rFonts w:hint="eastAsia"/>
                <w:b/>
                <w:bCs/>
                <w:lang w:eastAsia="zh-CN"/>
              </w:rPr>
            </w:pPr>
            <w:r>
              <w:rPr>
                <w:rFonts w:hint="eastAsia"/>
                <w:b/>
                <w:bCs/>
                <w:lang w:eastAsia="zh-CN"/>
              </w:rPr>
              <w:t>建设项目名称</w:t>
            </w:r>
          </w:p>
        </w:tc>
        <w:tc>
          <w:tcPr>
            <w:tcW w:w="3847" w:type="pct"/>
            <w:gridSpan w:val="3"/>
            <w:vAlign w:val="center"/>
          </w:tcPr>
          <w:p>
            <w:pPr>
              <w:bidi w:val="0"/>
              <w:ind w:left="0" w:leftChars="0" w:firstLine="0" w:firstLineChars="0"/>
              <w:jc w:val="center"/>
              <w:rPr>
                <w:rFonts w:hint="eastAsia"/>
                <w:lang w:eastAsia="zh-CN"/>
              </w:rPr>
            </w:pPr>
            <w:r>
              <w:rPr>
                <w:rFonts w:hint="eastAsia"/>
                <w:lang w:eastAsia="zh-CN"/>
              </w:rPr>
              <w:t>年产20万只输变电复合绝缘子、</w:t>
            </w:r>
          </w:p>
          <w:p>
            <w:pPr>
              <w:bidi w:val="0"/>
              <w:ind w:left="0" w:leftChars="0" w:firstLine="0" w:firstLineChars="0"/>
              <w:jc w:val="center"/>
              <w:rPr>
                <w:rFonts w:hint="eastAsia"/>
                <w:lang w:eastAsia="zh-CN"/>
              </w:rPr>
            </w:pPr>
            <w:r>
              <w:rPr>
                <w:rFonts w:hint="eastAsia"/>
                <w:lang w:eastAsia="zh-CN"/>
              </w:rPr>
              <w:t>2500吨电力金具生产线智能化改造项目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23" w:hRule="atLeast"/>
        </w:trPr>
        <w:tc>
          <w:tcPr>
            <w:tcW w:w="1152" w:type="pct"/>
            <w:gridSpan w:val="2"/>
            <w:vAlign w:val="center"/>
          </w:tcPr>
          <w:p>
            <w:pPr>
              <w:bidi w:val="0"/>
              <w:ind w:left="0" w:leftChars="0" w:firstLine="0" w:firstLineChars="0"/>
              <w:jc w:val="center"/>
              <w:rPr>
                <w:rFonts w:hint="eastAsia"/>
                <w:b/>
                <w:bCs/>
                <w:lang w:eastAsia="zh-CN"/>
              </w:rPr>
            </w:pPr>
            <w:r>
              <w:rPr>
                <w:rFonts w:hint="eastAsia"/>
                <w:b/>
                <w:bCs/>
                <w:lang w:eastAsia="zh-CN"/>
              </w:rPr>
              <w:t>项目代码</w:t>
            </w:r>
          </w:p>
        </w:tc>
        <w:tc>
          <w:tcPr>
            <w:tcW w:w="3847" w:type="pct"/>
            <w:gridSpan w:val="3"/>
            <w:vAlign w:val="center"/>
          </w:tcPr>
          <w:p>
            <w:pPr>
              <w:bidi w:val="0"/>
              <w:ind w:left="0" w:leftChars="0" w:firstLine="0" w:firstLineChars="0"/>
              <w:jc w:val="center"/>
              <w:rPr>
                <w:rFonts w:hint="default"/>
                <w:lang w:val="en-US" w:eastAsia="zh-CN"/>
              </w:rPr>
            </w:pPr>
            <w:r>
              <w:rPr>
                <w:rFonts w:hint="eastAsia"/>
                <w:color w:val="auto"/>
                <w:lang w:eastAsia="zh-CN"/>
              </w:rPr>
              <w:t>2020-411051-</w:t>
            </w:r>
            <w:r>
              <w:rPr>
                <w:rFonts w:hint="eastAsia"/>
                <w:color w:val="auto"/>
                <w:lang w:val="en-US" w:eastAsia="zh-CN"/>
              </w:rPr>
              <w:t>44-0</w:t>
            </w:r>
            <w:r>
              <w:rPr>
                <w:rFonts w:hint="eastAsia"/>
                <w:color w:val="auto"/>
                <w:lang w:eastAsia="zh-CN"/>
              </w:rPr>
              <w:t>3-0</w:t>
            </w:r>
            <w:r>
              <w:rPr>
                <w:rFonts w:hint="eastAsia"/>
                <w:color w:val="auto"/>
                <w:lang w:val="en-US" w:eastAsia="zh-CN"/>
              </w:rPr>
              <w:t>07272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23" w:hRule="atLeast"/>
        </w:trPr>
        <w:tc>
          <w:tcPr>
            <w:tcW w:w="1152" w:type="pct"/>
            <w:gridSpan w:val="2"/>
            <w:vAlign w:val="center"/>
          </w:tcPr>
          <w:p>
            <w:pPr>
              <w:bidi w:val="0"/>
              <w:ind w:left="0" w:leftChars="0" w:firstLine="0" w:firstLineChars="0"/>
              <w:jc w:val="center"/>
              <w:rPr>
                <w:rFonts w:hint="eastAsia"/>
                <w:b/>
                <w:bCs/>
                <w:lang w:eastAsia="zh-CN"/>
              </w:rPr>
            </w:pPr>
            <w:r>
              <w:rPr>
                <w:rFonts w:hint="eastAsia"/>
                <w:b/>
                <w:bCs/>
                <w:lang w:eastAsia="zh-CN"/>
              </w:rPr>
              <w:t>建设单位联系人</w:t>
            </w:r>
          </w:p>
        </w:tc>
        <w:tc>
          <w:tcPr>
            <w:tcW w:w="977" w:type="pct"/>
            <w:vAlign w:val="center"/>
          </w:tcPr>
          <w:p>
            <w:pPr>
              <w:bidi w:val="0"/>
              <w:ind w:left="0" w:leftChars="0" w:firstLine="0" w:firstLineChars="0"/>
              <w:jc w:val="center"/>
              <w:rPr>
                <w:rFonts w:hint="default"/>
                <w:lang w:val="en-US" w:eastAsia="zh-CN"/>
              </w:rPr>
            </w:pPr>
            <w:r>
              <w:rPr>
                <w:rFonts w:hint="eastAsia"/>
                <w:color w:val="auto"/>
                <w:lang w:eastAsia="zh-CN"/>
              </w:rPr>
              <w:t>李</w:t>
            </w:r>
            <w:r>
              <w:rPr>
                <w:rFonts w:hint="eastAsia"/>
                <w:color w:val="auto"/>
                <w:lang w:val="en-US" w:eastAsia="zh-CN"/>
              </w:rPr>
              <w:t>智峰</w:t>
            </w:r>
          </w:p>
        </w:tc>
        <w:tc>
          <w:tcPr>
            <w:tcW w:w="1137" w:type="pct"/>
            <w:vAlign w:val="center"/>
          </w:tcPr>
          <w:p>
            <w:pPr>
              <w:bidi w:val="0"/>
              <w:ind w:left="0" w:leftChars="0" w:firstLine="0" w:firstLineChars="0"/>
              <w:jc w:val="center"/>
              <w:rPr>
                <w:rFonts w:hint="eastAsia"/>
                <w:lang w:eastAsia="zh-CN"/>
              </w:rPr>
            </w:pPr>
            <w:r>
              <w:rPr>
                <w:rFonts w:hint="eastAsia"/>
                <w:b/>
                <w:bCs/>
                <w:lang w:eastAsia="zh-CN"/>
              </w:rPr>
              <w:t>联系方式</w:t>
            </w:r>
          </w:p>
        </w:tc>
        <w:tc>
          <w:tcPr>
            <w:tcW w:w="1732" w:type="pct"/>
            <w:vAlign w:val="center"/>
          </w:tcPr>
          <w:p>
            <w:pPr>
              <w:bidi w:val="0"/>
              <w:ind w:left="0" w:leftChars="0" w:firstLine="0" w:firstLineChars="0"/>
              <w:jc w:val="center"/>
              <w:rPr>
                <w:rFonts w:hint="default"/>
                <w:lang w:val="en-US" w:eastAsia="zh-CN"/>
              </w:rPr>
            </w:pPr>
            <w:r>
              <w:rPr>
                <w:rFonts w:hint="eastAsia"/>
                <w:lang w:val="en-US" w:eastAsia="zh-CN"/>
              </w:rPr>
              <w:t>15565837395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23" w:hRule="atLeast"/>
        </w:trPr>
        <w:tc>
          <w:tcPr>
            <w:tcW w:w="1152" w:type="pct"/>
            <w:gridSpan w:val="2"/>
            <w:vAlign w:val="center"/>
          </w:tcPr>
          <w:p>
            <w:pPr>
              <w:bidi w:val="0"/>
              <w:ind w:left="0" w:leftChars="0" w:firstLine="0" w:firstLineChars="0"/>
              <w:jc w:val="center"/>
              <w:rPr>
                <w:rFonts w:hint="eastAsia"/>
                <w:b/>
                <w:bCs/>
                <w:lang w:eastAsia="zh-CN"/>
              </w:rPr>
            </w:pPr>
            <w:r>
              <w:rPr>
                <w:rFonts w:hint="eastAsia"/>
                <w:b/>
                <w:bCs/>
                <w:lang w:eastAsia="zh-CN"/>
              </w:rPr>
              <w:t>建设地点</w:t>
            </w:r>
          </w:p>
        </w:tc>
        <w:tc>
          <w:tcPr>
            <w:tcW w:w="3847" w:type="pct"/>
            <w:gridSpan w:val="3"/>
            <w:vAlign w:val="center"/>
          </w:tcPr>
          <w:p>
            <w:pPr>
              <w:bidi w:val="0"/>
              <w:ind w:left="0" w:leftChars="0" w:firstLine="0" w:firstLineChars="0"/>
              <w:jc w:val="center"/>
              <w:rPr>
                <w:rFonts w:hint="default"/>
                <w:lang w:val="en-US" w:eastAsia="zh-CN"/>
              </w:rPr>
            </w:pPr>
            <w:r>
              <w:rPr>
                <w:rFonts w:hint="eastAsia"/>
                <w:lang w:val="en-US" w:eastAsia="zh-CN"/>
              </w:rPr>
              <w:t>许昌市城乡一体化示范区高新技术产业园东北角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23" w:hRule="atLeast"/>
        </w:trPr>
        <w:tc>
          <w:tcPr>
            <w:tcW w:w="1152" w:type="pct"/>
            <w:gridSpan w:val="2"/>
            <w:vAlign w:val="center"/>
          </w:tcPr>
          <w:p>
            <w:pPr>
              <w:bidi w:val="0"/>
              <w:ind w:left="0" w:leftChars="0" w:firstLine="0" w:firstLineChars="0"/>
              <w:jc w:val="center"/>
              <w:rPr>
                <w:rFonts w:hint="eastAsia"/>
                <w:b/>
                <w:bCs/>
                <w:lang w:eastAsia="zh-CN"/>
              </w:rPr>
            </w:pPr>
            <w:r>
              <w:rPr>
                <w:rFonts w:hint="eastAsia"/>
                <w:b/>
                <w:bCs/>
                <w:lang w:eastAsia="zh-CN"/>
              </w:rPr>
              <w:t>地理坐标</w:t>
            </w:r>
          </w:p>
        </w:tc>
        <w:tc>
          <w:tcPr>
            <w:tcW w:w="3847" w:type="pct"/>
            <w:gridSpan w:val="3"/>
            <w:vAlign w:val="center"/>
          </w:tcPr>
          <w:p>
            <w:pPr>
              <w:bidi w:val="0"/>
              <w:ind w:left="0" w:leftChars="0" w:firstLine="0" w:firstLineChars="0"/>
              <w:jc w:val="center"/>
              <w:rPr>
                <w:rFonts w:hint="eastAsia"/>
                <w:lang w:eastAsia="zh-CN"/>
              </w:rPr>
            </w:pPr>
            <w:r>
              <w:rPr>
                <w:rFonts w:hint="eastAsia"/>
                <w:lang w:eastAsia="zh-CN"/>
              </w:rPr>
              <w:t>（</w:t>
            </w:r>
            <w:r>
              <w:rPr>
                <w:rFonts w:hint="eastAsia"/>
                <w:u w:val="single"/>
                <w:lang w:val="en-US" w:eastAsia="zh-CN"/>
              </w:rPr>
              <w:t xml:space="preserve"> 113</w:t>
            </w:r>
            <w:r>
              <w:rPr>
                <w:rFonts w:hint="eastAsia"/>
                <w:lang w:eastAsia="zh-CN"/>
              </w:rPr>
              <w:t>度</w:t>
            </w:r>
            <w:r>
              <w:rPr>
                <w:rFonts w:hint="eastAsia"/>
                <w:u w:val="single"/>
                <w:lang w:val="en-US" w:eastAsia="zh-CN"/>
              </w:rPr>
              <w:t xml:space="preserve"> 54</w:t>
            </w:r>
            <w:r>
              <w:rPr>
                <w:rFonts w:hint="eastAsia"/>
                <w:lang w:eastAsia="zh-CN"/>
              </w:rPr>
              <w:t>分</w:t>
            </w:r>
            <w:r>
              <w:rPr>
                <w:rFonts w:hint="eastAsia"/>
                <w:u w:val="single"/>
                <w:lang w:val="en-US" w:eastAsia="zh-CN"/>
              </w:rPr>
              <w:t xml:space="preserve"> 12.271</w:t>
            </w:r>
            <w:r>
              <w:rPr>
                <w:rFonts w:hint="eastAsia"/>
                <w:lang w:eastAsia="zh-CN"/>
              </w:rPr>
              <w:t>秒，</w:t>
            </w:r>
            <w:r>
              <w:rPr>
                <w:rFonts w:hint="eastAsia"/>
                <w:u w:val="single"/>
                <w:lang w:val="en-US" w:eastAsia="zh-CN"/>
              </w:rPr>
              <w:t xml:space="preserve"> 34</w:t>
            </w:r>
            <w:r>
              <w:rPr>
                <w:rFonts w:hint="eastAsia"/>
                <w:lang w:eastAsia="zh-CN"/>
              </w:rPr>
              <w:t>度</w:t>
            </w:r>
            <w:r>
              <w:rPr>
                <w:rFonts w:hint="eastAsia"/>
                <w:u w:val="single"/>
                <w:lang w:val="en-US" w:eastAsia="zh-CN"/>
              </w:rPr>
              <w:t xml:space="preserve"> 03</w:t>
            </w:r>
            <w:r>
              <w:rPr>
                <w:rFonts w:hint="eastAsia"/>
                <w:lang w:eastAsia="zh-CN"/>
              </w:rPr>
              <w:t>分</w:t>
            </w:r>
            <w:r>
              <w:rPr>
                <w:rFonts w:hint="eastAsia"/>
                <w:u w:val="single"/>
                <w:lang w:val="en-US" w:eastAsia="zh-CN"/>
              </w:rPr>
              <w:t xml:space="preserve"> 51.371</w:t>
            </w:r>
            <w:r>
              <w:rPr>
                <w:rFonts w:hint="eastAsia"/>
                <w:lang w:eastAsia="zh-CN"/>
              </w:rPr>
              <w:t>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23" w:hRule="atLeast"/>
        </w:trPr>
        <w:tc>
          <w:tcPr>
            <w:tcW w:w="1152" w:type="pct"/>
            <w:gridSpan w:val="2"/>
            <w:vAlign w:val="center"/>
          </w:tcPr>
          <w:p>
            <w:pPr>
              <w:bidi w:val="0"/>
              <w:ind w:left="0" w:leftChars="0" w:firstLine="0" w:firstLineChars="0"/>
              <w:jc w:val="center"/>
              <w:rPr>
                <w:rFonts w:hint="eastAsia"/>
                <w:b/>
                <w:bCs/>
                <w:lang w:eastAsia="zh-CN"/>
              </w:rPr>
            </w:pPr>
            <w:r>
              <w:rPr>
                <w:rFonts w:hint="eastAsia"/>
                <w:b/>
                <w:bCs/>
                <w:lang w:eastAsia="zh-CN"/>
              </w:rPr>
              <w:t>国民经济</w:t>
            </w:r>
          </w:p>
          <w:p>
            <w:pPr>
              <w:bidi w:val="0"/>
              <w:ind w:left="0" w:leftChars="0" w:firstLine="0" w:firstLineChars="0"/>
              <w:jc w:val="center"/>
              <w:rPr>
                <w:rFonts w:hint="eastAsia"/>
                <w:b/>
                <w:bCs/>
                <w:lang w:eastAsia="zh-CN"/>
              </w:rPr>
            </w:pPr>
            <w:r>
              <w:rPr>
                <w:rFonts w:hint="eastAsia"/>
                <w:b/>
                <w:bCs/>
                <w:lang w:eastAsia="zh-CN"/>
              </w:rPr>
              <w:t>行业类别</w:t>
            </w:r>
          </w:p>
        </w:tc>
        <w:tc>
          <w:tcPr>
            <w:tcW w:w="9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lang w:eastAsia="zh-CN"/>
              </w:rPr>
            </w:pPr>
            <w:r>
              <w:rPr>
                <w:rFonts w:hint="eastAsia"/>
                <w:lang w:val="en-US" w:eastAsia="zh-CN"/>
              </w:rPr>
              <w:t>C3834</w:t>
            </w:r>
            <w:r>
              <w:rPr>
                <w:rFonts w:hint="eastAsia"/>
                <w:lang w:eastAsia="zh-CN"/>
              </w:rPr>
              <w:t>绝缘制品制造</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lang w:eastAsia="zh-CN"/>
              </w:rPr>
            </w:pPr>
            <w:r>
              <w:rPr>
                <w:rFonts w:hint="eastAsia"/>
                <w:lang w:val="en-US" w:eastAsia="zh-CN"/>
              </w:rPr>
              <w:t>C3839其他电工器材</w:t>
            </w:r>
            <w:r>
              <w:rPr>
                <w:rFonts w:hint="eastAsia"/>
                <w:lang w:eastAsia="zh-CN"/>
              </w:rPr>
              <w:t>制造</w:t>
            </w:r>
          </w:p>
        </w:tc>
        <w:tc>
          <w:tcPr>
            <w:tcW w:w="1137" w:type="pct"/>
            <w:vAlign w:val="center"/>
          </w:tcPr>
          <w:p>
            <w:pPr>
              <w:bidi w:val="0"/>
              <w:ind w:left="0" w:leftChars="0" w:firstLine="0" w:firstLineChars="0"/>
              <w:jc w:val="center"/>
              <w:rPr>
                <w:rFonts w:hint="eastAsia"/>
                <w:b/>
                <w:bCs/>
                <w:lang w:eastAsia="zh-CN"/>
              </w:rPr>
            </w:pPr>
            <w:r>
              <w:rPr>
                <w:rFonts w:hint="eastAsia"/>
                <w:b/>
                <w:bCs/>
                <w:lang w:eastAsia="zh-CN"/>
              </w:rPr>
              <w:t>建设项目</w:t>
            </w:r>
          </w:p>
          <w:p>
            <w:pPr>
              <w:bidi w:val="0"/>
              <w:ind w:left="0" w:leftChars="0" w:firstLine="0" w:firstLineChars="0"/>
              <w:jc w:val="center"/>
              <w:rPr>
                <w:rFonts w:hint="eastAsia"/>
                <w:b/>
                <w:bCs/>
                <w:lang w:eastAsia="zh-CN"/>
              </w:rPr>
            </w:pPr>
            <w:r>
              <w:rPr>
                <w:rFonts w:hint="eastAsia"/>
                <w:b/>
                <w:bCs/>
                <w:lang w:eastAsia="zh-CN"/>
              </w:rPr>
              <w:t>行业类别</w:t>
            </w:r>
          </w:p>
        </w:tc>
        <w:tc>
          <w:tcPr>
            <w:tcW w:w="1732"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lang w:eastAsia="zh-CN"/>
              </w:rPr>
            </w:pPr>
            <w:r>
              <w:rPr>
                <w:rFonts w:hint="eastAsia"/>
                <w:lang w:eastAsia="zh-CN"/>
              </w:rPr>
              <w:t>三十五、电气机械和器材制造业“电线、电缆、光缆及电工器材制造383”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23" w:hRule="atLeast"/>
        </w:trPr>
        <w:tc>
          <w:tcPr>
            <w:tcW w:w="1152" w:type="pct"/>
            <w:gridSpan w:val="2"/>
            <w:vAlign w:val="center"/>
          </w:tcPr>
          <w:p>
            <w:pPr>
              <w:bidi w:val="0"/>
              <w:ind w:left="0" w:leftChars="0" w:firstLine="0" w:firstLineChars="0"/>
              <w:jc w:val="center"/>
              <w:rPr>
                <w:rFonts w:hint="eastAsia"/>
                <w:b/>
                <w:bCs/>
                <w:lang w:eastAsia="zh-CN"/>
              </w:rPr>
            </w:pPr>
            <w:r>
              <w:rPr>
                <w:rFonts w:hint="eastAsia"/>
                <w:b/>
                <w:bCs/>
                <w:lang w:eastAsia="zh-CN"/>
              </w:rPr>
              <w:t>建设性质</w:t>
            </w:r>
          </w:p>
        </w:tc>
        <w:tc>
          <w:tcPr>
            <w:tcW w:w="9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lang w:eastAsia="zh-CN"/>
              </w:rPr>
            </w:pPr>
            <w:r>
              <w:rPr>
                <w:rFonts w:hint="eastAsia"/>
                <w:lang w:eastAsia="zh-CN"/>
              </w:rPr>
              <w:t>☑新建（迁建）</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lang w:eastAsia="zh-CN"/>
              </w:rPr>
            </w:pPr>
            <w:r>
              <w:rPr>
                <w:rFonts w:hint="eastAsia"/>
                <w:lang w:eastAsia="zh-CN"/>
              </w:rPr>
              <w:t>□改建</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lang w:eastAsia="zh-CN"/>
              </w:rPr>
            </w:pPr>
            <w:r>
              <w:rPr>
                <w:rFonts w:hint="eastAsia"/>
                <w:lang w:eastAsia="zh-CN"/>
              </w:rPr>
              <w:t>□扩建</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lang w:eastAsia="zh-CN"/>
              </w:rPr>
            </w:pPr>
            <w:r>
              <w:rPr>
                <w:rFonts w:hint="eastAsia"/>
                <w:lang w:eastAsia="zh-CN"/>
              </w:rPr>
              <w:t>□技术改造</w:t>
            </w:r>
          </w:p>
        </w:tc>
        <w:tc>
          <w:tcPr>
            <w:tcW w:w="1137" w:type="pct"/>
            <w:vAlign w:val="center"/>
          </w:tcPr>
          <w:p>
            <w:pPr>
              <w:bidi w:val="0"/>
              <w:ind w:left="0" w:leftChars="0" w:firstLine="0" w:firstLineChars="0"/>
              <w:jc w:val="center"/>
              <w:rPr>
                <w:rFonts w:hint="eastAsia"/>
                <w:b/>
                <w:bCs/>
                <w:lang w:eastAsia="zh-CN"/>
              </w:rPr>
            </w:pPr>
            <w:r>
              <w:rPr>
                <w:rFonts w:hint="eastAsia"/>
                <w:b/>
                <w:bCs/>
                <w:lang w:eastAsia="zh-CN"/>
              </w:rPr>
              <w:t>建设项目</w:t>
            </w:r>
          </w:p>
          <w:p>
            <w:pPr>
              <w:bidi w:val="0"/>
              <w:ind w:left="0" w:leftChars="0" w:firstLine="0" w:firstLineChars="0"/>
              <w:jc w:val="center"/>
              <w:rPr>
                <w:rFonts w:hint="eastAsia"/>
                <w:b/>
                <w:bCs/>
                <w:lang w:eastAsia="zh-CN"/>
              </w:rPr>
            </w:pPr>
            <w:r>
              <w:rPr>
                <w:rFonts w:hint="eastAsia"/>
                <w:b/>
                <w:bCs/>
                <w:lang w:eastAsia="zh-CN"/>
              </w:rPr>
              <w:t>申报情形</w:t>
            </w:r>
          </w:p>
        </w:tc>
        <w:tc>
          <w:tcPr>
            <w:tcW w:w="1732"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lang w:eastAsia="zh-CN"/>
              </w:rPr>
            </w:pPr>
            <w:r>
              <w:rPr>
                <w:rFonts w:hint="eastAsia"/>
                <w:lang w:eastAsia="zh-CN"/>
              </w:rPr>
              <w:t>☑首次申报项目</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lang w:eastAsia="zh-CN"/>
              </w:rPr>
            </w:pPr>
            <w:r>
              <w:rPr>
                <w:rFonts w:hint="eastAsia"/>
                <w:lang w:eastAsia="zh-CN"/>
              </w:rPr>
              <w:t>□不予批准后再次申报项目</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lang w:eastAsia="zh-CN"/>
              </w:rPr>
            </w:pPr>
            <w:r>
              <w:rPr>
                <w:rFonts w:hint="eastAsia"/>
                <w:lang w:eastAsia="zh-CN"/>
              </w:rPr>
              <w:t>□超五年重新审核项目</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lang w:eastAsia="zh-CN"/>
              </w:rPr>
            </w:pPr>
            <w:r>
              <w:rPr>
                <w:rFonts w:hint="eastAsia"/>
                <w:lang w:eastAsia="zh-CN"/>
              </w:rPr>
              <w:t>□重大变动重新报批项目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23" w:hRule="atLeast"/>
        </w:trPr>
        <w:tc>
          <w:tcPr>
            <w:tcW w:w="1152" w:type="pct"/>
            <w:gridSpan w:val="2"/>
            <w:vAlign w:val="center"/>
          </w:tcPr>
          <w:p>
            <w:pPr>
              <w:bidi w:val="0"/>
              <w:ind w:left="0" w:leftChars="0" w:firstLine="0" w:firstLineChars="0"/>
              <w:jc w:val="center"/>
              <w:rPr>
                <w:rFonts w:hint="eastAsia"/>
                <w:b/>
                <w:bCs/>
                <w:lang w:eastAsia="zh-CN"/>
              </w:rPr>
            </w:pPr>
            <w:r>
              <w:rPr>
                <w:rFonts w:hint="eastAsia"/>
                <w:b/>
                <w:bCs/>
                <w:lang w:eastAsia="zh-CN"/>
              </w:rPr>
              <w:t>项目审批（核准/备案）部门（选填）</w:t>
            </w:r>
          </w:p>
        </w:tc>
        <w:tc>
          <w:tcPr>
            <w:tcW w:w="97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lang w:val="en-US" w:eastAsia="zh-CN"/>
              </w:rPr>
            </w:pPr>
            <w:r>
              <w:rPr>
                <w:rFonts w:hint="eastAsia"/>
                <w:lang w:val="en-US" w:eastAsia="zh-CN"/>
              </w:rPr>
              <w:t>许昌市中原电气谷发展服务中心</w:t>
            </w:r>
          </w:p>
        </w:tc>
        <w:tc>
          <w:tcPr>
            <w:tcW w:w="1137" w:type="pct"/>
            <w:vAlign w:val="center"/>
          </w:tcPr>
          <w:p>
            <w:pPr>
              <w:bidi w:val="0"/>
              <w:ind w:left="0" w:leftChars="0" w:firstLine="0" w:firstLineChars="0"/>
              <w:jc w:val="center"/>
              <w:rPr>
                <w:rFonts w:hint="eastAsia"/>
                <w:b/>
                <w:bCs/>
                <w:lang w:eastAsia="zh-CN"/>
              </w:rPr>
            </w:pPr>
            <w:r>
              <w:rPr>
                <w:rFonts w:hint="eastAsia"/>
                <w:b/>
                <w:bCs/>
                <w:lang w:eastAsia="zh-CN"/>
              </w:rPr>
              <w:t>项目审批（核准/备案）文号（选填）</w:t>
            </w:r>
          </w:p>
        </w:tc>
        <w:tc>
          <w:tcPr>
            <w:tcW w:w="1732" w:type="pct"/>
            <w:vAlign w:val="center"/>
          </w:tcPr>
          <w:p>
            <w:pPr>
              <w:bidi w:val="0"/>
              <w:ind w:left="0" w:leftChars="0" w:firstLine="0" w:firstLineChars="0"/>
              <w:jc w:val="center"/>
              <w:rPr>
                <w:rFonts w:hint="default"/>
                <w:lang w:val="en-US" w:eastAsia="zh-CN"/>
              </w:rPr>
            </w:pPr>
            <w:r>
              <w:rPr>
                <w:rFonts w:hint="eastAsia"/>
                <w:color w:val="auto"/>
                <w:lang w:eastAsia="zh-CN"/>
              </w:rPr>
              <w:t>2020-411051-</w:t>
            </w:r>
            <w:r>
              <w:rPr>
                <w:rFonts w:hint="eastAsia"/>
                <w:color w:val="auto"/>
                <w:lang w:val="en-US" w:eastAsia="zh-CN"/>
              </w:rPr>
              <w:t>44-0</w:t>
            </w:r>
            <w:r>
              <w:rPr>
                <w:rFonts w:hint="eastAsia"/>
                <w:color w:val="auto"/>
                <w:lang w:eastAsia="zh-CN"/>
              </w:rPr>
              <w:t>3-0</w:t>
            </w:r>
            <w:r>
              <w:rPr>
                <w:rFonts w:hint="eastAsia"/>
                <w:color w:val="auto"/>
                <w:lang w:val="en-US" w:eastAsia="zh-CN"/>
              </w:rPr>
              <w:t>07272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23" w:hRule="atLeast"/>
        </w:trPr>
        <w:tc>
          <w:tcPr>
            <w:tcW w:w="1152" w:type="pct"/>
            <w:gridSpan w:val="2"/>
            <w:vAlign w:val="center"/>
          </w:tcPr>
          <w:p>
            <w:pPr>
              <w:bidi w:val="0"/>
              <w:ind w:left="0" w:leftChars="0" w:firstLine="0" w:firstLineChars="0"/>
              <w:jc w:val="center"/>
              <w:rPr>
                <w:rFonts w:hint="eastAsia"/>
                <w:b/>
                <w:bCs/>
                <w:lang w:eastAsia="zh-CN"/>
              </w:rPr>
            </w:pPr>
            <w:r>
              <w:rPr>
                <w:rFonts w:hint="eastAsia"/>
                <w:b/>
                <w:bCs/>
                <w:lang w:eastAsia="zh-CN"/>
              </w:rPr>
              <w:t>总投资（万元）</w:t>
            </w:r>
          </w:p>
        </w:tc>
        <w:tc>
          <w:tcPr>
            <w:tcW w:w="977" w:type="pct"/>
            <w:vAlign w:val="center"/>
          </w:tcPr>
          <w:p>
            <w:pPr>
              <w:bidi w:val="0"/>
              <w:ind w:left="0" w:leftChars="0" w:firstLine="0" w:firstLineChars="0"/>
              <w:jc w:val="center"/>
              <w:rPr>
                <w:rFonts w:hint="default"/>
                <w:color w:val="auto"/>
                <w:lang w:val="en-US" w:eastAsia="zh-CN"/>
              </w:rPr>
            </w:pPr>
            <w:r>
              <w:rPr>
                <w:rFonts w:hint="eastAsia"/>
                <w:color w:val="auto"/>
                <w:lang w:val="en-US" w:eastAsia="zh-CN"/>
              </w:rPr>
              <w:t>20000</w:t>
            </w:r>
          </w:p>
        </w:tc>
        <w:tc>
          <w:tcPr>
            <w:tcW w:w="1137" w:type="pct"/>
            <w:vAlign w:val="center"/>
          </w:tcPr>
          <w:p>
            <w:pPr>
              <w:bidi w:val="0"/>
              <w:ind w:left="0" w:leftChars="0" w:firstLine="0" w:firstLineChars="0"/>
              <w:jc w:val="center"/>
              <w:rPr>
                <w:rFonts w:hint="eastAsia"/>
                <w:b/>
                <w:bCs/>
                <w:color w:val="auto"/>
                <w:lang w:eastAsia="zh-CN"/>
              </w:rPr>
            </w:pPr>
            <w:r>
              <w:rPr>
                <w:rFonts w:hint="eastAsia"/>
                <w:b/>
                <w:bCs/>
                <w:color w:val="auto"/>
                <w:lang w:eastAsia="zh-CN"/>
              </w:rPr>
              <w:t>环保投资（万元）</w:t>
            </w:r>
          </w:p>
        </w:tc>
        <w:tc>
          <w:tcPr>
            <w:tcW w:w="1732" w:type="pct"/>
            <w:vAlign w:val="center"/>
          </w:tcPr>
          <w:p>
            <w:pPr>
              <w:bidi w:val="0"/>
              <w:ind w:left="0" w:leftChars="0" w:firstLine="0" w:firstLineChars="0"/>
              <w:jc w:val="center"/>
              <w:rPr>
                <w:rFonts w:hint="default"/>
                <w:color w:val="auto"/>
                <w:lang w:val="en-US" w:eastAsia="zh-CN"/>
              </w:rPr>
            </w:pPr>
            <w:r>
              <w:rPr>
                <w:rFonts w:hint="eastAsia"/>
                <w:color w:val="auto"/>
                <w:lang w:val="en-US" w:eastAsia="zh-CN"/>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23" w:hRule="atLeast"/>
        </w:trPr>
        <w:tc>
          <w:tcPr>
            <w:tcW w:w="1152" w:type="pct"/>
            <w:gridSpan w:val="2"/>
            <w:vAlign w:val="center"/>
          </w:tcPr>
          <w:p>
            <w:pPr>
              <w:bidi w:val="0"/>
              <w:ind w:left="0" w:leftChars="0" w:firstLine="0" w:firstLineChars="0"/>
              <w:jc w:val="center"/>
              <w:rPr>
                <w:rFonts w:hint="eastAsia"/>
                <w:b/>
                <w:bCs/>
                <w:lang w:eastAsia="zh-CN"/>
              </w:rPr>
            </w:pPr>
            <w:r>
              <w:rPr>
                <w:rFonts w:hint="eastAsia"/>
                <w:b/>
                <w:bCs/>
                <w:lang w:eastAsia="zh-CN"/>
              </w:rPr>
              <w:t>环保投资占比（%）</w:t>
            </w:r>
          </w:p>
        </w:tc>
        <w:tc>
          <w:tcPr>
            <w:tcW w:w="977" w:type="pct"/>
            <w:vAlign w:val="center"/>
          </w:tcPr>
          <w:p>
            <w:pPr>
              <w:bidi w:val="0"/>
              <w:ind w:left="0" w:leftChars="0" w:firstLine="0" w:firstLineChars="0"/>
              <w:jc w:val="center"/>
              <w:rPr>
                <w:rFonts w:hint="default"/>
                <w:color w:val="auto"/>
                <w:lang w:val="en-US" w:eastAsia="zh-CN"/>
              </w:rPr>
            </w:pPr>
            <w:r>
              <w:rPr>
                <w:rFonts w:hint="eastAsia"/>
                <w:color w:val="auto"/>
                <w:lang w:val="en-US" w:eastAsia="zh-CN"/>
              </w:rPr>
              <w:t>0.08</w:t>
            </w:r>
          </w:p>
        </w:tc>
        <w:tc>
          <w:tcPr>
            <w:tcW w:w="1137" w:type="pct"/>
            <w:vAlign w:val="center"/>
          </w:tcPr>
          <w:p>
            <w:pPr>
              <w:bidi w:val="0"/>
              <w:ind w:left="0" w:leftChars="0" w:firstLine="0" w:firstLineChars="0"/>
              <w:jc w:val="center"/>
              <w:rPr>
                <w:rFonts w:hint="eastAsia"/>
                <w:b/>
                <w:bCs/>
                <w:color w:val="auto"/>
                <w:lang w:eastAsia="zh-CN"/>
              </w:rPr>
            </w:pPr>
            <w:r>
              <w:rPr>
                <w:rFonts w:hint="eastAsia"/>
                <w:b/>
                <w:bCs/>
                <w:color w:val="auto"/>
                <w:lang w:eastAsia="zh-CN"/>
              </w:rPr>
              <w:t>施工工期</w:t>
            </w:r>
          </w:p>
        </w:tc>
        <w:tc>
          <w:tcPr>
            <w:tcW w:w="1732" w:type="pct"/>
            <w:vAlign w:val="center"/>
          </w:tcPr>
          <w:p>
            <w:pPr>
              <w:bidi w:val="0"/>
              <w:ind w:left="0" w:leftChars="0" w:firstLine="0" w:firstLineChars="0"/>
              <w:jc w:val="center"/>
              <w:rPr>
                <w:rFonts w:hint="default"/>
                <w:color w:val="auto"/>
                <w:lang w:val="en-US" w:eastAsia="zh-CN"/>
              </w:rPr>
            </w:pPr>
            <w:r>
              <w:rPr>
                <w:rFonts w:hint="eastAsia"/>
                <w:color w:val="auto"/>
                <w:lang w:val="en-US" w:eastAsia="zh-CN"/>
              </w:rPr>
              <w:t>3个月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auto"/>
          <w:trHeight w:val="23" w:hRule="atLeast"/>
        </w:trPr>
        <w:tc>
          <w:tcPr>
            <w:tcW w:w="1152" w:type="pct"/>
            <w:gridSpan w:val="2"/>
            <w:vAlign w:val="center"/>
          </w:tcPr>
          <w:p>
            <w:pPr>
              <w:bidi w:val="0"/>
              <w:ind w:left="0" w:leftChars="0" w:firstLine="0" w:firstLineChars="0"/>
              <w:jc w:val="center"/>
              <w:rPr>
                <w:rFonts w:hint="eastAsia"/>
                <w:b/>
                <w:bCs/>
                <w:lang w:eastAsia="zh-CN"/>
              </w:rPr>
            </w:pPr>
            <w:r>
              <w:rPr>
                <w:rFonts w:hint="eastAsia"/>
                <w:b/>
                <w:bCs/>
                <w:lang w:eastAsia="zh-CN"/>
              </w:rPr>
              <w:t>是否开工建设</w:t>
            </w:r>
          </w:p>
        </w:tc>
        <w:tc>
          <w:tcPr>
            <w:tcW w:w="977" w:type="pct"/>
            <w:vAlign w:val="center"/>
          </w:tcPr>
          <w:p>
            <w:pPr>
              <w:bidi w:val="0"/>
              <w:ind w:left="0" w:leftChars="0" w:firstLine="0" w:firstLineChars="0"/>
              <w:jc w:val="both"/>
              <w:rPr>
                <w:rFonts w:hint="eastAsia"/>
                <w:lang w:eastAsia="zh-CN"/>
              </w:rPr>
            </w:pPr>
            <w:r>
              <w:rPr>
                <w:rFonts w:hint="eastAsia"/>
                <w:lang w:eastAsia="zh-CN"/>
              </w:rPr>
              <w:t>☑否</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default"/>
                <w:lang w:val="en-US" w:eastAsia="zh-CN"/>
              </w:rPr>
            </w:pPr>
            <w:r>
              <w:rPr>
                <w:rFonts w:hint="eastAsia"/>
                <w:lang w:val="en-US" w:eastAsia="zh-CN"/>
              </w:rPr>
              <w:t>□是：</w:t>
            </w:r>
          </w:p>
        </w:tc>
        <w:tc>
          <w:tcPr>
            <w:tcW w:w="1137" w:type="pct"/>
            <w:vAlign w:val="center"/>
          </w:tcPr>
          <w:p>
            <w:pPr>
              <w:bidi w:val="0"/>
              <w:ind w:left="0" w:leftChars="0" w:firstLine="0" w:firstLineChars="0"/>
              <w:jc w:val="center"/>
              <w:rPr>
                <w:rFonts w:hint="eastAsia"/>
                <w:b/>
                <w:bCs/>
                <w:lang w:eastAsia="zh-CN"/>
              </w:rPr>
            </w:pPr>
            <w:r>
              <w:rPr>
                <w:rFonts w:hint="eastAsia"/>
                <w:b/>
                <w:bCs/>
                <w:lang w:eastAsia="zh-CN"/>
              </w:rPr>
              <w:t>用地（用海）</w:t>
            </w:r>
          </w:p>
          <w:p>
            <w:pPr>
              <w:bidi w:val="0"/>
              <w:ind w:left="0" w:leftChars="0" w:firstLine="0" w:firstLineChars="0"/>
              <w:jc w:val="center"/>
              <w:rPr>
                <w:rFonts w:hint="eastAsia"/>
                <w:b/>
                <w:bCs/>
                <w:lang w:eastAsia="zh-CN"/>
              </w:rPr>
            </w:pPr>
            <w:r>
              <w:rPr>
                <w:rFonts w:hint="eastAsia"/>
                <w:b/>
                <w:bCs/>
                <w:lang w:eastAsia="zh-CN"/>
              </w:rPr>
              <w:t>面积（m</w:t>
            </w:r>
            <w:r>
              <w:rPr>
                <w:rFonts w:hint="eastAsia"/>
                <w:b/>
                <w:bCs/>
                <w:vertAlign w:val="superscript"/>
                <w:lang w:eastAsia="zh-CN"/>
              </w:rPr>
              <w:t>2</w:t>
            </w:r>
            <w:r>
              <w:rPr>
                <w:rFonts w:hint="eastAsia"/>
                <w:b/>
                <w:bCs/>
                <w:lang w:eastAsia="zh-CN"/>
              </w:rPr>
              <w:t>）</w:t>
            </w:r>
          </w:p>
        </w:tc>
        <w:tc>
          <w:tcPr>
            <w:tcW w:w="1732" w:type="pct"/>
            <w:vAlign w:val="center"/>
          </w:tcPr>
          <w:p>
            <w:pPr>
              <w:bidi w:val="0"/>
              <w:ind w:left="0" w:leftChars="0" w:firstLine="0" w:firstLineChars="0"/>
              <w:jc w:val="center"/>
              <w:rPr>
                <w:rFonts w:hint="default"/>
                <w:lang w:val="en-US" w:eastAsia="zh-CN"/>
              </w:rPr>
            </w:pPr>
            <w:r>
              <w:rPr>
                <w:rFonts w:hint="eastAsia"/>
                <w:lang w:val="en-US" w:eastAsia="zh-CN"/>
              </w:rPr>
              <w:t>31576.22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trHeight w:val="23" w:hRule="atLeast"/>
        </w:trPr>
        <w:tc>
          <w:tcPr>
            <w:tcW w:w="115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b/>
                <w:bCs/>
                <w:lang w:eastAsia="zh-CN"/>
              </w:rPr>
            </w:pPr>
            <w:r>
              <w:rPr>
                <w:rFonts w:hint="eastAsia"/>
                <w:b/>
                <w:bCs/>
                <w:lang w:eastAsia="zh-CN"/>
              </w:rPr>
              <w:t>专项评价设置</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b/>
                <w:bCs/>
                <w:lang w:eastAsia="zh-CN"/>
              </w:rPr>
            </w:pPr>
            <w:r>
              <w:rPr>
                <w:rFonts w:hint="eastAsia"/>
                <w:b/>
                <w:bCs/>
                <w:lang w:eastAsia="zh-CN"/>
              </w:rPr>
              <w:t>情况</w:t>
            </w:r>
          </w:p>
        </w:tc>
        <w:tc>
          <w:tcPr>
            <w:tcW w:w="3849" w:type="pct"/>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imes New Roman" w:hAnsi="Times New Roman" w:eastAsia="宋体" w:cs="Times New Roman"/>
                <w:kern w:val="0"/>
                <w:sz w:val="24"/>
                <w:szCs w:val="22"/>
                <w:lang w:val="en-US" w:eastAsia="zh-CN" w:bidi="ar-SA"/>
              </w:rPr>
            </w:pPr>
            <w:r>
              <w:rPr>
                <w:rFonts w:hint="eastAsia" w:ascii="Times New Roman" w:hAnsi="Times New Roman" w:eastAsia="宋体" w:cs="Times New Roman"/>
                <w:kern w:val="0"/>
                <w:sz w:val="24"/>
                <w:szCs w:val="22"/>
                <w:lang w:val="en-US" w:eastAsia="zh-CN" w:bidi="ar-SA"/>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trHeight w:val="495" w:hRule="atLeast"/>
        </w:trPr>
        <w:tc>
          <w:tcPr>
            <w:tcW w:w="115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b/>
                <w:bCs/>
                <w:lang w:eastAsia="zh-CN"/>
              </w:rPr>
            </w:pPr>
            <w:r>
              <w:rPr>
                <w:rFonts w:hint="eastAsia"/>
                <w:b/>
                <w:bCs/>
                <w:lang w:eastAsia="zh-CN"/>
              </w:rPr>
              <w:t>规划情况</w:t>
            </w:r>
          </w:p>
        </w:tc>
        <w:tc>
          <w:tcPr>
            <w:tcW w:w="3849" w:type="pct"/>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宋体" w:cs="Times New Roman"/>
                <w:kern w:val="0"/>
                <w:sz w:val="24"/>
                <w:szCs w:val="22"/>
                <w:lang w:val="en-US" w:eastAsia="zh-CN" w:bidi="ar-SA"/>
              </w:rPr>
            </w:pPr>
            <w:r>
              <w:rPr>
                <w:rFonts w:hint="eastAsia" w:ascii="Times New Roman" w:hAnsi="Times New Roman" w:eastAsia="宋体" w:cs="Times New Roman"/>
                <w:kern w:val="0"/>
                <w:sz w:val="24"/>
                <w:szCs w:val="22"/>
                <w:lang w:val="en-US" w:eastAsia="zh-CN" w:bidi="ar-SA"/>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trHeight w:val="23" w:hRule="atLeast"/>
        </w:trPr>
        <w:tc>
          <w:tcPr>
            <w:tcW w:w="115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b/>
                <w:bCs/>
                <w:lang w:val="en-US" w:eastAsia="zh-CN"/>
              </w:rPr>
            </w:pPr>
            <w:r>
              <w:rPr>
                <w:rFonts w:hint="eastAsia"/>
                <w:b/>
                <w:bCs/>
                <w:lang w:eastAsia="zh-CN"/>
              </w:rPr>
              <w:t>规划环境影响评价情况</w:t>
            </w:r>
          </w:p>
        </w:tc>
        <w:tc>
          <w:tcPr>
            <w:tcW w:w="3849" w:type="pct"/>
            <w:gridSpan w:val="4"/>
            <w:vAlign w:val="center"/>
          </w:tcPr>
          <w:p>
            <w:pPr>
              <w:bidi w:val="0"/>
              <w:ind w:left="0" w:leftChars="0" w:firstLine="0" w:firstLineChars="0"/>
              <w:jc w:val="center"/>
              <w:rPr>
                <w:rFonts w:hint="eastAsia" w:ascii="Times New Roman" w:hAnsi="Times New Roman" w:eastAsia="宋体" w:cs="Times New Roman"/>
                <w:sz w:val="24"/>
                <w:szCs w:val="24"/>
                <w:lang w:val="en-US" w:eastAsia="zh-CN" w:bidi="ar-SA"/>
              </w:rPr>
            </w:pPr>
            <w:r>
              <w:rPr>
                <w:rFonts w:hint="eastAsia"/>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trHeight w:val="23" w:hRule="atLeast"/>
        </w:trPr>
        <w:tc>
          <w:tcPr>
            <w:tcW w:w="115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b/>
                <w:bCs/>
                <w:lang w:val="en-US" w:eastAsia="zh-CN"/>
              </w:rPr>
            </w:pPr>
            <w:r>
              <w:rPr>
                <w:rFonts w:hint="eastAsia"/>
                <w:b/>
                <w:bCs/>
                <w:lang w:eastAsia="zh-CN"/>
              </w:rPr>
              <w:t>规划及规划环境影响评价符合性分析</w:t>
            </w:r>
          </w:p>
        </w:tc>
        <w:tc>
          <w:tcPr>
            <w:tcW w:w="3849" w:type="pct"/>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imes New Roman" w:hAnsi="Times New Roman" w:eastAsia="宋体" w:cs="Times New Roman"/>
                <w:kern w:val="44"/>
                <w:sz w:val="24"/>
                <w:szCs w:val="24"/>
                <w:lang w:val="en-US" w:eastAsia="zh-CN" w:bidi="ar-SA"/>
              </w:rPr>
            </w:pPr>
            <w:r>
              <w:rPr>
                <w:rFonts w:hint="eastAsia" w:ascii="Times New Roman" w:hAnsi="Times New Roman" w:eastAsia="宋体" w:cs="Times New Roman"/>
                <w:kern w:val="0"/>
                <w:sz w:val="24"/>
                <w:szCs w:val="22"/>
                <w:lang w:val="en-US" w:eastAsia="zh-CN" w:bidi="ar-SA"/>
              </w:rPr>
              <w:t>无</w:t>
            </w:r>
          </w:p>
        </w:tc>
      </w:tr>
    </w:tbl>
    <w:p>
      <w:pPr>
        <w:sectPr>
          <w:footerReference r:id="rId5" w:type="default"/>
          <w:pgSz w:w="11906" w:h="16838"/>
          <w:pgMar w:top="1701" w:right="1587" w:bottom="1984" w:left="1587" w:header="851" w:footer="992" w:gutter="0"/>
          <w:pgNumType w:fmt="numberInDash"/>
          <w:cols w:space="425" w:num="1"/>
          <w:docGrid w:type="lines" w:linePitch="312" w:charSpace="0"/>
        </w:sectPr>
      </w:pPr>
    </w:p>
    <w:tbl>
      <w:tblPr>
        <w:tblStyle w:val="9"/>
        <w:tblW w:w="5020" w:type="pct"/>
        <w:tblInd w:w="-4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85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54" w:type="pct"/>
            <w:vAlign w:val="center"/>
          </w:tcPr>
          <w:p>
            <w:pPr>
              <w:pStyle w:val="11"/>
              <w:bidi w:val="0"/>
              <w:rPr>
                <w:rFonts w:hint="eastAsia"/>
                <w:b/>
                <w:bCs/>
                <w:sz w:val="24"/>
                <w:szCs w:val="24"/>
                <w:lang w:eastAsia="zh-CN"/>
              </w:rPr>
            </w:pPr>
            <w:r>
              <w:rPr>
                <w:rFonts w:hint="eastAsia"/>
                <w:b/>
                <w:bCs/>
                <w:sz w:val="24"/>
                <w:szCs w:val="24"/>
                <w:lang w:eastAsia="zh-CN"/>
              </w:rPr>
              <w:t>其他符合性分析</w:t>
            </w:r>
          </w:p>
        </w:tc>
        <w:tc>
          <w:tcPr>
            <w:tcW w:w="4745" w:type="pct"/>
            <w:vAlign w:val="center"/>
          </w:tcPr>
          <w:p>
            <w:pPr>
              <w:pStyle w:val="4"/>
              <w:bidi w:val="0"/>
              <w:rPr>
                <w:rFonts w:hint="eastAsia"/>
                <w:lang w:val="en-US" w:eastAsia="zh-CN"/>
              </w:rPr>
            </w:pPr>
            <w:r>
              <w:rPr>
                <w:rFonts w:hint="eastAsia"/>
                <w:color w:val="auto"/>
                <w:lang w:val="en-US" w:eastAsia="zh-CN"/>
              </w:rPr>
              <w:t>1、与河南省“三线一</w:t>
            </w:r>
            <w:r>
              <w:rPr>
                <w:rFonts w:hint="eastAsia"/>
                <w:lang w:val="en-US" w:eastAsia="zh-CN"/>
              </w:rPr>
              <w:t>单”符合性分析</w:t>
            </w:r>
          </w:p>
          <w:p>
            <w:pPr>
              <w:bidi w:val="0"/>
              <w:rPr>
                <w:rFonts w:hint="eastAsia"/>
                <w:lang w:val="en-US" w:eastAsia="zh-CN"/>
              </w:rPr>
            </w:pPr>
            <w:r>
              <w:rPr>
                <w:rFonts w:hint="eastAsia"/>
                <w:lang w:val="en-US" w:eastAsia="zh-CN"/>
              </w:rPr>
              <w:t>根据《关于以改善环境质量为核心加强环境影响评价管理的通知》（环环评〔2016〕150号），“三线一单”即：“生态保护红线、环境质量底线、资源利用上线和环境准入负面清单”，项目建设应强化“三线一单”约束作用。</w:t>
            </w:r>
          </w:p>
          <w:p>
            <w:pPr>
              <w:bidi w:val="0"/>
              <w:rPr>
                <w:rFonts w:hint="eastAsia"/>
                <w:b/>
                <w:bCs/>
                <w:lang w:val="en-US" w:eastAsia="zh-CN"/>
              </w:rPr>
            </w:pPr>
            <w:r>
              <w:rPr>
                <w:rFonts w:hint="eastAsia"/>
                <w:b/>
                <w:bCs/>
                <w:lang w:val="en-US" w:eastAsia="zh-CN"/>
              </w:rPr>
              <w:t>（1）生态保护红线</w:t>
            </w:r>
          </w:p>
          <w:p>
            <w:pPr>
              <w:bidi w:val="0"/>
              <w:rPr>
                <w:rFonts w:hint="eastAsia"/>
                <w:lang w:val="en-US" w:eastAsia="zh-CN"/>
              </w:rPr>
            </w:pPr>
            <w:r>
              <w:rPr>
                <w:rFonts w:hint="eastAsia"/>
                <w:lang w:val="en-US" w:eastAsia="zh-CN"/>
              </w:rPr>
              <w:t>本项目位于许昌市城乡一体化示范区高新技术产业园东北角，</w:t>
            </w:r>
            <w:r>
              <w:rPr>
                <w:rFonts w:hint="eastAsia"/>
                <w:b w:val="0"/>
                <w:bCs w:val="0"/>
                <w:u w:val="none"/>
                <w:lang w:val="en-US" w:eastAsia="zh-CN"/>
              </w:rPr>
              <w:t>对照《关于实施“三线一单”生态环境分区管控的意见》（豫政〔2020〕37号）和《许昌市人民政府关于实施“三线一单”生态环境分区管控的意见》（许政〔2021〕18号），项目位于重点管控单元范围内。</w:t>
            </w:r>
            <w:r>
              <w:rPr>
                <w:b w:val="0"/>
                <w:bCs w:val="0"/>
                <w:u w:val="none"/>
              </w:rPr>
              <w:t>项目周</w:t>
            </w:r>
            <w:r>
              <w:t>边500m范围不涉及自然保护区、风景名胜区、森林公园、饮用水源保护区、水产种质资源保护区、湿地公园、地质公园、生态公益林、水源涵养重要区、水土保持重要区、生物多样性维护重要区、湿地等，不涉及生态保护红线，因此符合生态保护红线要求。</w:t>
            </w:r>
          </w:p>
          <w:p>
            <w:pPr>
              <w:bidi w:val="0"/>
              <w:rPr>
                <w:rFonts w:hint="eastAsia"/>
                <w:b/>
                <w:bCs/>
                <w:lang w:val="en-US" w:eastAsia="zh-CN"/>
              </w:rPr>
            </w:pPr>
            <w:r>
              <w:rPr>
                <w:rFonts w:hint="eastAsia"/>
                <w:b/>
                <w:bCs/>
                <w:lang w:val="en-US" w:eastAsia="zh-CN"/>
              </w:rPr>
              <w:t>（2）环境质量底线</w:t>
            </w:r>
          </w:p>
          <w:p>
            <w:pPr>
              <w:autoSpaceDE w:val="0"/>
              <w:autoSpaceDN w:val="0"/>
              <w:spacing w:line="360" w:lineRule="auto"/>
              <w:ind w:firstLine="480" w:firstLineChars="200"/>
              <w:rPr>
                <w:rFonts w:hint="eastAsia"/>
                <w:bCs/>
                <w:sz w:val="24"/>
                <w:szCs w:val="22"/>
                <w:lang w:eastAsia="zh-CN"/>
              </w:rPr>
            </w:pPr>
            <w:r>
              <w:rPr>
                <w:b w:val="0"/>
                <w:bCs w:val="0"/>
                <w:kern w:val="0"/>
                <w:sz w:val="24"/>
                <w:u w:val="none"/>
              </w:rPr>
              <w:t>许昌市大气环境规划目标：</w:t>
            </w:r>
            <w:r>
              <w:rPr>
                <w:rFonts w:cs="Times New Roman"/>
                <w:highlight w:val="none"/>
              </w:rPr>
              <w:t>2020年全市PM</w:t>
            </w:r>
            <w:r>
              <w:rPr>
                <w:rFonts w:cs="Times New Roman"/>
                <w:highlight w:val="none"/>
                <w:vertAlign w:val="subscript"/>
              </w:rPr>
              <w:t>10</w:t>
            </w:r>
            <w:r>
              <w:rPr>
                <w:rFonts w:cs="Times New Roman"/>
                <w:highlight w:val="none"/>
              </w:rPr>
              <w:t>达到87μg/m</w:t>
            </w:r>
            <w:r>
              <w:rPr>
                <w:rFonts w:cs="Times New Roman"/>
                <w:highlight w:val="none"/>
                <w:vertAlign w:val="superscript"/>
              </w:rPr>
              <w:t>3</w:t>
            </w:r>
            <w:r>
              <w:rPr>
                <w:rFonts w:cs="Times New Roman"/>
                <w:highlight w:val="none"/>
              </w:rPr>
              <w:t>、PM</w:t>
            </w:r>
            <w:r>
              <w:rPr>
                <w:rFonts w:cs="Times New Roman"/>
                <w:highlight w:val="none"/>
                <w:vertAlign w:val="subscript"/>
              </w:rPr>
              <w:t>2.5</w:t>
            </w:r>
            <w:r>
              <w:rPr>
                <w:rFonts w:cs="Times New Roman"/>
                <w:highlight w:val="none"/>
              </w:rPr>
              <w:t>达到56μg/m</w:t>
            </w:r>
            <w:r>
              <w:rPr>
                <w:rFonts w:cs="Times New Roman"/>
                <w:highlight w:val="none"/>
                <w:vertAlign w:val="superscript"/>
              </w:rPr>
              <w:t>3</w:t>
            </w:r>
            <w:r>
              <w:rPr>
                <w:rFonts w:cs="Times New Roman"/>
                <w:highlight w:val="none"/>
              </w:rPr>
              <w:t>、优良天比例达到65.8%。</w:t>
            </w:r>
            <w:r>
              <w:rPr>
                <w:b w:val="0"/>
                <w:bCs w:val="0"/>
                <w:kern w:val="0"/>
                <w:sz w:val="24"/>
                <w:u w:val="none"/>
              </w:rPr>
              <w:t>2020年许昌市PM</w:t>
            </w:r>
            <w:r>
              <w:rPr>
                <w:b w:val="0"/>
                <w:bCs w:val="0"/>
                <w:kern w:val="0"/>
                <w:sz w:val="24"/>
                <w:u w:val="none"/>
                <w:vertAlign w:val="subscript"/>
              </w:rPr>
              <w:t>10</w:t>
            </w:r>
            <w:r>
              <w:rPr>
                <w:b w:val="0"/>
                <w:bCs w:val="0"/>
                <w:kern w:val="0"/>
                <w:sz w:val="24"/>
                <w:u w:val="none"/>
              </w:rPr>
              <w:t>浓度为78.6μg/m</w:t>
            </w:r>
            <w:r>
              <w:rPr>
                <w:b w:val="0"/>
                <w:bCs w:val="0"/>
                <w:kern w:val="0"/>
                <w:sz w:val="24"/>
                <w:u w:val="none"/>
                <w:vertAlign w:val="superscript"/>
              </w:rPr>
              <w:t>3</w:t>
            </w:r>
            <w:r>
              <w:rPr>
                <w:b w:val="0"/>
                <w:bCs w:val="0"/>
                <w:kern w:val="0"/>
                <w:sz w:val="24"/>
                <w:u w:val="none"/>
              </w:rPr>
              <w:t>、PM</w:t>
            </w:r>
            <w:r>
              <w:rPr>
                <w:b w:val="0"/>
                <w:bCs w:val="0"/>
                <w:kern w:val="0"/>
                <w:sz w:val="24"/>
                <w:u w:val="none"/>
                <w:vertAlign w:val="subscript"/>
              </w:rPr>
              <w:t>2.5</w:t>
            </w:r>
            <w:r>
              <w:rPr>
                <w:b w:val="0"/>
                <w:bCs w:val="0"/>
                <w:kern w:val="0"/>
                <w:sz w:val="24"/>
                <w:u w:val="none"/>
              </w:rPr>
              <w:t>浓度为53.4μg/m</w:t>
            </w:r>
            <w:r>
              <w:rPr>
                <w:b w:val="0"/>
                <w:bCs w:val="0"/>
                <w:kern w:val="0"/>
                <w:sz w:val="24"/>
                <w:u w:val="none"/>
                <w:vertAlign w:val="superscript"/>
              </w:rPr>
              <w:t>3</w:t>
            </w:r>
            <w:r>
              <w:rPr>
                <w:b w:val="0"/>
                <w:bCs w:val="0"/>
                <w:kern w:val="0"/>
                <w:sz w:val="24"/>
                <w:u w:val="none"/>
              </w:rPr>
              <w:t>，能够满足许昌市大气环</w:t>
            </w:r>
            <w:r>
              <w:rPr>
                <w:b w:val="0"/>
                <w:bCs w:val="0"/>
                <w:color w:val="auto"/>
                <w:kern w:val="0"/>
                <w:sz w:val="24"/>
                <w:u w:val="none"/>
              </w:rPr>
              <w:t>境规划目标要求</w:t>
            </w:r>
            <w:r>
              <w:rPr>
                <w:rFonts w:hint="eastAsia"/>
                <w:b w:val="0"/>
                <w:bCs w:val="0"/>
                <w:color w:val="auto"/>
                <w:kern w:val="0"/>
                <w:sz w:val="24"/>
                <w:u w:val="none"/>
                <w:lang w:eastAsia="zh-CN"/>
              </w:rPr>
              <w:t>，</w:t>
            </w:r>
            <w:r>
              <w:rPr>
                <w:rFonts w:hint="eastAsia"/>
                <w:b w:val="0"/>
                <w:bCs w:val="0"/>
                <w:color w:val="auto"/>
                <w:kern w:val="0"/>
                <w:sz w:val="24"/>
                <w:u w:val="none"/>
                <w:lang w:val="en-US" w:eastAsia="zh-CN"/>
              </w:rPr>
              <w:t>但不能满足</w:t>
            </w:r>
            <w:r>
              <w:rPr>
                <w:bCs/>
                <w:sz w:val="24"/>
                <w:szCs w:val="22"/>
              </w:rPr>
              <w:t>《环境空气质量标准》（GB3095-2012）二级标准要求</w:t>
            </w:r>
            <w:r>
              <w:rPr>
                <w:rFonts w:hint="eastAsia"/>
                <w:bCs/>
                <w:sz w:val="24"/>
                <w:szCs w:val="22"/>
                <w:lang w:eastAsia="zh-CN"/>
              </w:rPr>
              <w:t>，</w:t>
            </w:r>
            <w:r>
              <w:rPr>
                <w:rFonts w:hint="eastAsia"/>
                <w:bCs/>
                <w:sz w:val="24"/>
                <w:szCs w:val="22"/>
                <w:lang w:val="en-US" w:eastAsia="zh-CN"/>
              </w:rPr>
              <w:t>因此区域环境质量总体评价为不达标区</w:t>
            </w:r>
            <w:r>
              <w:rPr>
                <w:rFonts w:hint="eastAsia"/>
                <w:bCs/>
                <w:sz w:val="24"/>
                <w:szCs w:val="22"/>
                <w:lang w:eastAsia="zh-CN"/>
              </w:rPr>
              <w:t>。</w:t>
            </w:r>
          </w:p>
          <w:p>
            <w:pPr>
              <w:autoSpaceDE w:val="0"/>
              <w:autoSpaceDN w:val="0"/>
              <w:spacing w:line="360" w:lineRule="auto"/>
              <w:ind w:firstLine="480" w:firstLineChars="200"/>
              <w:rPr>
                <w:rFonts w:hint="default" w:eastAsia="宋体"/>
                <w:bCs/>
                <w:sz w:val="24"/>
                <w:szCs w:val="22"/>
                <w:lang w:val="en-US" w:eastAsia="zh-CN"/>
              </w:rPr>
            </w:pPr>
            <w:r>
              <w:rPr>
                <w:rFonts w:hint="eastAsia"/>
              </w:rPr>
              <w:t>针对区域环境空气质量不达标情况，许昌市发布大气污染综合治理攻坚行动方案。《许昌市污染防治攻坚战领导小组办公室关于印发许昌市2021年大气、水、土壤污染防治攻坚战实施方案的通知》（许环攻坚办</w:t>
            </w:r>
            <w:r>
              <w:rPr>
                <w:rFonts w:hint="eastAsia"/>
                <w:lang w:val="en-US" w:eastAsia="zh-CN"/>
              </w:rPr>
              <w:t>〔</w:t>
            </w:r>
            <w:r>
              <w:rPr>
                <w:rFonts w:hint="eastAsia"/>
              </w:rPr>
              <w:t>2021</w:t>
            </w:r>
            <w:r>
              <w:rPr>
                <w:rFonts w:hint="eastAsia"/>
                <w:lang w:val="en-US" w:eastAsia="zh-CN"/>
              </w:rPr>
              <w:t>〕</w:t>
            </w:r>
            <w:r>
              <w:rPr>
                <w:rFonts w:hint="eastAsia"/>
              </w:rPr>
              <w:t>36号）提出：加快调整优化产业机构，推动产业绿色转型升级，严格环境准入，落实“三线一单”生态环境分区管控要求；深入调整能源结构，推进能源低碳高效利用；持续调整交通运输结构，构建绿色交通体系；强化面源污染管控；全面推行重点行业绩效分级，深化工业企业大气污染综合治理；强化臭氧协同控制，持续深化挥发性有机物污染治理；强化重污染天气应急管控，大力推动多污染协同减排；强化基础能力建设，持续推进大气环境治理体系和治理能力现代化。在采取大气综合治理措施的情况下，</w:t>
            </w:r>
            <w:r>
              <w:rPr>
                <w:rFonts w:hint="eastAsia"/>
                <w:lang w:val="en-US" w:eastAsia="zh-CN"/>
              </w:rPr>
              <w:t>许昌市</w:t>
            </w:r>
            <w:r>
              <w:rPr>
                <w:rFonts w:hint="eastAsia"/>
              </w:rPr>
              <w:t>区域环境空气质量将逐步得到改善。</w:t>
            </w:r>
            <w:r>
              <w:rPr>
                <w:rFonts w:hint="eastAsia"/>
                <w:color w:val="auto"/>
                <w:kern w:val="0"/>
                <w:sz w:val="24"/>
              </w:rPr>
              <w:t>本项目1#车间</w:t>
            </w:r>
            <w:r>
              <w:rPr>
                <w:rFonts w:hint="eastAsia"/>
                <w:color w:val="auto"/>
                <w:kern w:val="0"/>
                <w:sz w:val="24"/>
                <w:lang w:eastAsia="zh-CN"/>
              </w:rPr>
              <w:t>混胶</w:t>
            </w:r>
            <w:r>
              <w:rPr>
                <w:rFonts w:hint="eastAsia"/>
                <w:color w:val="auto"/>
                <w:kern w:val="0"/>
                <w:sz w:val="24"/>
              </w:rPr>
              <w:t>工序和1#、2#车间的</w:t>
            </w:r>
            <w:r>
              <w:rPr>
                <w:rFonts w:hint="eastAsia"/>
                <w:color w:val="auto"/>
                <w:kern w:val="0"/>
                <w:sz w:val="24"/>
                <w:lang w:eastAsia="zh-CN"/>
              </w:rPr>
              <w:t>成型</w:t>
            </w:r>
            <w:r>
              <w:rPr>
                <w:rFonts w:hint="eastAsia"/>
                <w:color w:val="auto"/>
                <w:kern w:val="0"/>
                <w:sz w:val="24"/>
              </w:rPr>
              <w:t>工序均设置“二次封闭+集气罩”收集措施，</w:t>
            </w:r>
            <w:r>
              <w:rPr>
                <w:rFonts w:hint="eastAsia"/>
                <w:color w:val="auto"/>
                <w:kern w:val="0"/>
                <w:sz w:val="24"/>
                <w:lang w:eastAsia="zh-CN"/>
              </w:rPr>
              <w:t>混胶</w:t>
            </w:r>
            <w:r>
              <w:rPr>
                <w:rFonts w:hint="eastAsia"/>
                <w:color w:val="auto"/>
                <w:kern w:val="0"/>
                <w:sz w:val="24"/>
              </w:rPr>
              <w:t>废气经袋式除尘器处理后，与绝缘子</w:t>
            </w:r>
            <w:r>
              <w:rPr>
                <w:rFonts w:hint="eastAsia"/>
                <w:color w:val="auto"/>
                <w:kern w:val="0"/>
                <w:sz w:val="24"/>
                <w:lang w:eastAsia="zh-CN"/>
              </w:rPr>
              <w:t>成型</w:t>
            </w:r>
            <w:r>
              <w:rPr>
                <w:rFonts w:hint="eastAsia"/>
                <w:color w:val="auto"/>
                <w:kern w:val="0"/>
                <w:sz w:val="24"/>
              </w:rPr>
              <w:t>废气合并至“UV光氧+活性炭吸附”装置处理后通过1根15米高排气筒排放</w:t>
            </w:r>
            <w:r>
              <w:rPr>
                <w:rFonts w:hint="eastAsia"/>
                <w:lang w:val="en-US" w:eastAsia="zh-CN"/>
              </w:rPr>
              <w:t>，污染物经采取相应治理措施后，可达标排放，对周边大气环境影响较小。</w:t>
            </w:r>
          </w:p>
          <w:p>
            <w:pPr>
              <w:autoSpaceDE w:val="0"/>
              <w:autoSpaceDN w:val="0"/>
              <w:spacing w:line="360" w:lineRule="auto"/>
              <w:ind w:firstLine="480" w:firstLineChars="200"/>
              <w:rPr>
                <w:rFonts w:hint="eastAsia" w:cs="Times New Roman"/>
                <w:highlight w:val="none"/>
              </w:rPr>
            </w:pPr>
            <w:r>
              <w:rPr>
                <w:b w:val="0"/>
                <w:bCs w:val="0"/>
                <w:kern w:val="0"/>
                <w:sz w:val="24"/>
                <w:u w:val="none"/>
              </w:rPr>
              <w:t>许昌市水环境规划目标：</w:t>
            </w:r>
            <w:r>
              <w:rPr>
                <w:rFonts w:cs="Times New Roman"/>
                <w:highlight w:val="none"/>
              </w:rPr>
              <w:t>2020年，颍河、北汝河出境断面水质达到或优于Ⅲ类水体，清潩河出境断面水质达到或优于Ⅴ类水体；同时落实省定要求，力争2020年底清潩河出境断面水质达到Ⅲ类水体；力争地表水省控县界断面优良水体比例达到70%和消灭劣V类水质。沿清潩河流域新建或扩建城镇污水处理厂出水水质主要指标应达到Ⅳ类水标准、其他污水处理厂出水水质主要指标应达到或优于Ⅴ类水标准。地下水质量考核点位水质级别保持稳定。20</w:t>
            </w:r>
            <w:r>
              <w:rPr>
                <w:rFonts w:hint="eastAsia" w:cs="Times New Roman"/>
                <w:highlight w:val="none"/>
                <w:lang w:val="en-US" w:eastAsia="zh-CN"/>
              </w:rPr>
              <w:t>20</w:t>
            </w:r>
            <w:r>
              <w:rPr>
                <w:rFonts w:cs="Times New Roman"/>
                <w:highlight w:val="none"/>
              </w:rPr>
              <w:t>年许昌市地表水例行监测共涉及到</w:t>
            </w:r>
            <w:r>
              <w:rPr>
                <w:rFonts w:hint="eastAsia" w:cs="Times New Roman"/>
                <w:highlight w:val="none"/>
                <w:lang w:val="en-US" w:eastAsia="zh-CN"/>
              </w:rPr>
              <w:t>12</w:t>
            </w:r>
            <w:r>
              <w:rPr>
                <w:rFonts w:cs="Times New Roman"/>
                <w:highlight w:val="none"/>
              </w:rPr>
              <w:t>条河流，</w:t>
            </w:r>
            <w:r>
              <w:rPr>
                <w:rFonts w:hint="eastAsia" w:cs="Times New Roman"/>
                <w:highlight w:val="none"/>
                <w:lang w:val="en-US" w:eastAsia="zh-CN"/>
              </w:rPr>
              <w:t>23</w:t>
            </w:r>
            <w:r>
              <w:rPr>
                <w:rFonts w:cs="Times New Roman"/>
                <w:highlight w:val="none"/>
              </w:rPr>
              <w:t>个监测断面，达到</w:t>
            </w:r>
            <w:r>
              <w:rPr>
                <w:rFonts w:hint="eastAsia" w:cs="Times New Roman"/>
                <w:highlight w:val="none"/>
                <w:lang w:val="en-US" w:eastAsia="zh-CN"/>
              </w:rPr>
              <w:t>I</w:t>
            </w:r>
            <w:r>
              <w:rPr>
                <w:rFonts w:cs="Times New Roman"/>
                <w:highlight w:val="none"/>
              </w:rPr>
              <w:t>-</w:t>
            </w:r>
            <w:r>
              <w:rPr>
                <w:rFonts w:hint="eastAsia" w:cs="Times New Roman"/>
                <w:highlight w:val="none"/>
                <w:lang w:val="en-US" w:eastAsia="zh-CN"/>
              </w:rPr>
              <w:t>II</w:t>
            </w:r>
            <w:r>
              <w:rPr>
                <w:rFonts w:cs="Times New Roman"/>
                <w:highlight w:val="none"/>
              </w:rPr>
              <w:t>类水质断面</w:t>
            </w:r>
            <w:r>
              <w:rPr>
                <w:rFonts w:hint="eastAsia" w:cs="Times New Roman"/>
                <w:highlight w:val="none"/>
                <w:lang w:val="en-US" w:eastAsia="zh-CN"/>
              </w:rPr>
              <w:t>3</w:t>
            </w:r>
            <w:r>
              <w:rPr>
                <w:rFonts w:cs="Times New Roman"/>
                <w:highlight w:val="none"/>
              </w:rPr>
              <w:t>个、III类水质断面</w:t>
            </w:r>
            <w:r>
              <w:rPr>
                <w:rFonts w:hint="eastAsia" w:cs="Times New Roman"/>
                <w:highlight w:val="none"/>
                <w:lang w:val="en-US" w:eastAsia="zh-CN"/>
              </w:rPr>
              <w:t>18</w:t>
            </w:r>
            <w:r>
              <w:rPr>
                <w:rFonts w:cs="Times New Roman"/>
                <w:highlight w:val="none"/>
              </w:rPr>
              <w:t>个、IV类水质断面</w:t>
            </w:r>
            <w:r>
              <w:rPr>
                <w:rFonts w:hint="eastAsia" w:cs="Times New Roman"/>
                <w:highlight w:val="none"/>
                <w:lang w:val="en-US" w:eastAsia="zh-CN"/>
              </w:rPr>
              <w:t>2</w:t>
            </w:r>
            <w:r>
              <w:rPr>
                <w:rFonts w:cs="Times New Roman"/>
                <w:highlight w:val="none"/>
              </w:rPr>
              <w:t>个，无劣V类水质，整体地表水环境质量趋于好转。清潩河临颍高村桥、颍河吴刘闸和北汝河大陈闸</w:t>
            </w:r>
            <w:r>
              <w:rPr>
                <w:rFonts w:hint="eastAsia" w:cs="Times New Roman"/>
                <w:highlight w:val="none"/>
              </w:rPr>
              <w:t>三个国控断面水质平均浓度值均达到</w:t>
            </w:r>
            <w:r>
              <w:rPr>
                <w:rFonts w:hint="eastAsia" w:cs="Times New Roman"/>
                <w:highlight w:val="none"/>
                <w:lang w:val="en-US" w:eastAsia="zh-CN"/>
              </w:rPr>
              <w:t>III</w:t>
            </w:r>
            <w:r>
              <w:rPr>
                <w:rFonts w:hint="eastAsia" w:cs="Times New Roman"/>
                <w:highlight w:val="none"/>
              </w:rPr>
              <w:t>类目标，达到考核目标要求。</w:t>
            </w:r>
          </w:p>
          <w:p>
            <w:pPr>
              <w:autoSpaceDE w:val="0"/>
              <w:autoSpaceDN w:val="0"/>
              <w:spacing w:line="360" w:lineRule="auto"/>
              <w:ind w:firstLine="480" w:firstLineChars="200"/>
              <w:rPr>
                <w:rFonts w:hint="eastAsia" w:eastAsia="宋体"/>
                <w:b w:val="0"/>
                <w:bCs w:val="0"/>
                <w:kern w:val="0"/>
                <w:sz w:val="24"/>
                <w:u w:val="none"/>
                <w:lang w:eastAsia="zh-CN"/>
              </w:rPr>
            </w:pPr>
            <w:r>
              <w:rPr>
                <w:rFonts w:hint="eastAsia"/>
                <w:color w:val="auto"/>
                <w:kern w:val="0"/>
                <w:sz w:val="24"/>
                <w:lang w:val="en-US" w:eastAsia="zh-CN"/>
              </w:rPr>
              <w:t>项目附近地表水体为清潩河，清潩河高村桥</w:t>
            </w:r>
            <w:r>
              <w:rPr>
                <w:color w:val="auto"/>
                <w:kern w:val="0"/>
                <w:sz w:val="24"/>
              </w:rPr>
              <w:t>断面水质能够满足《地表水环境质量标准》（GB3838-2002）III类水体标准要求，本项目无生产废水，生活污水</w:t>
            </w:r>
            <w:r>
              <w:rPr>
                <w:rFonts w:hint="eastAsia"/>
                <w:color w:val="auto"/>
                <w:kern w:val="0"/>
                <w:sz w:val="24"/>
                <w:lang w:val="en-US" w:eastAsia="zh-CN"/>
              </w:rPr>
              <w:t>依托园区</w:t>
            </w:r>
            <w:r>
              <w:rPr>
                <w:color w:val="auto"/>
                <w:kern w:val="0"/>
                <w:sz w:val="24"/>
              </w:rPr>
              <w:t>化粪池处理后</w:t>
            </w:r>
            <w:r>
              <w:rPr>
                <w:rFonts w:hint="eastAsia"/>
                <w:color w:val="auto"/>
                <w:kern w:val="0"/>
                <w:sz w:val="24"/>
                <w:lang w:eastAsia="zh-CN"/>
              </w:rPr>
              <w:t>，</w:t>
            </w:r>
            <w:r>
              <w:rPr>
                <w:rFonts w:hint="eastAsia"/>
                <w:color w:val="auto"/>
                <w:spacing w:val="12"/>
                <w:sz w:val="24"/>
                <w:lang w:val="en-US" w:eastAsia="zh-CN"/>
              </w:rPr>
              <w:t>用于周边农田施肥，远期管网环通后</w:t>
            </w:r>
            <w:r>
              <w:rPr>
                <w:rFonts w:hint="eastAsia"/>
                <w:color w:val="auto"/>
                <w:kern w:val="0"/>
                <w:sz w:val="24"/>
              </w:rPr>
              <w:t>经市政污水管网进入</w:t>
            </w:r>
            <w:r>
              <w:rPr>
                <w:rFonts w:hint="eastAsia"/>
                <w:color w:val="auto"/>
                <w:kern w:val="0"/>
                <w:sz w:val="24"/>
                <w:lang w:eastAsia="zh-CN"/>
              </w:rPr>
              <w:t>许昌市城乡一体化示范区中原电气谷污水处理厂</w:t>
            </w:r>
            <w:r>
              <w:rPr>
                <w:rFonts w:hint="eastAsia"/>
                <w:color w:val="auto"/>
                <w:kern w:val="0"/>
                <w:sz w:val="24"/>
              </w:rPr>
              <w:t>进行深度处理</w:t>
            </w:r>
            <w:r>
              <w:rPr>
                <w:color w:val="auto"/>
                <w:kern w:val="0"/>
                <w:sz w:val="24"/>
              </w:rPr>
              <w:t>，</w:t>
            </w:r>
            <w:r>
              <w:rPr>
                <w:rFonts w:hint="eastAsia"/>
                <w:color w:val="auto"/>
                <w:kern w:val="0"/>
                <w:sz w:val="24"/>
                <w:lang w:val="en-US" w:eastAsia="zh-CN"/>
              </w:rPr>
              <w:t>最终排入小洪河，</w:t>
            </w:r>
            <w:r>
              <w:rPr>
                <w:color w:val="auto"/>
                <w:kern w:val="0"/>
                <w:sz w:val="24"/>
              </w:rPr>
              <w:t>对地表水环境影响较小</w:t>
            </w:r>
            <w:r>
              <w:rPr>
                <w:rFonts w:hint="eastAsia"/>
                <w:color w:val="auto"/>
                <w:kern w:val="0"/>
                <w:sz w:val="24"/>
                <w:lang w:eastAsia="zh-CN"/>
              </w:rPr>
              <w:t>。</w:t>
            </w:r>
          </w:p>
          <w:p>
            <w:pPr>
              <w:autoSpaceDE w:val="0"/>
              <w:autoSpaceDN w:val="0"/>
              <w:spacing w:line="360" w:lineRule="auto"/>
              <w:ind w:firstLine="480" w:firstLineChars="200"/>
              <w:rPr>
                <w:rFonts w:hint="eastAsia" w:eastAsia="宋体"/>
                <w:b w:val="0"/>
                <w:bCs w:val="0"/>
                <w:kern w:val="0"/>
                <w:sz w:val="24"/>
                <w:u w:val="none"/>
                <w:lang w:val="en-US" w:eastAsia="zh-CN"/>
              </w:rPr>
            </w:pPr>
            <w:r>
              <w:rPr>
                <w:b w:val="0"/>
                <w:bCs w:val="0"/>
                <w:kern w:val="0"/>
                <w:sz w:val="24"/>
                <w:u w:val="none"/>
              </w:rPr>
              <w:t>许昌市生态环境规划目标：</w:t>
            </w:r>
            <w:r>
              <w:rPr>
                <w:rFonts w:cs="Times New Roman"/>
                <w:highlight w:val="none"/>
              </w:rPr>
              <w:t>2020年，林木覆盖率提高到33.5%，森林蓄积量达到777万m</w:t>
            </w:r>
            <w:r>
              <w:rPr>
                <w:rFonts w:cs="Times New Roman"/>
                <w:highlight w:val="none"/>
                <w:vertAlign w:val="superscript"/>
              </w:rPr>
              <w:t>3</w:t>
            </w:r>
            <w:r>
              <w:rPr>
                <w:rFonts w:cs="Times New Roman"/>
                <w:highlight w:val="none"/>
              </w:rPr>
              <w:t>，湿地保有量稳定在12.45万亩。农田林网控制率和廊道绿化率稳定在95%以上；林木覆被率达到35%以上；水土流失治理率95%以上；废弃矿山生态修复治理率90%以上；主城区人均公园绿地面积大于9平方米。</w:t>
            </w:r>
            <w:r>
              <w:rPr>
                <w:rFonts w:hint="eastAsia" w:cs="Times New Roman"/>
                <w:highlight w:val="none"/>
                <w:lang w:val="en-US" w:eastAsia="zh-CN"/>
              </w:rPr>
              <w:t>根据</w:t>
            </w:r>
            <w:r>
              <w:rPr>
                <w:rFonts w:cs="Times New Roman"/>
                <w:highlight w:val="none"/>
              </w:rPr>
              <w:t>《20</w:t>
            </w:r>
            <w:r>
              <w:rPr>
                <w:rFonts w:hint="eastAsia" w:cs="Times New Roman"/>
                <w:highlight w:val="none"/>
                <w:lang w:val="en-US" w:eastAsia="zh-CN"/>
              </w:rPr>
              <w:t>20</w:t>
            </w:r>
            <w:r>
              <w:rPr>
                <w:rFonts w:cs="Times New Roman"/>
                <w:highlight w:val="none"/>
              </w:rPr>
              <w:t>年河南省</w:t>
            </w:r>
            <w:r>
              <w:rPr>
                <w:rFonts w:hint="eastAsia" w:cs="Times New Roman"/>
                <w:highlight w:val="none"/>
                <w:lang w:eastAsia="zh-CN"/>
              </w:rPr>
              <w:t>生态环境状况公报</w:t>
            </w:r>
            <w:r>
              <w:rPr>
                <w:rFonts w:cs="Times New Roman"/>
                <w:highlight w:val="none"/>
              </w:rPr>
              <w:t>》</w:t>
            </w:r>
            <w:r>
              <w:rPr>
                <w:rFonts w:hint="eastAsia" w:cs="Times New Roman"/>
                <w:highlight w:val="none"/>
                <w:lang w:eastAsia="zh-CN"/>
              </w:rPr>
              <w:t>，</w:t>
            </w:r>
            <w:r>
              <w:rPr>
                <w:rFonts w:hint="eastAsia" w:cs="Times New Roman"/>
                <w:highlight w:val="none"/>
                <w:lang w:val="en-US" w:eastAsia="zh-CN"/>
              </w:rPr>
              <w:t>许昌市</w:t>
            </w:r>
            <w:r>
              <w:rPr>
                <w:rFonts w:cs="Times New Roman"/>
                <w:highlight w:val="none"/>
              </w:rPr>
              <w:t>生态环境质量等级为</w:t>
            </w:r>
            <w:r>
              <w:rPr>
                <w:rFonts w:hint="eastAsia" w:cs="Times New Roman"/>
                <w:highlight w:val="none"/>
                <w:lang w:eastAsia="zh-CN"/>
              </w:rPr>
              <w:t>“优”</w:t>
            </w:r>
            <w:r>
              <w:rPr>
                <w:rFonts w:hint="eastAsia" w:cs="Times New Roman"/>
                <w:highlight w:val="none"/>
              </w:rPr>
              <w:t>，达到考核目标要求。</w:t>
            </w:r>
          </w:p>
          <w:p>
            <w:pPr>
              <w:autoSpaceDE w:val="0"/>
              <w:autoSpaceDN w:val="0"/>
              <w:spacing w:line="360" w:lineRule="auto"/>
              <w:ind w:firstLine="480" w:firstLineChars="200"/>
              <w:rPr>
                <w:b w:val="0"/>
                <w:bCs w:val="0"/>
                <w:color w:val="auto"/>
                <w:kern w:val="0"/>
                <w:sz w:val="24"/>
                <w:u w:val="none"/>
              </w:rPr>
            </w:pPr>
            <w:r>
              <w:rPr>
                <w:b w:val="0"/>
                <w:bCs w:val="0"/>
                <w:kern w:val="0"/>
                <w:sz w:val="24"/>
                <w:u w:val="none"/>
              </w:rPr>
              <w:t>许昌市土壤环境规划目标：2020年，全市受污染耕地安全利用率达到100%；污染地块安全利用率达到100%；重点行业重点重金属排放量较2013年下降12%。</w:t>
            </w:r>
            <w:r>
              <w:rPr>
                <w:b w:val="0"/>
                <w:bCs w:val="0"/>
                <w:color w:val="auto"/>
                <w:kern w:val="0"/>
                <w:sz w:val="24"/>
                <w:u w:val="none"/>
              </w:rPr>
              <w:t>本项目</w:t>
            </w:r>
            <w:r>
              <w:rPr>
                <w:rFonts w:hint="eastAsia"/>
                <w:b w:val="0"/>
                <w:bCs w:val="0"/>
                <w:color w:val="auto"/>
                <w:kern w:val="0"/>
                <w:sz w:val="24"/>
                <w:u w:val="none"/>
                <w:lang w:val="en-US" w:eastAsia="zh-CN"/>
              </w:rPr>
              <w:t>不涉及重点</w:t>
            </w:r>
            <w:r>
              <w:rPr>
                <w:b w:val="0"/>
                <w:bCs w:val="0"/>
                <w:color w:val="auto"/>
                <w:kern w:val="0"/>
                <w:sz w:val="24"/>
                <w:u w:val="none"/>
              </w:rPr>
              <w:t>重金属</w:t>
            </w:r>
            <w:r>
              <w:rPr>
                <w:rFonts w:hint="eastAsia"/>
                <w:b w:val="0"/>
                <w:bCs w:val="0"/>
                <w:color w:val="auto"/>
                <w:kern w:val="0"/>
                <w:sz w:val="24"/>
                <w:u w:val="none"/>
                <w:lang w:val="en-US" w:eastAsia="zh-CN"/>
              </w:rPr>
              <w:t>排放</w:t>
            </w:r>
            <w:r>
              <w:rPr>
                <w:b w:val="0"/>
                <w:bCs w:val="0"/>
                <w:color w:val="auto"/>
                <w:kern w:val="0"/>
                <w:sz w:val="24"/>
                <w:u w:val="none"/>
              </w:rPr>
              <w:t>，不会对土壤造成影响。</w:t>
            </w:r>
          </w:p>
          <w:p>
            <w:pPr>
              <w:autoSpaceDE w:val="0"/>
              <w:autoSpaceDN w:val="0"/>
              <w:spacing w:line="360" w:lineRule="auto"/>
              <w:ind w:firstLine="480" w:firstLineChars="200"/>
              <w:rPr>
                <w:b w:val="0"/>
                <w:bCs w:val="0"/>
                <w:sz w:val="24"/>
                <w:szCs w:val="32"/>
                <w:u w:val="none"/>
              </w:rPr>
            </w:pPr>
            <w:r>
              <w:rPr>
                <w:rFonts w:hint="eastAsia"/>
                <w:b w:val="0"/>
                <w:bCs w:val="0"/>
                <w:color w:val="auto"/>
                <w:kern w:val="0"/>
                <w:sz w:val="24"/>
                <w:u w:val="none"/>
                <w:lang w:val="en-US" w:eastAsia="zh-CN"/>
              </w:rPr>
              <w:t>综上所述，</w:t>
            </w:r>
            <w:r>
              <w:rPr>
                <w:b w:val="0"/>
                <w:bCs w:val="0"/>
                <w:color w:val="auto"/>
                <w:kern w:val="0"/>
                <w:sz w:val="24"/>
                <w:u w:val="none"/>
              </w:rPr>
              <w:t>本项目符合环境质量底线要求</w:t>
            </w:r>
            <w:r>
              <w:rPr>
                <w:b w:val="0"/>
                <w:bCs w:val="0"/>
                <w:color w:val="auto"/>
                <w:sz w:val="24"/>
                <w:szCs w:val="32"/>
                <w:u w:val="none"/>
              </w:rPr>
              <w:t>。</w:t>
            </w:r>
          </w:p>
          <w:p>
            <w:pPr>
              <w:autoSpaceDE w:val="0"/>
              <w:autoSpaceDN w:val="0"/>
              <w:spacing w:line="360" w:lineRule="auto"/>
              <w:ind w:firstLine="482" w:firstLineChars="200"/>
              <w:rPr>
                <w:b/>
                <w:bCs/>
                <w:kern w:val="0"/>
                <w:sz w:val="24"/>
              </w:rPr>
            </w:pPr>
            <w:r>
              <w:rPr>
                <w:b/>
                <w:bCs/>
                <w:kern w:val="0"/>
                <w:sz w:val="24"/>
              </w:rPr>
              <w:t>（3）资源利用上线</w:t>
            </w:r>
          </w:p>
          <w:p>
            <w:pPr>
              <w:autoSpaceDE w:val="0"/>
              <w:autoSpaceDN w:val="0"/>
              <w:spacing w:line="360" w:lineRule="auto"/>
              <w:ind w:firstLine="480" w:firstLineChars="200"/>
              <w:rPr>
                <w:b w:val="0"/>
                <w:bCs w:val="0"/>
                <w:kern w:val="0"/>
                <w:sz w:val="24"/>
                <w:u w:val="none"/>
              </w:rPr>
            </w:pPr>
            <w:r>
              <w:rPr>
                <w:b w:val="0"/>
                <w:bCs w:val="0"/>
                <w:kern w:val="0"/>
                <w:sz w:val="24"/>
                <w:u w:val="none"/>
              </w:rPr>
              <w:t>许昌市水资源利用总量要求：全市年用水总量控制在10.69亿m</w:t>
            </w:r>
            <w:r>
              <w:rPr>
                <w:b w:val="0"/>
                <w:bCs w:val="0"/>
                <w:kern w:val="0"/>
                <w:sz w:val="24"/>
                <w:u w:val="none"/>
                <w:vertAlign w:val="superscript"/>
              </w:rPr>
              <w:t>3</w:t>
            </w:r>
            <w:r>
              <w:rPr>
                <w:b w:val="0"/>
                <w:bCs w:val="0"/>
                <w:kern w:val="0"/>
                <w:sz w:val="24"/>
                <w:u w:val="none"/>
              </w:rPr>
              <w:t>以内，万元国内生产总值用水量、万元工业增加值用水量分别达到21.6和16.5m</w:t>
            </w:r>
            <w:r>
              <w:rPr>
                <w:b w:val="0"/>
                <w:bCs w:val="0"/>
                <w:kern w:val="0"/>
                <w:sz w:val="24"/>
                <w:u w:val="none"/>
                <w:vertAlign w:val="superscript"/>
              </w:rPr>
              <w:t>3</w:t>
            </w:r>
            <w:r>
              <w:rPr>
                <w:b w:val="0"/>
                <w:bCs w:val="0"/>
                <w:kern w:val="0"/>
                <w:sz w:val="24"/>
                <w:u w:val="none"/>
              </w:rPr>
              <w:t>/万元目标，农田灌溉水有效利用系数提高到0.700以上。2020年全市浅层地下水开采控制在41420万m</w:t>
            </w:r>
            <w:r>
              <w:rPr>
                <w:b w:val="0"/>
                <w:bCs w:val="0"/>
                <w:kern w:val="0"/>
                <w:sz w:val="24"/>
                <w:u w:val="none"/>
                <w:vertAlign w:val="superscript"/>
              </w:rPr>
              <w:t>3</w:t>
            </w:r>
            <w:r>
              <w:rPr>
                <w:b w:val="0"/>
                <w:bCs w:val="0"/>
                <w:kern w:val="0"/>
                <w:sz w:val="24"/>
                <w:u w:val="none"/>
              </w:rPr>
              <w:t>，2030年控制在40220万m</w:t>
            </w:r>
            <w:r>
              <w:rPr>
                <w:b w:val="0"/>
                <w:bCs w:val="0"/>
                <w:kern w:val="0"/>
                <w:sz w:val="24"/>
                <w:u w:val="none"/>
                <w:vertAlign w:val="superscript"/>
              </w:rPr>
              <w:t>3</w:t>
            </w:r>
            <w:r>
              <w:rPr>
                <w:b w:val="0"/>
                <w:bCs w:val="0"/>
                <w:kern w:val="0"/>
                <w:sz w:val="24"/>
                <w:u w:val="none"/>
              </w:rPr>
              <w:t>。</w:t>
            </w:r>
          </w:p>
          <w:p>
            <w:pPr>
              <w:autoSpaceDE w:val="0"/>
              <w:autoSpaceDN w:val="0"/>
              <w:spacing w:line="360" w:lineRule="auto"/>
              <w:ind w:firstLine="480" w:firstLineChars="200"/>
              <w:rPr>
                <w:b w:val="0"/>
                <w:bCs w:val="0"/>
                <w:kern w:val="0"/>
                <w:sz w:val="24"/>
                <w:u w:val="none"/>
              </w:rPr>
            </w:pPr>
            <w:r>
              <w:rPr>
                <w:b w:val="0"/>
                <w:bCs w:val="0"/>
                <w:kern w:val="0"/>
                <w:sz w:val="24"/>
                <w:u w:val="none"/>
              </w:rPr>
              <w:t>许昌市能源利用总量及效率要求：2020年全市煤炭消费总量控制在1155万吨，非电行业控制在670万吨，统调公用燃煤机组控制在485万吨。到2020年，煤炭消费总量较2015年下降13%。到2020年，全市能源消费总量控制在1237万吨标准煤以内。</w:t>
            </w:r>
          </w:p>
          <w:p>
            <w:pPr>
              <w:autoSpaceDE w:val="0"/>
              <w:autoSpaceDN w:val="0"/>
              <w:spacing w:line="360" w:lineRule="auto"/>
              <w:ind w:firstLine="480" w:firstLineChars="200"/>
              <w:rPr>
                <w:b w:val="0"/>
                <w:bCs w:val="0"/>
                <w:kern w:val="0"/>
                <w:sz w:val="24"/>
                <w:u w:val="none"/>
              </w:rPr>
            </w:pPr>
            <w:r>
              <w:rPr>
                <w:b w:val="0"/>
                <w:bCs w:val="0"/>
                <w:kern w:val="0"/>
                <w:sz w:val="24"/>
                <w:u w:val="none"/>
              </w:rPr>
              <w:t>许昌市土地资源开发规模要求：2020年全市耕地保有量344311.83公顷，确保289779.33公顷。基本农田数量不减少、质量有提高；</w:t>
            </w:r>
            <w:r>
              <w:rPr>
                <w:rFonts w:cs="Times New Roman"/>
                <w:highlight w:val="none"/>
              </w:rPr>
              <w:t>2020年全市建设用地规模不超过10.735万hm</w:t>
            </w:r>
            <w:r>
              <w:rPr>
                <w:rFonts w:cs="Times New Roman"/>
                <w:highlight w:val="none"/>
                <w:vertAlign w:val="superscript"/>
              </w:rPr>
              <w:t>2</w:t>
            </w:r>
            <w:r>
              <w:rPr>
                <w:b w:val="0"/>
                <w:bCs w:val="0"/>
                <w:kern w:val="0"/>
                <w:sz w:val="24"/>
                <w:u w:val="none"/>
              </w:rPr>
              <w:t>；人均城镇工矿用地降低到107.00平方米；农村居民点用地减少到52211.80公顷；农用地稳定在381905.01公顷。</w:t>
            </w:r>
          </w:p>
          <w:p>
            <w:pPr>
              <w:autoSpaceDE w:val="0"/>
              <w:autoSpaceDN w:val="0"/>
              <w:spacing w:line="360" w:lineRule="auto"/>
              <w:ind w:firstLine="480" w:firstLineChars="200"/>
              <w:rPr>
                <w:kern w:val="0"/>
                <w:sz w:val="24"/>
              </w:rPr>
            </w:pPr>
            <w:r>
              <w:rPr>
                <w:kern w:val="0"/>
                <w:sz w:val="24"/>
              </w:rPr>
              <w:t>本项目</w:t>
            </w:r>
            <w:r>
              <w:rPr>
                <w:rFonts w:hint="eastAsia"/>
                <w:kern w:val="0"/>
                <w:sz w:val="24"/>
                <w:lang w:val="en-US" w:eastAsia="zh-CN"/>
              </w:rPr>
              <w:t>为迁建项目，根据《许昌市城市总体规划（2015-2030）》，用地为许昌市已规划的工业用地；项目用水、用电均为区域集中供应</w:t>
            </w:r>
            <w:r>
              <w:rPr>
                <w:kern w:val="0"/>
                <w:sz w:val="24"/>
              </w:rPr>
              <w:t>，</w:t>
            </w:r>
            <w:r>
              <w:rPr>
                <w:rFonts w:hint="eastAsia"/>
                <w:kern w:val="0"/>
                <w:sz w:val="24"/>
              </w:rPr>
              <w:t>该区域各项</w:t>
            </w:r>
            <w:r>
              <w:rPr>
                <w:kern w:val="0"/>
                <w:sz w:val="24"/>
              </w:rPr>
              <w:t>能源供应均能够满足本项目需求；同时本项目不使用煤、天然气。</w:t>
            </w:r>
            <w:r>
              <w:rPr>
                <w:rFonts w:hint="eastAsia"/>
                <w:kern w:val="0"/>
                <w:sz w:val="24"/>
              </w:rPr>
              <w:t>项目运行过程通过内部管理、设备选择、原辅材料的选用和管理、污染治理等多方面采取合理可行的防治措施，以“节能、降耗、减污”为目标，有效的控制污染。项目的土地、水、</w:t>
            </w:r>
            <w:r>
              <w:rPr>
                <w:rFonts w:hint="eastAsia"/>
                <w:kern w:val="0"/>
                <w:sz w:val="24"/>
                <w:lang w:val="en-US" w:eastAsia="zh-CN"/>
              </w:rPr>
              <w:t>电</w:t>
            </w:r>
            <w:r>
              <w:rPr>
                <w:rFonts w:hint="eastAsia"/>
                <w:kern w:val="0"/>
                <w:sz w:val="24"/>
              </w:rPr>
              <w:t>等资源利用不会突破区域的资源利用上线。</w:t>
            </w:r>
            <w:r>
              <w:rPr>
                <w:kern w:val="0"/>
                <w:sz w:val="24"/>
              </w:rPr>
              <w:t>因此本项目建设满足资源利用上线要求。</w:t>
            </w:r>
          </w:p>
          <w:p>
            <w:pPr>
              <w:autoSpaceDE w:val="0"/>
              <w:autoSpaceDN w:val="0"/>
              <w:spacing w:line="360" w:lineRule="auto"/>
              <w:ind w:firstLine="482" w:firstLineChars="200"/>
              <w:rPr>
                <w:b/>
                <w:bCs/>
                <w:kern w:val="0"/>
                <w:sz w:val="24"/>
              </w:rPr>
            </w:pPr>
            <w:r>
              <w:rPr>
                <w:b/>
                <w:bCs/>
                <w:kern w:val="0"/>
                <w:sz w:val="24"/>
              </w:rPr>
              <w:t>（4）</w:t>
            </w:r>
            <w:r>
              <w:rPr>
                <w:rFonts w:hint="eastAsia"/>
                <w:b/>
                <w:bCs/>
                <w:kern w:val="0"/>
                <w:sz w:val="24"/>
              </w:rPr>
              <w:t>环境准入清单</w:t>
            </w:r>
          </w:p>
          <w:p>
            <w:pPr>
              <w:autoSpaceDE w:val="0"/>
              <w:autoSpaceDN w:val="0"/>
              <w:spacing w:line="360" w:lineRule="auto"/>
              <w:ind w:firstLine="480" w:firstLineChars="200"/>
              <w:rPr>
                <w:rFonts w:hint="eastAsia" w:ascii="宋体" w:hAnsi="宋体" w:cs="宋体"/>
                <w:kern w:val="0"/>
                <w:sz w:val="24"/>
              </w:rPr>
            </w:pPr>
            <w:r>
              <w:rPr>
                <w:rFonts w:hint="eastAsia"/>
                <w:lang w:val="en-US" w:eastAsia="zh-CN"/>
              </w:rPr>
              <w:t>本项目位于许昌市城乡一体化示范区高新技术产业园东北角，对照《许昌市生态环境准入清单》（2021年修订稿），项目位于重点管控单元范围内，与</w:t>
            </w:r>
            <w:bookmarkStart w:id="0" w:name="_Toc45465838"/>
            <w:r>
              <w:rPr>
                <w:color w:val="auto"/>
                <w:highlight w:val="none"/>
              </w:rPr>
              <w:t>许昌市生态环境总体准入要求</w:t>
            </w:r>
            <w:bookmarkEnd w:id="0"/>
            <w:r>
              <w:rPr>
                <w:rFonts w:hint="eastAsia"/>
                <w:color w:val="auto"/>
                <w:highlight w:val="none"/>
                <w:lang w:val="en-US" w:eastAsia="zh-CN"/>
              </w:rPr>
              <w:t>相符性分析见表1-1。</w:t>
            </w:r>
          </w:p>
          <w:p>
            <w:pPr>
              <w:pStyle w:val="12"/>
              <w:widowControl w:val="0"/>
              <w:bidi w:val="0"/>
              <w:rPr>
                <w:rFonts w:hint="default"/>
                <w:lang w:val="en-US" w:eastAsia="zh-CN"/>
              </w:rPr>
            </w:pPr>
            <w:r>
              <w:rPr>
                <w:rFonts w:hint="eastAsia"/>
                <w:lang w:val="en-US" w:eastAsia="zh-CN"/>
              </w:rPr>
              <w:t>表1-1   本项目与</w:t>
            </w:r>
            <w:r>
              <w:t>许昌市生态环境总体准入要求</w:t>
            </w:r>
            <w:r>
              <w:rPr>
                <w:rFonts w:hint="eastAsia"/>
                <w:lang w:val="en-US" w:eastAsia="zh-CN"/>
              </w:rPr>
              <w:t>相符性分析一览表</w:t>
            </w:r>
          </w:p>
          <w:tbl>
            <w:tblPr>
              <w:tblStyle w:val="9"/>
              <w:tblW w:w="8310"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41"/>
              <w:gridCol w:w="645"/>
              <w:gridCol w:w="5325"/>
              <w:gridCol w:w="16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pStyle w:val="11"/>
                    <w:bidi w:val="0"/>
                    <w:jc w:val="center"/>
                    <w:rPr>
                      <w:rFonts w:hint="default"/>
                      <w:lang w:val="en-US" w:eastAsia="zh-CN"/>
                    </w:rPr>
                  </w:pPr>
                  <w:r>
                    <w:rPr>
                      <w:rFonts w:hint="eastAsia"/>
                      <w:lang w:val="en-US" w:eastAsia="zh-CN"/>
                    </w:rPr>
                    <w:t>维度</w:t>
                  </w:r>
                </w:p>
              </w:tc>
              <w:tc>
                <w:tcPr>
                  <w:tcW w:w="5970" w:type="dxa"/>
                  <w:gridSpan w:val="2"/>
                  <w:vAlign w:val="center"/>
                </w:tcPr>
                <w:p>
                  <w:pPr>
                    <w:pStyle w:val="11"/>
                    <w:bidi w:val="0"/>
                    <w:jc w:val="center"/>
                    <w:rPr>
                      <w:rFonts w:hint="eastAsia"/>
                      <w:lang w:val="en-US" w:eastAsia="zh-CN"/>
                    </w:rPr>
                  </w:pPr>
                  <w:r>
                    <w:rPr>
                      <w:rFonts w:hint="eastAsia"/>
                      <w:lang w:val="en-US" w:eastAsia="zh-CN"/>
                    </w:rPr>
                    <w:t>管控要求</w:t>
                  </w:r>
                </w:p>
              </w:tc>
              <w:tc>
                <w:tcPr>
                  <w:tcW w:w="1699" w:type="dxa"/>
                  <w:vAlign w:val="center"/>
                </w:tcPr>
                <w:p>
                  <w:pPr>
                    <w:pStyle w:val="11"/>
                    <w:bidi w:val="0"/>
                    <w:jc w:val="center"/>
                    <w:rPr>
                      <w:rFonts w:hint="default"/>
                      <w:lang w:val="en-US" w:eastAsia="zh-CN"/>
                    </w:rPr>
                  </w:pPr>
                  <w:r>
                    <w:rPr>
                      <w:rFonts w:hint="eastAsia"/>
                      <w:lang w:val="en-US" w:eastAsia="zh-CN"/>
                    </w:rPr>
                    <w:t>本项目情况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vMerge w:val="restart"/>
                  <w:vAlign w:val="center"/>
                </w:tcPr>
                <w:p>
                  <w:pPr>
                    <w:pStyle w:val="11"/>
                    <w:bidi w:val="0"/>
                    <w:jc w:val="center"/>
                    <w:rPr>
                      <w:rFonts w:hint="eastAsia"/>
                      <w:lang w:val="en-US" w:eastAsia="zh-CN"/>
                    </w:rPr>
                  </w:pPr>
                  <w:r>
                    <w:rPr>
                      <w:rFonts w:cs="Times New Roman"/>
                      <w:highlight w:val="none"/>
                    </w:rPr>
                    <w:t>空间布局约束</w:t>
                  </w:r>
                </w:p>
              </w:tc>
              <w:tc>
                <w:tcPr>
                  <w:tcW w:w="645" w:type="dxa"/>
                  <w:vMerge w:val="restart"/>
                  <w:vAlign w:val="center"/>
                </w:tcPr>
                <w:p>
                  <w:pPr>
                    <w:pStyle w:val="11"/>
                    <w:bidi w:val="0"/>
                    <w:jc w:val="center"/>
                    <w:rPr>
                      <w:rFonts w:hint="eastAsia"/>
                      <w:lang w:val="en-US" w:eastAsia="zh-CN"/>
                    </w:rPr>
                  </w:pPr>
                  <w:r>
                    <w:rPr>
                      <w:rFonts w:cs="Times New Roman"/>
                      <w:highlight w:val="none"/>
                    </w:rPr>
                    <w:t>禁止开发建设活动</w:t>
                  </w:r>
                </w:p>
              </w:tc>
              <w:tc>
                <w:tcPr>
                  <w:tcW w:w="5325" w:type="dxa"/>
                  <w:vAlign w:val="center"/>
                </w:tcPr>
                <w:p>
                  <w:pPr>
                    <w:pStyle w:val="11"/>
                    <w:bidi w:val="0"/>
                    <w:jc w:val="both"/>
                    <w:rPr>
                      <w:rFonts w:hint="eastAsia"/>
                      <w:lang w:val="en-US" w:eastAsia="zh-CN"/>
                    </w:rPr>
                  </w:pPr>
                  <w:r>
                    <w:rPr>
                      <w:rFonts w:cs="Times New Roman"/>
                      <w:bCs/>
                      <w:szCs w:val="20"/>
                      <w:highlight w:val="none"/>
                    </w:rPr>
                    <w:t>环境空气质量未达标的县（市、区）应制定更严格的产业准入门槛。</w:t>
                  </w:r>
                  <w:r>
                    <w:rPr>
                      <w:rFonts w:hint="eastAsia" w:cs="Times New Roman"/>
                      <w:bCs/>
                      <w:szCs w:val="20"/>
                      <w:highlight w:val="none"/>
                    </w:rPr>
                    <w:t>严格限制两高项目盲目发展</w:t>
                  </w:r>
                  <w:r>
                    <w:rPr>
                      <w:rFonts w:hint="eastAsia" w:cs="Times New Roman"/>
                      <w:bCs/>
                      <w:szCs w:val="20"/>
                      <w:highlight w:val="none"/>
                      <w:lang w:eastAsia="zh-CN"/>
                    </w:rPr>
                    <w:t>，全市</w:t>
                  </w:r>
                  <w:r>
                    <w:rPr>
                      <w:rFonts w:hint="eastAsia" w:cs="Times New Roman"/>
                      <w:bCs/>
                      <w:szCs w:val="20"/>
                      <w:highlight w:val="none"/>
                    </w:rPr>
                    <w:t>原则上禁止新建、扩建单纯新增产能的钢铁、电解铝、水泥、平板玻璃、传统煤化工（甲醇、合成氨）、焦化、铸造、铝用炭素、耐火材料制品、砖瓦窑、铅锌冶炼（含再生铅）等高耗能、高排放和产能过剩的产业项目</w:t>
                  </w:r>
                  <w:r>
                    <w:rPr>
                      <w:rFonts w:hint="eastAsia" w:cs="Times New Roman"/>
                      <w:bCs/>
                      <w:szCs w:val="20"/>
                      <w:highlight w:val="none"/>
                      <w:lang w:eastAsia="zh-CN"/>
                    </w:rPr>
                    <w:t>（符合国家、省产能布局的除外）</w:t>
                  </w:r>
                  <w:r>
                    <w:rPr>
                      <w:rFonts w:cs="Times New Roman"/>
                      <w:bCs/>
                      <w:szCs w:val="20"/>
                      <w:highlight w:val="none"/>
                    </w:rPr>
                    <w:t>。</w:t>
                  </w:r>
                  <w:r>
                    <w:rPr>
                      <w:rFonts w:hint="eastAsia" w:cs="Times New Roman"/>
                      <w:bCs/>
                      <w:szCs w:val="20"/>
                      <w:highlight w:val="none"/>
                      <w:lang w:eastAsia="zh-CN"/>
                    </w:rPr>
                    <w:t>禁止陶瓷等行业新建、扩建以煤炭为燃料的项目，禁止新建燃料类煤气发生炉和</w:t>
                  </w:r>
                  <w:r>
                    <w:rPr>
                      <w:rFonts w:hint="eastAsia" w:cs="Times New Roman"/>
                      <w:bCs/>
                      <w:szCs w:val="20"/>
                      <w:highlight w:val="none"/>
                      <w:lang w:val="en-US" w:eastAsia="zh-CN"/>
                    </w:rPr>
                    <w:t>35蒸吨/时及以下燃煤锅炉。</w:t>
                  </w:r>
                </w:p>
              </w:tc>
              <w:tc>
                <w:tcPr>
                  <w:tcW w:w="1699" w:type="dxa"/>
                  <w:vAlign w:val="center"/>
                </w:tcPr>
                <w:p>
                  <w:pPr>
                    <w:pStyle w:val="11"/>
                    <w:bidi w:val="0"/>
                    <w:jc w:val="center"/>
                    <w:rPr>
                      <w:rFonts w:hint="default"/>
                      <w:lang w:val="en-US" w:eastAsia="zh-CN"/>
                    </w:rPr>
                  </w:pPr>
                  <w:r>
                    <w:rPr>
                      <w:rFonts w:hint="eastAsia"/>
                      <w:lang w:val="en-US" w:eastAsia="zh-CN"/>
                    </w:rPr>
                    <w:t>本项目属于绝缘材料制造和其他电工材料制造行业</w:t>
                  </w:r>
                  <w:r>
                    <w:rPr>
                      <w:rFonts w:hint="eastAsia"/>
                      <w:color w:val="auto"/>
                      <w:lang w:val="en-US" w:eastAsia="zh-CN"/>
                    </w:rPr>
                    <w:t>，不属于高耗能、高污染行业，且不以煤炭为燃料。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vMerge w:val="continue"/>
                  <w:vAlign w:val="center"/>
                </w:tcPr>
                <w:p>
                  <w:pPr>
                    <w:pStyle w:val="11"/>
                    <w:bidi w:val="0"/>
                    <w:jc w:val="center"/>
                    <w:rPr>
                      <w:rFonts w:hint="eastAsia"/>
                      <w:lang w:val="en-US" w:eastAsia="zh-CN"/>
                    </w:rPr>
                  </w:pPr>
                </w:p>
              </w:tc>
              <w:tc>
                <w:tcPr>
                  <w:tcW w:w="645" w:type="dxa"/>
                  <w:vMerge w:val="continue"/>
                  <w:vAlign w:val="center"/>
                </w:tcPr>
                <w:p>
                  <w:pPr>
                    <w:pStyle w:val="11"/>
                    <w:bidi w:val="0"/>
                    <w:jc w:val="center"/>
                    <w:rPr>
                      <w:rFonts w:hint="eastAsia"/>
                      <w:lang w:val="en-US" w:eastAsia="zh-CN"/>
                    </w:rPr>
                  </w:pPr>
                </w:p>
              </w:tc>
              <w:tc>
                <w:tcPr>
                  <w:tcW w:w="5325" w:type="dxa"/>
                  <w:vAlign w:val="center"/>
                </w:tcPr>
                <w:p>
                  <w:pPr>
                    <w:pStyle w:val="11"/>
                    <w:bidi w:val="0"/>
                    <w:jc w:val="both"/>
                    <w:rPr>
                      <w:rFonts w:hint="eastAsia"/>
                      <w:lang w:val="en-US" w:eastAsia="zh-CN"/>
                    </w:rPr>
                  </w:pPr>
                  <w:r>
                    <w:rPr>
                      <w:rFonts w:cs="Times New Roman"/>
                      <w:highlight w:val="none"/>
                    </w:rPr>
                    <w:t>基本农田保护区、地质灾害易发区、地下矿藏分布区、文物保护单位的保护范围、地下文物埋藏区、水源一级保护区、主要行洪通道、大型基础设施廊道及其控制带为禁止建设区。</w:t>
                  </w:r>
                </w:p>
              </w:tc>
              <w:tc>
                <w:tcPr>
                  <w:tcW w:w="1699" w:type="dxa"/>
                  <w:vAlign w:val="center"/>
                </w:tcPr>
                <w:p>
                  <w:pPr>
                    <w:pStyle w:val="11"/>
                    <w:bidi w:val="0"/>
                    <w:jc w:val="center"/>
                    <w:rPr>
                      <w:rFonts w:hint="default"/>
                      <w:lang w:val="en-US" w:eastAsia="zh-CN"/>
                    </w:rPr>
                  </w:pPr>
                  <w:r>
                    <w:rPr>
                      <w:rFonts w:hint="eastAsia"/>
                      <w:lang w:val="en-US" w:eastAsia="zh-CN"/>
                    </w:rPr>
                    <w:t>项目不在标准规定的各类保护区及其控制带范围内。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vMerge w:val="continue"/>
                  <w:vAlign w:val="center"/>
                </w:tcPr>
                <w:p>
                  <w:pPr>
                    <w:pStyle w:val="11"/>
                    <w:bidi w:val="0"/>
                    <w:jc w:val="center"/>
                    <w:rPr>
                      <w:rFonts w:hint="eastAsia"/>
                      <w:lang w:val="en-US" w:eastAsia="zh-CN"/>
                    </w:rPr>
                  </w:pPr>
                </w:p>
              </w:tc>
              <w:tc>
                <w:tcPr>
                  <w:tcW w:w="645" w:type="dxa"/>
                  <w:vMerge w:val="continue"/>
                  <w:vAlign w:val="center"/>
                </w:tcPr>
                <w:p>
                  <w:pPr>
                    <w:pStyle w:val="11"/>
                    <w:bidi w:val="0"/>
                    <w:jc w:val="center"/>
                    <w:rPr>
                      <w:rFonts w:hint="eastAsia"/>
                      <w:lang w:val="en-US" w:eastAsia="zh-CN"/>
                    </w:rPr>
                  </w:pPr>
                </w:p>
              </w:tc>
              <w:tc>
                <w:tcPr>
                  <w:tcW w:w="5325" w:type="dxa"/>
                  <w:vAlign w:val="center"/>
                </w:tcPr>
                <w:p>
                  <w:pPr>
                    <w:pStyle w:val="11"/>
                    <w:bidi w:val="0"/>
                    <w:jc w:val="both"/>
                    <w:rPr>
                      <w:rFonts w:hint="eastAsia"/>
                      <w:lang w:val="en-US" w:eastAsia="zh-CN"/>
                    </w:rPr>
                  </w:pPr>
                  <w:r>
                    <w:rPr>
                      <w:rFonts w:cs="Times New Roman"/>
                      <w:highlight w:val="none"/>
                    </w:rPr>
                    <w:t>地表水饮用水源保护区、南水北调中线工程一级保护区、地下水</w:t>
                  </w:r>
                  <w:r>
                    <w:rPr>
                      <w:rFonts w:hint="eastAsia" w:cs="Times New Roman"/>
                      <w:highlight w:val="none"/>
                      <w:lang w:val="en-US" w:eastAsia="zh-CN"/>
                    </w:rPr>
                    <w:t>饮用水</w:t>
                  </w:r>
                  <w:r>
                    <w:rPr>
                      <w:rFonts w:cs="Times New Roman"/>
                      <w:highlight w:val="none"/>
                    </w:rPr>
                    <w:t>源、河湖湿地等水源保护地禁止一切可能导致江河源头退化的开发活动和产生水环境污染的工程建设项目；进入饮用水源水体的水质应达</w:t>
                  </w:r>
                  <w:r>
                    <w:rPr>
                      <w:rFonts w:cs="Times New Roman"/>
                      <w:color w:val="auto"/>
                      <w:highlight w:val="none"/>
                    </w:rPr>
                    <w:t>到</w:t>
                  </w:r>
                  <w:r>
                    <w:rPr>
                      <w:rFonts w:hint="eastAsia" w:cs="Times New Roman"/>
                      <w:color w:val="auto"/>
                      <w:highlight w:val="none"/>
                    </w:rPr>
                    <w:t>Ⅲ</w:t>
                  </w:r>
                  <w:r>
                    <w:rPr>
                      <w:rFonts w:cs="Times New Roman"/>
                      <w:color w:val="auto"/>
                      <w:highlight w:val="none"/>
                    </w:rPr>
                    <w:t>类</w:t>
                  </w:r>
                  <w:r>
                    <w:rPr>
                      <w:rFonts w:cs="Times New Roman"/>
                      <w:highlight w:val="none"/>
                    </w:rPr>
                    <w:t>标准。</w:t>
                  </w:r>
                </w:p>
              </w:tc>
              <w:tc>
                <w:tcPr>
                  <w:tcW w:w="1699" w:type="dxa"/>
                  <w:vAlign w:val="center"/>
                </w:tcPr>
                <w:p>
                  <w:pPr>
                    <w:pStyle w:val="11"/>
                    <w:bidi w:val="0"/>
                    <w:jc w:val="center"/>
                    <w:rPr>
                      <w:rFonts w:hint="default"/>
                      <w:lang w:val="en-US" w:eastAsia="zh-CN"/>
                    </w:rPr>
                  </w:pPr>
                  <w:r>
                    <w:rPr>
                      <w:rFonts w:hint="eastAsia"/>
                      <w:lang w:val="en-US" w:eastAsia="zh-CN"/>
                    </w:rPr>
                    <w:t>项目不在</w:t>
                  </w:r>
                  <w:r>
                    <w:rPr>
                      <w:rFonts w:hint="eastAsia" w:cs="Times New Roman"/>
                      <w:highlight w:val="none"/>
                      <w:lang w:val="en-US" w:eastAsia="zh-CN"/>
                    </w:rPr>
                    <w:t>各类饮用</w:t>
                  </w:r>
                  <w:r>
                    <w:rPr>
                      <w:rFonts w:cs="Times New Roman"/>
                      <w:highlight w:val="none"/>
                    </w:rPr>
                    <w:t>水源地</w:t>
                  </w:r>
                  <w:r>
                    <w:rPr>
                      <w:rFonts w:hint="eastAsia"/>
                      <w:lang w:val="en-US" w:eastAsia="zh-CN"/>
                    </w:rPr>
                    <w:t>保护区范围内。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vMerge w:val="continue"/>
                  <w:vAlign w:val="center"/>
                </w:tcPr>
                <w:p>
                  <w:pPr>
                    <w:pStyle w:val="11"/>
                    <w:bidi w:val="0"/>
                    <w:jc w:val="center"/>
                    <w:rPr>
                      <w:rFonts w:hint="eastAsia"/>
                      <w:lang w:val="en-US" w:eastAsia="zh-CN"/>
                    </w:rPr>
                  </w:pPr>
                </w:p>
              </w:tc>
              <w:tc>
                <w:tcPr>
                  <w:tcW w:w="645" w:type="dxa"/>
                  <w:vMerge w:val="continue"/>
                  <w:vAlign w:val="center"/>
                </w:tcPr>
                <w:p>
                  <w:pPr>
                    <w:pStyle w:val="11"/>
                    <w:bidi w:val="0"/>
                    <w:jc w:val="center"/>
                    <w:rPr>
                      <w:rFonts w:hint="eastAsia"/>
                      <w:lang w:val="en-US" w:eastAsia="zh-CN"/>
                    </w:rPr>
                  </w:pPr>
                </w:p>
              </w:tc>
              <w:tc>
                <w:tcPr>
                  <w:tcW w:w="5325" w:type="dxa"/>
                  <w:vAlign w:val="center"/>
                </w:tcPr>
                <w:p>
                  <w:pPr>
                    <w:pStyle w:val="11"/>
                    <w:bidi w:val="0"/>
                    <w:jc w:val="both"/>
                    <w:rPr>
                      <w:rFonts w:hint="eastAsia"/>
                      <w:lang w:val="en-US" w:eastAsia="zh-CN"/>
                    </w:rPr>
                  </w:pPr>
                  <w:r>
                    <w:rPr>
                      <w:rFonts w:cs="Times New Roman"/>
                      <w:highlight w:val="none"/>
                    </w:rPr>
                    <w:t>南水北调中线工程许昌段饮用水水源保护区内，禁止设置排污口；禁止使用剧毒和高残留农药，不得滥用化肥；禁止利用渗坑、渗井、裂隙等排放污水和其他有害废弃物。在一级保护区内，禁止新建、改建、扩建与供水设施和保护水源无关的建设项目</w:t>
                  </w:r>
                  <w:r>
                    <w:rPr>
                      <w:rFonts w:hint="eastAsia" w:cs="Times New Roman"/>
                      <w:highlight w:val="none"/>
                      <w:lang w:eastAsia="zh-CN"/>
                    </w:rPr>
                    <w:t>；</w:t>
                  </w:r>
                  <w:r>
                    <w:rPr>
                      <w:rFonts w:cs="Times New Roman"/>
                      <w:highlight w:val="none"/>
                    </w:rPr>
                    <w:t>在二级保护区内，禁止新建、改建、扩建排放污染物的建设项目。</w:t>
                  </w:r>
                </w:p>
              </w:tc>
              <w:tc>
                <w:tcPr>
                  <w:tcW w:w="1699" w:type="dxa"/>
                  <w:vAlign w:val="center"/>
                </w:tcPr>
                <w:p>
                  <w:pPr>
                    <w:pStyle w:val="11"/>
                    <w:bidi w:val="0"/>
                    <w:jc w:val="center"/>
                    <w:rPr>
                      <w:rFonts w:hint="eastAsia" w:eastAsia="宋体"/>
                      <w:lang w:val="en-US" w:eastAsia="zh-CN"/>
                    </w:rPr>
                  </w:pPr>
                  <w:r>
                    <w:rPr>
                      <w:rFonts w:hint="eastAsia"/>
                      <w:lang w:val="en-US" w:eastAsia="zh-CN"/>
                    </w:rPr>
                    <w:t>项目不在南水北调</w:t>
                  </w:r>
                  <w:r>
                    <w:rPr>
                      <w:rFonts w:cs="Times New Roman"/>
                      <w:highlight w:val="none"/>
                    </w:rPr>
                    <w:t>中线工程许昌段饮用水水源保护区</w:t>
                  </w:r>
                  <w:r>
                    <w:rPr>
                      <w:rFonts w:hint="eastAsia" w:cs="Times New Roman"/>
                      <w:highlight w:val="none"/>
                      <w:lang w:val="en-US" w:eastAsia="zh-CN"/>
                    </w:rPr>
                    <w:t>范围内。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vMerge w:val="continue"/>
                  <w:vAlign w:val="center"/>
                </w:tcPr>
                <w:p>
                  <w:pPr>
                    <w:pStyle w:val="11"/>
                    <w:bidi w:val="0"/>
                    <w:jc w:val="center"/>
                    <w:rPr>
                      <w:rFonts w:hint="eastAsia"/>
                      <w:lang w:val="en-US" w:eastAsia="zh-CN"/>
                    </w:rPr>
                  </w:pPr>
                </w:p>
              </w:tc>
              <w:tc>
                <w:tcPr>
                  <w:tcW w:w="645" w:type="dxa"/>
                  <w:vAlign w:val="center"/>
                </w:tcPr>
                <w:p>
                  <w:pPr>
                    <w:pStyle w:val="11"/>
                    <w:bidi w:val="0"/>
                    <w:jc w:val="center"/>
                    <w:rPr>
                      <w:rFonts w:hint="eastAsia"/>
                      <w:lang w:val="en-US" w:eastAsia="zh-CN"/>
                    </w:rPr>
                  </w:pPr>
                  <w:r>
                    <w:rPr>
                      <w:rFonts w:cs="Times New Roman"/>
                      <w:highlight w:val="none"/>
                    </w:rPr>
                    <w:t>限制开发建设活动</w:t>
                  </w:r>
                </w:p>
              </w:tc>
              <w:tc>
                <w:tcPr>
                  <w:tcW w:w="5325" w:type="dxa"/>
                  <w:vAlign w:val="center"/>
                </w:tcPr>
                <w:p>
                  <w:pPr>
                    <w:pStyle w:val="11"/>
                    <w:bidi w:val="0"/>
                    <w:jc w:val="both"/>
                    <w:rPr>
                      <w:rFonts w:hint="eastAsia"/>
                      <w:lang w:val="en-US" w:eastAsia="zh-CN"/>
                    </w:rPr>
                  </w:pPr>
                  <w:r>
                    <w:rPr>
                      <w:rFonts w:cs="Times New Roman"/>
                      <w:highlight w:val="none"/>
                    </w:rPr>
                    <w:t>执行《许昌市矿产资源总体规划（2008-2020年）》中确定的许昌市主要矿山开采规模要求，例如，铝土矿（露天）最低开采规模（大型不低于100万吨/年，中型不低于30万吨/年，小型不低于6万吨/年）；水泥用灰岩最低开采规模（大型不低于100万吨/年，中型不低于50万吨/年，小型不低于25万吨/年）等。</w:t>
                  </w:r>
                </w:p>
              </w:tc>
              <w:tc>
                <w:tcPr>
                  <w:tcW w:w="1699" w:type="dxa"/>
                  <w:vAlign w:val="center"/>
                </w:tcPr>
                <w:p>
                  <w:pPr>
                    <w:pStyle w:val="11"/>
                    <w:bidi w:val="0"/>
                    <w:jc w:val="center"/>
                    <w:rPr>
                      <w:rFonts w:hint="eastAsia"/>
                      <w:lang w:val="en-US" w:eastAsia="zh-CN"/>
                    </w:rPr>
                  </w:pPr>
                  <w:r>
                    <w:rPr>
                      <w:rFonts w:hint="eastAsia"/>
                      <w:lang w:val="en-US" w:eastAsia="zh-CN"/>
                    </w:rPr>
                    <w:t>本项目不属于矿山开采行业，因此不属于许昌市限制的开发建设活动。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vMerge w:val="continue"/>
                  <w:vAlign w:val="center"/>
                </w:tcPr>
                <w:p>
                  <w:pPr>
                    <w:pStyle w:val="11"/>
                    <w:bidi w:val="0"/>
                    <w:jc w:val="center"/>
                    <w:rPr>
                      <w:rFonts w:hint="eastAsia"/>
                      <w:lang w:val="en-US" w:eastAsia="zh-CN"/>
                    </w:rPr>
                  </w:pPr>
                </w:p>
              </w:tc>
              <w:tc>
                <w:tcPr>
                  <w:tcW w:w="645" w:type="dxa"/>
                  <w:vAlign w:val="center"/>
                </w:tcPr>
                <w:p>
                  <w:pPr>
                    <w:pStyle w:val="11"/>
                    <w:bidi w:val="0"/>
                    <w:jc w:val="center"/>
                    <w:rPr>
                      <w:rFonts w:hint="eastAsia"/>
                      <w:lang w:val="en-US" w:eastAsia="zh-CN"/>
                    </w:rPr>
                  </w:pPr>
                  <w:r>
                    <w:rPr>
                      <w:rFonts w:cs="Times New Roman"/>
                      <w:highlight w:val="none"/>
                    </w:rPr>
                    <w:t>不符合空间布局活动</w:t>
                  </w:r>
                </w:p>
              </w:tc>
              <w:tc>
                <w:tcPr>
                  <w:tcW w:w="5325" w:type="dxa"/>
                  <w:vAlign w:val="center"/>
                </w:tcPr>
                <w:p>
                  <w:pPr>
                    <w:pStyle w:val="11"/>
                    <w:bidi w:val="0"/>
                    <w:jc w:val="both"/>
                    <w:rPr>
                      <w:rFonts w:hint="eastAsia"/>
                      <w:lang w:val="en-US" w:eastAsia="zh-CN"/>
                    </w:rPr>
                  </w:pPr>
                  <w:r>
                    <w:rPr>
                      <w:rFonts w:cs="Times New Roman"/>
                      <w:color w:val="000000"/>
                      <w:highlight w:val="none"/>
                    </w:rPr>
                    <w:t>农业用地区、文物建设控制地带、水源二级保护区、生态环境屏障区（包括山区、林地以及城市间的生态廊道等）、地质灾害中易发区等为限制建设区</w:t>
                  </w:r>
                  <w:r>
                    <w:rPr>
                      <w:rFonts w:hint="eastAsia" w:cs="Times New Roman"/>
                      <w:color w:val="000000"/>
                      <w:highlight w:val="none"/>
                      <w:lang w:eastAsia="zh-CN"/>
                    </w:rPr>
                    <w:t>。</w:t>
                  </w:r>
                  <w:r>
                    <w:rPr>
                      <w:rFonts w:hint="eastAsia" w:cs="Times New Roman"/>
                      <w:color w:val="000000"/>
                      <w:highlight w:val="none"/>
                      <w:lang w:val="en-US" w:eastAsia="zh-CN"/>
                    </w:rPr>
                    <w:t>不符合空间布局要求的项目逐步退出</w:t>
                  </w:r>
                  <w:r>
                    <w:rPr>
                      <w:rFonts w:cs="Times New Roman"/>
                      <w:color w:val="000000"/>
                      <w:highlight w:val="none"/>
                    </w:rPr>
                    <w:t>。</w:t>
                  </w:r>
                </w:p>
              </w:tc>
              <w:tc>
                <w:tcPr>
                  <w:tcW w:w="1699" w:type="dxa"/>
                  <w:vAlign w:val="center"/>
                </w:tcPr>
                <w:p>
                  <w:pPr>
                    <w:pStyle w:val="11"/>
                    <w:bidi w:val="0"/>
                    <w:jc w:val="center"/>
                    <w:rPr>
                      <w:rFonts w:hint="eastAsia"/>
                      <w:lang w:val="en-US" w:eastAsia="zh-CN"/>
                    </w:rPr>
                  </w:pPr>
                  <w:r>
                    <w:rPr>
                      <w:rFonts w:hint="eastAsia"/>
                      <w:lang w:val="en-US" w:eastAsia="zh-CN"/>
                    </w:rPr>
                    <w:t>本项目不在各类空间布局禁止开发区域范围内，符合空间布局要求。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pStyle w:val="11"/>
                    <w:bidi w:val="0"/>
                    <w:jc w:val="center"/>
                    <w:rPr>
                      <w:rFonts w:hint="eastAsia"/>
                      <w:lang w:val="en-US" w:eastAsia="zh-CN"/>
                    </w:rPr>
                  </w:pPr>
                  <w:r>
                    <w:rPr>
                      <w:rFonts w:cs="Times New Roman"/>
                      <w:highlight w:val="none"/>
                    </w:rPr>
                    <w:t>污染物排放管控</w:t>
                  </w:r>
                </w:p>
              </w:tc>
              <w:tc>
                <w:tcPr>
                  <w:tcW w:w="645" w:type="dxa"/>
                  <w:vAlign w:val="center"/>
                </w:tcPr>
                <w:p>
                  <w:pPr>
                    <w:pStyle w:val="11"/>
                    <w:bidi w:val="0"/>
                    <w:jc w:val="center"/>
                    <w:rPr>
                      <w:rFonts w:hint="eastAsia"/>
                      <w:lang w:val="en-US" w:eastAsia="zh-CN"/>
                    </w:rPr>
                  </w:pPr>
                  <w:r>
                    <w:rPr>
                      <w:rFonts w:cs="Times New Roman"/>
                      <w:highlight w:val="none"/>
                    </w:rPr>
                    <w:t>现有源提标升级改造</w:t>
                  </w:r>
                </w:p>
              </w:tc>
              <w:tc>
                <w:tcPr>
                  <w:tcW w:w="5325" w:type="dxa"/>
                  <w:vAlign w:val="center"/>
                </w:tcPr>
                <w:p>
                  <w:pPr>
                    <w:pStyle w:val="11"/>
                    <w:bidi w:val="0"/>
                    <w:jc w:val="both"/>
                    <w:rPr>
                      <w:rFonts w:hint="eastAsia"/>
                      <w:lang w:val="en-US" w:eastAsia="zh-CN"/>
                    </w:rPr>
                  </w:pPr>
                  <w:r>
                    <w:rPr>
                      <w:rFonts w:hint="eastAsia"/>
                      <w:lang w:val="en-US" w:eastAsia="zh-CN"/>
                    </w:rPr>
                    <w:t>推进重点行业绩效分级管理，2021年年底前，重点行业绩效分级A、B级企业力争不低于20%，全省范围内基本消除D级企业；2025年年底前，重点行业绩效分级A、B级企业力争达到70%。</w:t>
                  </w:r>
                </w:p>
                <w:p>
                  <w:pPr>
                    <w:pStyle w:val="11"/>
                    <w:bidi w:val="0"/>
                    <w:jc w:val="both"/>
                    <w:rPr>
                      <w:rFonts w:hint="eastAsia"/>
                      <w:lang w:val="en-US" w:eastAsia="zh-CN"/>
                    </w:rPr>
                  </w:pPr>
                  <w:r>
                    <w:rPr>
                      <w:rFonts w:hint="eastAsia"/>
                      <w:lang w:val="en-US" w:eastAsia="zh-CN"/>
                    </w:rPr>
                    <w:t>持续推进污水处理厂建设，沿清潩河流域新建或扩建城镇污水处理厂出水水质主要指标应达到IV类水标准；其他污水处理厂出水水质主要指标应达到或优于V类水标准；污水处理厂其他出水水质指标应达到或优于一级A排放标准。具备条件的污水处理厂应建设尾水人工湿地。</w:t>
                  </w:r>
                </w:p>
                <w:p>
                  <w:pPr>
                    <w:pStyle w:val="11"/>
                    <w:bidi w:val="0"/>
                    <w:jc w:val="both"/>
                    <w:rPr>
                      <w:rFonts w:hint="eastAsia"/>
                      <w:lang w:val="en-US" w:eastAsia="zh-CN"/>
                    </w:rPr>
                  </w:pPr>
                  <w:r>
                    <w:rPr>
                      <w:rFonts w:hint="eastAsia"/>
                      <w:lang w:val="en-US" w:eastAsia="zh-CN"/>
                    </w:rPr>
                    <w:t>优化调整货物运输结构，大幅提升铁路货运比例，逐步淘汰国三及以下排放标准柴油货车，持续开展车辆更新工作。</w:t>
                  </w:r>
                </w:p>
              </w:tc>
              <w:tc>
                <w:tcPr>
                  <w:tcW w:w="1699" w:type="dxa"/>
                  <w:vAlign w:val="center"/>
                </w:tcPr>
                <w:p>
                  <w:pPr>
                    <w:pStyle w:val="11"/>
                    <w:bidi w:val="0"/>
                    <w:jc w:val="center"/>
                    <w:rPr>
                      <w:rFonts w:hint="default"/>
                      <w:lang w:val="en-US" w:eastAsia="zh-CN"/>
                    </w:rPr>
                  </w:pPr>
                  <w:r>
                    <w:rPr>
                      <w:rFonts w:hint="eastAsia"/>
                      <w:lang w:val="en-US" w:eastAsia="zh-CN"/>
                    </w:rPr>
                    <w:t>项目将按照B级企业进行建设；项目生活污水依托园区化粪池处理后，用于周边农田施肥，远期管网环通后排入市政污水管网；项目货物运输将采用国五及以上载货车辆，并按照国家及地方要求持续开展车辆更新工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pStyle w:val="11"/>
                    <w:bidi w:val="0"/>
                    <w:jc w:val="center"/>
                    <w:rPr>
                      <w:rFonts w:hint="eastAsia"/>
                      <w:lang w:val="en-US" w:eastAsia="zh-CN"/>
                    </w:rPr>
                  </w:pPr>
                  <w:r>
                    <w:rPr>
                      <w:rFonts w:cs="Times New Roman"/>
                      <w:highlight w:val="none"/>
                    </w:rPr>
                    <w:t>环境风险防控</w:t>
                  </w:r>
                </w:p>
              </w:tc>
              <w:tc>
                <w:tcPr>
                  <w:tcW w:w="645" w:type="dxa"/>
                  <w:vAlign w:val="center"/>
                </w:tcPr>
                <w:p>
                  <w:pPr>
                    <w:pStyle w:val="11"/>
                    <w:bidi w:val="0"/>
                    <w:jc w:val="center"/>
                    <w:rPr>
                      <w:rFonts w:hint="eastAsia"/>
                      <w:lang w:val="en-US" w:eastAsia="zh-CN"/>
                    </w:rPr>
                  </w:pPr>
                  <w:r>
                    <w:rPr>
                      <w:rFonts w:cs="Times New Roman"/>
                      <w:color w:val="000000"/>
                      <w:highlight w:val="none"/>
                    </w:rPr>
                    <w:t>联防联控要求</w:t>
                  </w:r>
                </w:p>
              </w:tc>
              <w:tc>
                <w:tcPr>
                  <w:tcW w:w="5325" w:type="dxa"/>
                  <w:vAlign w:val="center"/>
                </w:tcPr>
                <w:p>
                  <w:pPr>
                    <w:pStyle w:val="11"/>
                    <w:bidi w:val="0"/>
                    <w:jc w:val="both"/>
                    <w:rPr>
                      <w:rFonts w:hint="eastAsia"/>
                      <w:lang w:val="en-US" w:eastAsia="zh-CN"/>
                    </w:rPr>
                  </w:pPr>
                  <w:r>
                    <w:rPr>
                      <w:rFonts w:hint="eastAsia" w:cs="Times New Roman"/>
                      <w:b w:val="0"/>
                      <w:bCs w:val="0"/>
                      <w:color w:val="auto"/>
                      <w:highlight w:val="none"/>
                    </w:rPr>
                    <w:t>应急预案编制过程中，须进行突发事件风险分析、应急资源调查和应急能力评估工作，分析应急预案适用范围内的危险源，调查、登记和评估危险区域情况，掌握应对突发事件可调用的应急资源状况，在应急预案中明确相关部门或单位职责，强化企业应急物资储备主体责任，充分调动企业的主动性和积极性。依据《指南》界定的调查范围、目的、原则、主体、内容等要求，完善辖区环境应急资源信息库，推进环境应急物资储备库建设。</w:t>
                  </w:r>
                </w:p>
              </w:tc>
              <w:tc>
                <w:tcPr>
                  <w:tcW w:w="1699" w:type="dxa"/>
                  <w:vAlign w:val="center"/>
                </w:tcPr>
                <w:p>
                  <w:pPr>
                    <w:pStyle w:val="11"/>
                    <w:bidi w:val="0"/>
                    <w:jc w:val="center"/>
                    <w:rPr>
                      <w:rFonts w:hint="default"/>
                      <w:lang w:val="en-US" w:eastAsia="zh-CN"/>
                    </w:rPr>
                  </w:pPr>
                  <w:r>
                    <w:rPr>
                      <w:rFonts w:hint="eastAsia"/>
                      <w:lang w:val="en-US" w:eastAsia="zh-CN"/>
                    </w:rPr>
                    <w:t>项目建设完成后将按照相关要求编制突发环境事件应急预案，并到地方主管部门进行备案，纳入到联防联控体系中。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vMerge w:val="restart"/>
                  <w:vAlign w:val="center"/>
                </w:tcPr>
                <w:p>
                  <w:pPr>
                    <w:pStyle w:val="11"/>
                    <w:bidi w:val="0"/>
                    <w:jc w:val="center"/>
                    <w:rPr>
                      <w:rFonts w:hint="eastAsia"/>
                      <w:lang w:val="en-US" w:eastAsia="zh-CN"/>
                    </w:rPr>
                  </w:pPr>
                  <w:r>
                    <w:rPr>
                      <w:rFonts w:cs="Times New Roman"/>
                      <w:highlight w:val="none"/>
                    </w:rPr>
                    <w:t>资源利用效率要求</w:t>
                  </w:r>
                </w:p>
              </w:tc>
              <w:tc>
                <w:tcPr>
                  <w:tcW w:w="645" w:type="dxa"/>
                  <w:vMerge w:val="restart"/>
                  <w:vAlign w:val="center"/>
                </w:tcPr>
                <w:p>
                  <w:pPr>
                    <w:pStyle w:val="11"/>
                    <w:bidi w:val="0"/>
                    <w:jc w:val="center"/>
                    <w:rPr>
                      <w:rFonts w:hint="eastAsia"/>
                      <w:lang w:val="en-US" w:eastAsia="zh-CN"/>
                    </w:rPr>
                  </w:pPr>
                  <w:r>
                    <w:rPr>
                      <w:rFonts w:cs="Times New Roman"/>
                      <w:color w:val="000000"/>
                      <w:highlight w:val="none"/>
                    </w:rPr>
                    <w:t>水资源利用总量要求</w:t>
                  </w:r>
                </w:p>
              </w:tc>
              <w:tc>
                <w:tcPr>
                  <w:tcW w:w="5325" w:type="dxa"/>
                  <w:vAlign w:val="center"/>
                </w:tcPr>
                <w:p>
                  <w:pPr>
                    <w:pStyle w:val="11"/>
                    <w:bidi w:val="0"/>
                    <w:jc w:val="both"/>
                    <w:rPr>
                      <w:rFonts w:hint="eastAsia"/>
                      <w:lang w:val="en-US" w:eastAsia="zh-CN"/>
                    </w:rPr>
                  </w:pPr>
                  <w:r>
                    <w:rPr>
                      <w:rFonts w:cs="Times New Roman"/>
                      <w:highlight w:val="none"/>
                    </w:rPr>
                    <w:t>全市年用水总量控制在10.69亿m</w:t>
                  </w:r>
                  <w:r>
                    <w:rPr>
                      <w:rFonts w:cs="Times New Roman"/>
                      <w:highlight w:val="none"/>
                      <w:vertAlign w:val="superscript"/>
                    </w:rPr>
                    <w:t>3</w:t>
                  </w:r>
                  <w:r>
                    <w:rPr>
                      <w:rFonts w:cs="Times New Roman"/>
                      <w:highlight w:val="none"/>
                    </w:rPr>
                    <w:t>以内，万元国内生产总值用水量、万元工业增加值用水量分别达到21.6和16.5m</w:t>
                  </w:r>
                  <w:r>
                    <w:rPr>
                      <w:rFonts w:cs="Times New Roman"/>
                      <w:highlight w:val="none"/>
                      <w:vertAlign w:val="superscript"/>
                    </w:rPr>
                    <w:t>3</w:t>
                  </w:r>
                  <w:r>
                    <w:rPr>
                      <w:rFonts w:cs="Times New Roman"/>
                      <w:highlight w:val="none"/>
                    </w:rPr>
                    <w:t>/万元目标，农田灌溉水有效利用系数提高到0.700以上。</w:t>
                  </w:r>
                </w:p>
              </w:tc>
              <w:tc>
                <w:tcPr>
                  <w:tcW w:w="1699" w:type="dxa"/>
                  <w:vMerge w:val="restart"/>
                  <w:vAlign w:val="center"/>
                </w:tcPr>
                <w:p>
                  <w:pPr>
                    <w:pStyle w:val="11"/>
                    <w:bidi w:val="0"/>
                    <w:jc w:val="center"/>
                    <w:rPr>
                      <w:rFonts w:hint="default"/>
                      <w:lang w:val="en-US" w:eastAsia="zh-CN"/>
                    </w:rPr>
                  </w:pPr>
                  <w:r>
                    <w:rPr>
                      <w:rFonts w:hint="eastAsia"/>
                      <w:lang w:val="en-US" w:eastAsia="zh-CN"/>
                    </w:rPr>
                    <w:t>项目用水主要为职工生活用水，用水量较小，不会突破区域的资源利用上线。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vMerge w:val="continue"/>
                  <w:vAlign w:val="center"/>
                </w:tcPr>
                <w:p>
                  <w:pPr>
                    <w:pStyle w:val="11"/>
                    <w:bidi w:val="0"/>
                    <w:jc w:val="center"/>
                    <w:rPr>
                      <w:rFonts w:hint="eastAsia"/>
                      <w:lang w:val="en-US" w:eastAsia="zh-CN"/>
                    </w:rPr>
                  </w:pPr>
                </w:p>
              </w:tc>
              <w:tc>
                <w:tcPr>
                  <w:tcW w:w="645" w:type="dxa"/>
                  <w:vMerge w:val="continue"/>
                  <w:vAlign w:val="center"/>
                </w:tcPr>
                <w:p>
                  <w:pPr>
                    <w:pStyle w:val="11"/>
                    <w:bidi w:val="0"/>
                    <w:jc w:val="center"/>
                    <w:rPr>
                      <w:rFonts w:hint="eastAsia"/>
                      <w:lang w:val="en-US" w:eastAsia="zh-CN"/>
                    </w:rPr>
                  </w:pPr>
                </w:p>
              </w:tc>
              <w:tc>
                <w:tcPr>
                  <w:tcW w:w="5325" w:type="dxa"/>
                  <w:vAlign w:val="center"/>
                </w:tcPr>
                <w:p>
                  <w:pPr>
                    <w:pStyle w:val="11"/>
                    <w:bidi w:val="0"/>
                    <w:jc w:val="both"/>
                    <w:rPr>
                      <w:rFonts w:hint="eastAsia"/>
                      <w:lang w:val="en-US" w:eastAsia="zh-CN"/>
                    </w:rPr>
                  </w:pPr>
                  <w:r>
                    <w:rPr>
                      <w:rFonts w:cs="Times New Roman"/>
                      <w:color w:val="000000"/>
                      <w:highlight w:val="none"/>
                    </w:rPr>
                    <w:t>2020年全市浅层地下水开采控制在41420万m</w:t>
                  </w:r>
                  <w:r>
                    <w:rPr>
                      <w:rFonts w:cs="Times New Roman"/>
                      <w:color w:val="000000"/>
                      <w:highlight w:val="none"/>
                      <w:vertAlign w:val="superscript"/>
                    </w:rPr>
                    <w:t>3</w:t>
                  </w:r>
                  <w:r>
                    <w:rPr>
                      <w:rFonts w:cs="Times New Roman"/>
                      <w:color w:val="000000"/>
                      <w:highlight w:val="none"/>
                    </w:rPr>
                    <w:t>，2030年控制在40220万m</w:t>
                  </w:r>
                  <w:r>
                    <w:rPr>
                      <w:rFonts w:cs="Times New Roman"/>
                      <w:color w:val="000000"/>
                      <w:highlight w:val="none"/>
                      <w:vertAlign w:val="superscript"/>
                    </w:rPr>
                    <w:t>3</w:t>
                  </w:r>
                  <w:r>
                    <w:rPr>
                      <w:rFonts w:cs="Times New Roman"/>
                      <w:color w:val="000000"/>
                      <w:highlight w:val="none"/>
                    </w:rPr>
                    <w:t>。</w:t>
                  </w:r>
                </w:p>
              </w:tc>
              <w:tc>
                <w:tcPr>
                  <w:tcW w:w="1699" w:type="dxa"/>
                  <w:vMerge w:val="continue"/>
                  <w:vAlign w:val="center"/>
                </w:tcPr>
                <w:p>
                  <w:pPr>
                    <w:pStyle w:val="11"/>
                    <w:bidi w:val="0"/>
                    <w:jc w:val="center"/>
                    <w:rPr>
                      <w:rFonts w:hint="eastAsia"/>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41" w:type="dxa"/>
                  <w:vMerge w:val="continue"/>
                  <w:vAlign w:val="center"/>
                </w:tcPr>
                <w:p>
                  <w:pPr>
                    <w:pStyle w:val="11"/>
                    <w:bidi w:val="0"/>
                    <w:jc w:val="center"/>
                    <w:rPr>
                      <w:rFonts w:hint="eastAsia"/>
                      <w:lang w:val="en-US" w:eastAsia="zh-CN"/>
                    </w:rPr>
                  </w:pPr>
                </w:p>
              </w:tc>
              <w:tc>
                <w:tcPr>
                  <w:tcW w:w="645" w:type="dxa"/>
                  <w:vMerge w:val="restart"/>
                  <w:vAlign w:val="center"/>
                </w:tcPr>
                <w:p>
                  <w:pPr>
                    <w:pStyle w:val="11"/>
                    <w:bidi w:val="0"/>
                    <w:jc w:val="center"/>
                    <w:rPr>
                      <w:rFonts w:hint="eastAsia"/>
                      <w:lang w:val="en-US" w:eastAsia="zh-CN"/>
                    </w:rPr>
                  </w:pPr>
                  <w:r>
                    <w:rPr>
                      <w:rFonts w:cs="Times New Roman"/>
                      <w:highlight w:val="none"/>
                    </w:rPr>
                    <w:t>能源利用总量及效率要求</w:t>
                  </w:r>
                </w:p>
              </w:tc>
              <w:tc>
                <w:tcPr>
                  <w:tcW w:w="5325" w:type="dxa"/>
                  <w:vAlign w:val="center"/>
                </w:tcPr>
                <w:p>
                  <w:pPr>
                    <w:pStyle w:val="11"/>
                    <w:bidi w:val="0"/>
                    <w:jc w:val="both"/>
                    <w:rPr>
                      <w:rFonts w:hint="eastAsia"/>
                      <w:lang w:val="en-US" w:eastAsia="zh-CN"/>
                    </w:rPr>
                  </w:pPr>
                  <w:r>
                    <w:rPr>
                      <w:rFonts w:cs="Times New Roman"/>
                      <w:highlight w:val="none"/>
                    </w:rPr>
                    <w:t>2020年全市煤炭消费总量控制在1155万吨，非电行业控制在670万吨，统调公用燃煤机组控制在485万吨。</w:t>
                  </w:r>
                </w:p>
              </w:tc>
              <w:tc>
                <w:tcPr>
                  <w:tcW w:w="1699" w:type="dxa"/>
                  <w:vMerge w:val="restart"/>
                  <w:vAlign w:val="center"/>
                </w:tcPr>
                <w:p>
                  <w:pPr>
                    <w:pStyle w:val="11"/>
                    <w:bidi w:val="0"/>
                    <w:jc w:val="center"/>
                    <w:rPr>
                      <w:rFonts w:hint="default"/>
                      <w:lang w:val="en-US" w:eastAsia="zh-CN"/>
                    </w:rPr>
                  </w:pPr>
                  <w:r>
                    <w:rPr>
                      <w:rFonts w:hint="eastAsia"/>
                      <w:lang w:val="en-US" w:eastAsia="zh-CN"/>
                    </w:rPr>
                    <w:t>厂区以电为能源，</w:t>
                  </w:r>
                  <w:r>
                    <w:rPr>
                      <w:rFonts w:hint="eastAsia"/>
                      <w:color w:val="auto"/>
                      <w:lang w:val="en-US" w:eastAsia="zh-CN"/>
                    </w:rPr>
                    <w:t>不使用煤炭燃料。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vMerge w:val="continue"/>
                  <w:vAlign w:val="center"/>
                </w:tcPr>
                <w:p>
                  <w:pPr>
                    <w:pStyle w:val="11"/>
                    <w:bidi w:val="0"/>
                    <w:jc w:val="center"/>
                    <w:rPr>
                      <w:rFonts w:hint="eastAsia"/>
                      <w:lang w:val="en-US" w:eastAsia="zh-CN"/>
                    </w:rPr>
                  </w:pPr>
                </w:p>
              </w:tc>
              <w:tc>
                <w:tcPr>
                  <w:tcW w:w="645" w:type="dxa"/>
                  <w:vMerge w:val="continue"/>
                  <w:vAlign w:val="center"/>
                </w:tcPr>
                <w:p>
                  <w:pPr>
                    <w:pStyle w:val="11"/>
                    <w:bidi w:val="0"/>
                    <w:jc w:val="center"/>
                    <w:rPr>
                      <w:rFonts w:hint="eastAsia"/>
                      <w:lang w:val="en-US" w:eastAsia="zh-CN"/>
                    </w:rPr>
                  </w:pPr>
                </w:p>
              </w:tc>
              <w:tc>
                <w:tcPr>
                  <w:tcW w:w="5325" w:type="dxa"/>
                  <w:vAlign w:val="center"/>
                </w:tcPr>
                <w:p>
                  <w:pPr>
                    <w:pStyle w:val="11"/>
                    <w:bidi w:val="0"/>
                    <w:jc w:val="both"/>
                    <w:rPr>
                      <w:rFonts w:hint="eastAsia"/>
                      <w:lang w:val="en-US" w:eastAsia="zh-CN"/>
                    </w:rPr>
                  </w:pPr>
                  <w:r>
                    <w:rPr>
                      <w:rFonts w:cs="Times New Roman"/>
                      <w:color w:val="000000"/>
                      <w:highlight w:val="none"/>
                    </w:rPr>
                    <w:t>到2020年，煤炭消费总量较2015年下降13%。</w:t>
                  </w:r>
                </w:p>
              </w:tc>
              <w:tc>
                <w:tcPr>
                  <w:tcW w:w="1699" w:type="dxa"/>
                  <w:vMerge w:val="continue"/>
                  <w:vAlign w:val="center"/>
                </w:tcPr>
                <w:p>
                  <w:pPr>
                    <w:pStyle w:val="11"/>
                    <w:bidi w:val="0"/>
                    <w:jc w:val="center"/>
                    <w:rPr>
                      <w:rFonts w:hint="eastAsia"/>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vMerge w:val="continue"/>
                  <w:vAlign w:val="center"/>
                </w:tcPr>
                <w:p>
                  <w:pPr>
                    <w:pStyle w:val="11"/>
                    <w:bidi w:val="0"/>
                    <w:jc w:val="center"/>
                    <w:rPr>
                      <w:rFonts w:hint="eastAsia"/>
                      <w:lang w:val="en-US" w:eastAsia="zh-CN"/>
                    </w:rPr>
                  </w:pPr>
                </w:p>
              </w:tc>
              <w:tc>
                <w:tcPr>
                  <w:tcW w:w="645" w:type="dxa"/>
                  <w:vMerge w:val="continue"/>
                  <w:vAlign w:val="center"/>
                </w:tcPr>
                <w:p>
                  <w:pPr>
                    <w:pStyle w:val="11"/>
                    <w:bidi w:val="0"/>
                    <w:jc w:val="center"/>
                    <w:rPr>
                      <w:rFonts w:hint="eastAsia"/>
                      <w:lang w:val="en-US" w:eastAsia="zh-CN"/>
                    </w:rPr>
                  </w:pPr>
                </w:p>
              </w:tc>
              <w:tc>
                <w:tcPr>
                  <w:tcW w:w="5325" w:type="dxa"/>
                  <w:vAlign w:val="center"/>
                </w:tcPr>
                <w:p>
                  <w:pPr>
                    <w:pStyle w:val="11"/>
                    <w:bidi w:val="0"/>
                    <w:jc w:val="both"/>
                    <w:rPr>
                      <w:rFonts w:hint="eastAsia"/>
                      <w:lang w:val="en-US" w:eastAsia="zh-CN"/>
                    </w:rPr>
                  </w:pPr>
                  <w:r>
                    <w:rPr>
                      <w:rFonts w:cs="Times New Roman"/>
                      <w:highlight w:val="none"/>
                    </w:rPr>
                    <w:t>到2020年，全市能源消费总量控制在1237万吨标准煤以内。</w:t>
                  </w:r>
                </w:p>
              </w:tc>
              <w:tc>
                <w:tcPr>
                  <w:tcW w:w="1699" w:type="dxa"/>
                  <w:vMerge w:val="continue"/>
                  <w:vAlign w:val="center"/>
                </w:tcPr>
                <w:p>
                  <w:pPr>
                    <w:pStyle w:val="11"/>
                    <w:bidi w:val="0"/>
                    <w:jc w:val="center"/>
                    <w:rPr>
                      <w:rFonts w:hint="eastAsia"/>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vMerge w:val="continue"/>
                  <w:vAlign w:val="center"/>
                </w:tcPr>
                <w:p>
                  <w:pPr>
                    <w:pStyle w:val="11"/>
                    <w:bidi w:val="0"/>
                    <w:jc w:val="center"/>
                    <w:rPr>
                      <w:rFonts w:hint="eastAsia"/>
                      <w:lang w:val="en-US" w:eastAsia="zh-CN"/>
                    </w:rPr>
                  </w:pPr>
                </w:p>
              </w:tc>
              <w:tc>
                <w:tcPr>
                  <w:tcW w:w="645" w:type="dxa"/>
                  <w:vAlign w:val="center"/>
                </w:tcPr>
                <w:p>
                  <w:pPr>
                    <w:pStyle w:val="11"/>
                    <w:bidi w:val="0"/>
                    <w:jc w:val="center"/>
                    <w:rPr>
                      <w:rFonts w:hint="eastAsia"/>
                      <w:lang w:val="en-US" w:eastAsia="zh-CN"/>
                    </w:rPr>
                  </w:pPr>
                  <w:r>
                    <w:rPr>
                      <w:rFonts w:cs="Times New Roman"/>
                      <w:highlight w:val="none"/>
                    </w:rPr>
                    <w:t>土地资源开发规模要求</w:t>
                  </w:r>
                </w:p>
              </w:tc>
              <w:tc>
                <w:tcPr>
                  <w:tcW w:w="5325" w:type="dxa"/>
                  <w:vAlign w:val="center"/>
                </w:tcPr>
                <w:p>
                  <w:pPr>
                    <w:pStyle w:val="11"/>
                    <w:bidi w:val="0"/>
                    <w:jc w:val="both"/>
                    <w:rPr>
                      <w:rFonts w:hint="eastAsia"/>
                      <w:lang w:val="en-US" w:eastAsia="zh-CN"/>
                    </w:rPr>
                  </w:pPr>
                  <w:r>
                    <w:rPr>
                      <w:rFonts w:cs="Times New Roman"/>
                      <w:highlight w:val="none"/>
                    </w:rPr>
                    <w:t>2020年全市耕地保有量3</w:t>
                  </w:r>
                  <w:r>
                    <w:rPr>
                      <w:rFonts w:hint="eastAsia" w:cs="Times New Roman"/>
                      <w:highlight w:val="none"/>
                      <w:lang w:val="en-US" w:eastAsia="zh-CN"/>
                    </w:rPr>
                    <w:t>38640.00</w:t>
                  </w:r>
                  <w:r>
                    <w:rPr>
                      <w:rFonts w:cs="Times New Roman"/>
                      <w:highlight w:val="none"/>
                    </w:rPr>
                    <w:t>公顷，确保289</w:t>
                  </w:r>
                  <w:r>
                    <w:rPr>
                      <w:rFonts w:hint="eastAsia" w:cs="Times New Roman"/>
                      <w:highlight w:val="none"/>
                      <w:lang w:val="en-US" w:eastAsia="zh-CN"/>
                    </w:rPr>
                    <w:t>906</w:t>
                  </w:r>
                  <w:r>
                    <w:rPr>
                      <w:rFonts w:cs="Times New Roman"/>
                      <w:highlight w:val="none"/>
                    </w:rPr>
                    <w:t>.</w:t>
                  </w:r>
                  <w:r>
                    <w:rPr>
                      <w:rFonts w:hint="eastAsia" w:cs="Times New Roman"/>
                      <w:highlight w:val="none"/>
                      <w:lang w:val="en-US" w:eastAsia="zh-CN"/>
                    </w:rPr>
                    <w:t>67</w:t>
                  </w:r>
                  <w:r>
                    <w:rPr>
                      <w:rFonts w:cs="Times New Roman"/>
                      <w:highlight w:val="none"/>
                    </w:rPr>
                    <w:t>公顷基本农田数量不减少、质量有提高；建设用地总规模控制在</w:t>
                  </w:r>
                  <w:r>
                    <w:rPr>
                      <w:rFonts w:hint="eastAsia" w:cs="Times New Roman"/>
                      <w:highlight w:val="none"/>
                      <w:lang w:val="en-US" w:eastAsia="zh-CN"/>
                    </w:rPr>
                    <w:t>107351</w:t>
                  </w:r>
                  <w:r>
                    <w:rPr>
                      <w:rFonts w:cs="Times New Roman"/>
                      <w:highlight w:val="none"/>
                    </w:rPr>
                    <w:t>.8</w:t>
                  </w:r>
                  <w:r>
                    <w:rPr>
                      <w:rFonts w:hint="eastAsia" w:cs="Times New Roman"/>
                      <w:highlight w:val="none"/>
                      <w:lang w:val="en-US" w:eastAsia="zh-CN"/>
                    </w:rPr>
                    <w:t>3</w:t>
                  </w:r>
                  <w:r>
                    <w:rPr>
                      <w:rFonts w:cs="Times New Roman"/>
                      <w:highlight w:val="none"/>
                    </w:rPr>
                    <w:t>公顷；人均城镇工矿用地降低到1</w:t>
                  </w:r>
                  <w:r>
                    <w:rPr>
                      <w:rFonts w:hint="eastAsia" w:cs="Times New Roman"/>
                      <w:highlight w:val="none"/>
                      <w:lang w:val="en-US" w:eastAsia="zh-CN"/>
                    </w:rPr>
                    <w:t>22</w:t>
                  </w:r>
                  <w:r>
                    <w:rPr>
                      <w:rFonts w:cs="Times New Roman"/>
                      <w:highlight w:val="none"/>
                    </w:rPr>
                    <w:t>.00平方米；农村居民点用地减少到52211.80公顷；农用地稳定在381905.01公顷。</w:t>
                  </w:r>
                </w:p>
              </w:tc>
              <w:tc>
                <w:tcPr>
                  <w:tcW w:w="1699" w:type="dxa"/>
                  <w:vAlign w:val="center"/>
                </w:tcPr>
                <w:p>
                  <w:pPr>
                    <w:pStyle w:val="11"/>
                    <w:bidi w:val="0"/>
                    <w:jc w:val="center"/>
                    <w:rPr>
                      <w:rFonts w:hint="eastAsia"/>
                      <w:lang w:val="en-US" w:eastAsia="zh-CN"/>
                    </w:rPr>
                  </w:pPr>
                  <w:r>
                    <w:rPr>
                      <w:rFonts w:hint="eastAsia"/>
                      <w:lang w:val="en-US" w:eastAsia="zh-CN"/>
                    </w:rPr>
                    <w:t>本项目为迁建项目，用地为已规划的工业用地。</w:t>
                  </w:r>
                </w:p>
              </w:tc>
            </w:tr>
          </w:tbl>
          <w:p>
            <w:pPr>
              <w:bidi w:val="0"/>
              <w:rPr>
                <w:rFonts w:hint="eastAsia"/>
                <w:lang w:val="en-US" w:eastAsia="zh-CN"/>
              </w:rPr>
            </w:pPr>
            <w:r>
              <w:rPr>
                <w:sz w:val="24"/>
                <w:szCs w:val="32"/>
              </w:rPr>
              <w:t>综上，项目建设符合</w:t>
            </w:r>
            <w:r>
              <w:rPr>
                <w:rFonts w:hint="eastAsia"/>
                <w:b w:val="0"/>
                <w:bCs w:val="0"/>
                <w:sz w:val="24"/>
                <w:szCs w:val="32"/>
                <w:u w:val="none"/>
                <w:lang w:val="en-US" w:eastAsia="zh-CN"/>
              </w:rPr>
              <w:t>许昌市</w:t>
            </w:r>
            <w:r>
              <w:rPr>
                <w:sz w:val="24"/>
                <w:szCs w:val="32"/>
              </w:rPr>
              <w:t>“三线一单”相关要求</w:t>
            </w:r>
            <w:r>
              <w:rPr>
                <w:sz w:val="24"/>
              </w:rPr>
              <w:t>。</w:t>
            </w:r>
          </w:p>
          <w:p>
            <w:pPr>
              <w:pStyle w:val="4"/>
              <w:bidi w:val="0"/>
              <w:rPr>
                <w:rFonts w:hint="default"/>
                <w:lang w:val="en-US" w:eastAsia="zh-CN"/>
              </w:rPr>
            </w:pPr>
            <w:r>
              <w:rPr>
                <w:rFonts w:hint="eastAsia"/>
                <w:lang w:val="en-US" w:eastAsia="zh-CN"/>
              </w:rPr>
              <w:t>2、产业政策符合性分析</w:t>
            </w:r>
          </w:p>
          <w:p>
            <w:pPr>
              <w:bidi w:val="0"/>
              <w:rPr>
                <w:b/>
                <w:bCs/>
              </w:rPr>
            </w:pPr>
            <w:r>
              <w:rPr>
                <w:rFonts w:hint="eastAsia"/>
                <w:b/>
                <w:bCs/>
                <w:lang w:eastAsia="zh-CN"/>
              </w:rPr>
              <w:t>（</w:t>
            </w:r>
            <w:r>
              <w:rPr>
                <w:rFonts w:hint="eastAsia"/>
                <w:b/>
                <w:bCs/>
                <w:lang w:val="en-US" w:eastAsia="zh-CN"/>
              </w:rPr>
              <w:t>1</w:t>
            </w:r>
            <w:r>
              <w:rPr>
                <w:rFonts w:hint="eastAsia"/>
                <w:b/>
                <w:bCs/>
                <w:lang w:eastAsia="zh-CN"/>
              </w:rPr>
              <w:t>）</w:t>
            </w:r>
            <w:r>
              <w:rPr>
                <w:b/>
                <w:bCs/>
              </w:rPr>
              <w:t>与《产业结构调整指导目录（2019年本）》相符性</w:t>
            </w:r>
          </w:p>
          <w:p>
            <w:pPr>
              <w:autoSpaceDE w:val="0"/>
              <w:autoSpaceDN w:val="0"/>
              <w:spacing w:line="360" w:lineRule="auto"/>
              <w:ind w:firstLine="480" w:firstLineChars="200"/>
              <w:rPr>
                <w:kern w:val="0"/>
                <w:sz w:val="24"/>
              </w:rPr>
            </w:pPr>
            <w:r>
              <w:rPr>
                <w:kern w:val="0"/>
                <w:sz w:val="24"/>
              </w:rPr>
              <w:t>对照《产业结构调整指导目录（2019年本）》，</w:t>
            </w:r>
            <w:r>
              <w:rPr>
                <w:rFonts w:hint="default" w:ascii="Times New Roman" w:hAnsi="Times New Roman" w:eastAsia="宋体" w:cs="Times New Roman"/>
                <w:b w:val="0"/>
                <w:bCs w:val="0"/>
                <w:color w:val="000000"/>
                <w:sz w:val="24"/>
                <w:szCs w:val="24"/>
                <w:highlight w:val="none"/>
                <w:lang w:eastAsia="zh-CN"/>
              </w:rPr>
              <w:t>本项目不属于限制、淘汰类项目，可视为允许类</w:t>
            </w:r>
            <w:r>
              <w:t>。</w:t>
            </w:r>
            <w:r>
              <w:rPr>
                <w:kern w:val="0"/>
                <w:sz w:val="24"/>
              </w:rPr>
              <w:t>目前，该项目已</w:t>
            </w:r>
            <w:r>
              <w:rPr>
                <w:color w:val="auto"/>
                <w:kern w:val="0"/>
                <w:sz w:val="24"/>
              </w:rPr>
              <w:t>通过</w:t>
            </w:r>
            <w:r>
              <w:rPr>
                <w:rFonts w:hint="eastAsia"/>
                <w:color w:val="auto"/>
                <w:lang w:val="en-US" w:eastAsia="zh-CN"/>
              </w:rPr>
              <w:t>许昌市中原电气谷发展服务中心</w:t>
            </w:r>
            <w:r>
              <w:rPr>
                <w:color w:val="auto"/>
                <w:kern w:val="0"/>
                <w:sz w:val="24"/>
              </w:rPr>
              <w:t>备案（项目代码：</w:t>
            </w:r>
            <w:r>
              <w:rPr>
                <w:rFonts w:hint="eastAsia"/>
                <w:color w:val="auto"/>
                <w:lang w:eastAsia="zh-CN"/>
              </w:rPr>
              <w:t>2020-411051-</w:t>
            </w:r>
            <w:r>
              <w:rPr>
                <w:rFonts w:hint="eastAsia"/>
                <w:color w:val="auto"/>
                <w:lang w:val="en-US" w:eastAsia="zh-CN"/>
              </w:rPr>
              <w:t>44-0</w:t>
            </w:r>
            <w:r>
              <w:rPr>
                <w:rFonts w:hint="eastAsia"/>
                <w:color w:val="auto"/>
                <w:lang w:eastAsia="zh-CN"/>
              </w:rPr>
              <w:t>3-0</w:t>
            </w:r>
            <w:r>
              <w:rPr>
                <w:rFonts w:hint="eastAsia"/>
                <w:color w:val="auto"/>
                <w:lang w:val="en-US" w:eastAsia="zh-CN"/>
              </w:rPr>
              <w:t>07272</w:t>
            </w:r>
            <w:r>
              <w:rPr>
                <w:color w:val="auto"/>
                <w:kern w:val="0"/>
                <w:sz w:val="24"/>
              </w:rPr>
              <w:t>），符</w:t>
            </w:r>
            <w:r>
              <w:rPr>
                <w:kern w:val="0"/>
                <w:sz w:val="24"/>
              </w:rPr>
              <w:t>合国家产业政策要求。</w:t>
            </w:r>
          </w:p>
          <w:p>
            <w:pPr>
              <w:bidi w:val="0"/>
              <w:rPr>
                <w:b/>
                <w:bCs/>
              </w:rPr>
            </w:pPr>
            <w:r>
              <w:rPr>
                <w:rFonts w:hint="eastAsia"/>
                <w:b/>
                <w:bCs/>
                <w:lang w:eastAsia="zh-CN"/>
              </w:rPr>
              <w:t>（</w:t>
            </w:r>
            <w:r>
              <w:rPr>
                <w:rFonts w:hint="eastAsia"/>
                <w:b/>
                <w:bCs/>
                <w:lang w:val="en-US" w:eastAsia="zh-CN"/>
              </w:rPr>
              <w:t>2</w:t>
            </w:r>
            <w:r>
              <w:rPr>
                <w:rFonts w:hint="eastAsia"/>
                <w:b/>
                <w:bCs/>
                <w:lang w:eastAsia="zh-CN"/>
              </w:rPr>
              <w:t>）</w:t>
            </w:r>
            <w:r>
              <w:rPr>
                <w:b/>
                <w:bCs/>
              </w:rPr>
              <w:t>与《许昌市建设项目环境准入禁止、限</w:t>
            </w:r>
            <w:r>
              <w:rPr>
                <w:rFonts w:hint="eastAsia"/>
                <w:b/>
                <w:bCs/>
              </w:rPr>
              <w:t>制</w:t>
            </w:r>
            <w:r>
              <w:rPr>
                <w:b/>
                <w:bCs/>
              </w:rPr>
              <w:t>区域和项目名录（2015年版）相符性</w:t>
            </w:r>
          </w:p>
          <w:p>
            <w:pPr>
              <w:autoSpaceDE w:val="0"/>
              <w:autoSpaceDN w:val="0"/>
              <w:spacing w:line="360" w:lineRule="auto"/>
              <w:ind w:firstLine="480" w:firstLineChars="200"/>
              <w:rPr>
                <w:kern w:val="0"/>
                <w:sz w:val="24"/>
              </w:rPr>
            </w:pPr>
            <w:r>
              <w:rPr>
                <w:kern w:val="0"/>
                <w:sz w:val="24"/>
              </w:rPr>
              <w:t>对照《许昌市建设项目环境准入禁止、限</w:t>
            </w:r>
            <w:r>
              <w:rPr>
                <w:rFonts w:hint="eastAsia"/>
                <w:kern w:val="0"/>
                <w:sz w:val="24"/>
              </w:rPr>
              <w:t>制</w:t>
            </w:r>
            <w:r>
              <w:rPr>
                <w:kern w:val="0"/>
                <w:sz w:val="24"/>
              </w:rPr>
              <w:t>区域和项目名录（2015年版）（许环</w:t>
            </w:r>
            <w:r>
              <w:rPr>
                <w:rFonts w:hint="eastAsia"/>
                <w:kern w:val="0"/>
                <w:sz w:val="24"/>
                <w:lang w:val="en-US" w:eastAsia="zh-CN"/>
              </w:rPr>
              <w:t>〔</w:t>
            </w:r>
            <w:r>
              <w:rPr>
                <w:kern w:val="0"/>
                <w:sz w:val="24"/>
              </w:rPr>
              <w:t>2014</w:t>
            </w:r>
            <w:r>
              <w:rPr>
                <w:rFonts w:hint="eastAsia"/>
                <w:kern w:val="0"/>
                <w:sz w:val="24"/>
                <w:lang w:val="en-US" w:eastAsia="zh-CN"/>
              </w:rPr>
              <w:t>〕</w:t>
            </w:r>
            <w:r>
              <w:rPr>
                <w:kern w:val="0"/>
                <w:sz w:val="24"/>
              </w:rPr>
              <w:t>124号）文可知，本项目不属于禁止、限制类项目，项目选址不属于禁止、限制区域。</w:t>
            </w:r>
          </w:p>
          <w:p>
            <w:pPr>
              <w:pStyle w:val="4"/>
              <w:bidi w:val="0"/>
              <w:rPr>
                <w:rFonts w:hint="default"/>
                <w:lang w:val="en-US" w:eastAsia="zh-CN"/>
              </w:rPr>
            </w:pPr>
            <w:r>
              <w:rPr>
                <w:rFonts w:hint="eastAsia"/>
                <w:lang w:val="en-US" w:eastAsia="zh-CN"/>
              </w:rPr>
              <w:t>3、项目选址合理性分析</w:t>
            </w:r>
          </w:p>
          <w:p>
            <w:pPr>
              <w:bidi w:val="0"/>
              <w:rPr>
                <w:rFonts w:hint="eastAsia"/>
                <w:lang w:val="en-US" w:eastAsia="zh-CN"/>
              </w:rPr>
            </w:pPr>
            <w:r>
              <w:rPr>
                <w:rFonts w:hint="eastAsia"/>
                <w:color w:val="auto"/>
                <w:szCs w:val="21"/>
                <w:lang w:val="zh-TW"/>
              </w:rPr>
              <w:t>本项目</w:t>
            </w:r>
            <w:r>
              <w:rPr>
                <w:rFonts w:hint="eastAsia"/>
                <w:color w:val="auto"/>
                <w:szCs w:val="21"/>
                <w:lang w:val="en-US" w:eastAsia="zh-CN"/>
              </w:rPr>
              <w:t>将厂址搬迁至</w:t>
            </w:r>
            <w:r>
              <w:rPr>
                <w:rFonts w:hint="eastAsia"/>
                <w:color w:val="auto"/>
                <w:lang w:val="en-US" w:eastAsia="zh-CN"/>
              </w:rPr>
              <w:t>许昌市城乡一体化示范区高新技术产业园东北角，并在现有生产线的基础上进行技术改造，</w:t>
            </w:r>
            <w:r>
              <w:rPr>
                <w:rFonts w:hint="eastAsia"/>
                <w:color w:val="auto"/>
                <w:szCs w:val="21"/>
                <w:lang w:val="zh-TW"/>
              </w:rPr>
              <w:t>通过对生产设备</w:t>
            </w:r>
            <w:r>
              <w:rPr>
                <w:rFonts w:hint="eastAsia"/>
                <w:color w:val="auto"/>
                <w:szCs w:val="21"/>
                <w:lang w:val="en-US" w:eastAsia="zh-CN"/>
              </w:rPr>
              <w:t>及工艺</w:t>
            </w:r>
            <w:r>
              <w:rPr>
                <w:rFonts w:hint="eastAsia"/>
                <w:color w:val="auto"/>
                <w:szCs w:val="21"/>
                <w:lang w:val="zh-TW"/>
              </w:rPr>
              <w:t>的</w:t>
            </w:r>
            <w:r>
              <w:rPr>
                <w:rFonts w:hint="eastAsia"/>
                <w:color w:val="auto"/>
                <w:szCs w:val="21"/>
                <w:lang w:val="en-US" w:eastAsia="zh-CN"/>
              </w:rPr>
              <w:t>提升</w:t>
            </w:r>
            <w:r>
              <w:rPr>
                <w:rFonts w:hint="eastAsia"/>
                <w:color w:val="auto"/>
                <w:szCs w:val="21"/>
                <w:lang w:val="zh-TW"/>
              </w:rPr>
              <w:t>改造和治理设施的优化升级，可以有效降低企业污染物排放量</w:t>
            </w:r>
            <w:r>
              <w:rPr>
                <w:rFonts w:hint="eastAsia"/>
                <w:color w:val="auto"/>
                <w:lang w:eastAsia="zh-CN"/>
              </w:rPr>
              <w:t>。</w:t>
            </w:r>
            <w:r>
              <w:rPr>
                <w:rFonts w:hint="eastAsia"/>
                <w:color w:val="auto"/>
                <w:lang w:val="en-US" w:eastAsia="zh-CN"/>
              </w:rPr>
              <w:t>本项目厂房由许昌市新区建设投资有限公司建设，并于2019年10月24日办理建设项目环境影响登记</w:t>
            </w:r>
            <w:r>
              <w:rPr>
                <w:rFonts w:hint="eastAsia"/>
                <w:color w:val="auto"/>
                <w:szCs w:val="21"/>
                <w:lang w:val="zh-TW"/>
              </w:rPr>
              <w:t>（见附件</w:t>
            </w:r>
            <w:r>
              <w:rPr>
                <w:rFonts w:hint="eastAsia"/>
                <w:color w:val="auto"/>
                <w:szCs w:val="21"/>
                <w:lang w:val="en-US" w:eastAsia="zh-CN"/>
              </w:rPr>
              <w:t>五</w:t>
            </w:r>
            <w:r>
              <w:rPr>
                <w:rFonts w:hint="eastAsia"/>
                <w:color w:val="auto"/>
                <w:szCs w:val="21"/>
                <w:lang w:val="zh-TW"/>
              </w:rPr>
              <w:t>）</w:t>
            </w:r>
            <w:r>
              <w:rPr>
                <w:rFonts w:hint="eastAsia"/>
                <w:color w:val="auto"/>
                <w:lang w:val="en-US" w:eastAsia="zh-CN"/>
              </w:rPr>
              <w:t>，建成后交付河南新弘电力科技有限公司使用。根据《许昌市城市总体规划（2015-2030）》，</w:t>
            </w:r>
            <w:r>
              <w:rPr>
                <w:color w:val="auto"/>
              </w:rPr>
              <w:t>项目用地为工业用地。</w:t>
            </w:r>
            <w:r>
              <w:rPr>
                <w:rFonts w:hint="eastAsia"/>
                <w:color w:val="auto"/>
                <w:szCs w:val="21"/>
                <w:lang w:val="zh-TW"/>
              </w:rPr>
              <w:t>根据</w:t>
            </w:r>
            <w:r>
              <w:rPr>
                <w:rFonts w:hint="eastAsia"/>
                <w:color w:val="auto"/>
                <w:lang w:val="en-US" w:eastAsia="zh-CN"/>
              </w:rPr>
              <w:t>许昌市城乡一体化示范区管理委员会</w:t>
            </w:r>
            <w:r>
              <w:rPr>
                <w:rFonts w:hint="eastAsia"/>
                <w:color w:val="auto"/>
                <w:szCs w:val="21"/>
                <w:lang w:val="zh-TW"/>
              </w:rPr>
              <w:t>出具的证明（见附件</w:t>
            </w:r>
            <w:r>
              <w:rPr>
                <w:rFonts w:hint="eastAsia"/>
                <w:color w:val="auto"/>
                <w:szCs w:val="21"/>
                <w:lang w:val="en-US" w:eastAsia="zh-CN"/>
              </w:rPr>
              <w:t>六</w:t>
            </w:r>
            <w:r>
              <w:rPr>
                <w:rFonts w:hint="eastAsia"/>
                <w:color w:val="auto"/>
                <w:szCs w:val="21"/>
                <w:lang w:val="zh-TW"/>
              </w:rPr>
              <w:t>），同意</w:t>
            </w:r>
            <w:r>
              <w:rPr>
                <w:rFonts w:hint="eastAsia"/>
                <w:color w:val="auto"/>
                <w:szCs w:val="21"/>
                <w:lang w:val="en-US" w:eastAsia="zh-CN"/>
              </w:rPr>
              <w:t>项目入驻，并将项目纳入到中原电气谷进行管理</w:t>
            </w:r>
            <w:r>
              <w:rPr>
                <w:rFonts w:hint="eastAsia"/>
                <w:color w:val="auto"/>
                <w:szCs w:val="21"/>
                <w:lang w:val="zh-TW"/>
              </w:rPr>
              <w:t>，</w:t>
            </w:r>
            <w:r>
              <w:rPr>
                <w:rFonts w:hint="eastAsia"/>
                <w:color w:val="auto"/>
                <w:szCs w:val="21"/>
                <w:lang w:val="en-US" w:eastAsia="zh-CN"/>
              </w:rPr>
              <w:t>同时根据发展需求，拟在下一轮集聚区规划调整中将企业所在区域纳入集聚区规划范围内，</w:t>
            </w:r>
            <w:r>
              <w:rPr>
                <w:rFonts w:hint="eastAsia"/>
                <w:color w:val="auto"/>
                <w:szCs w:val="21"/>
                <w:lang w:val="zh-TW"/>
              </w:rPr>
              <w:t>项目已通过</w:t>
            </w:r>
            <w:r>
              <w:rPr>
                <w:rFonts w:hint="eastAsia"/>
                <w:color w:val="auto"/>
                <w:szCs w:val="21"/>
                <w:lang w:val="en-US" w:eastAsia="zh-CN"/>
              </w:rPr>
              <w:t>中原电气谷</w:t>
            </w:r>
            <w:r>
              <w:rPr>
                <w:rFonts w:hint="eastAsia"/>
                <w:color w:val="auto"/>
                <w:lang w:val="en-US" w:eastAsia="zh-CN"/>
              </w:rPr>
              <w:t>发展服务中心</w:t>
            </w:r>
            <w:r>
              <w:rPr>
                <w:rFonts w:hint="eastAsia"/>
                <w:color w:val="auto"/>
                <w:szCs w:val="21"/>
                <w:lang w:val="zh-TW"/>
              </w:rPr>
              <w:t>备案（见附件</w:t>
            </w:r>
            <w:r>
              <w:rPr>
                <w:rFonts w:hint="eastAsia"/>
                <w:color w:val="auto"/>
                <w:szCs w:val="21"/>
                <w:lang w:val="en-US" w:eastAsia="zh-CN"/>
              </w:rPr>
              <w:t>二</w:t>
            </w:r>
            <w:r>
              <w:rPr>
                <w:rFonts w:hint="eastAsia"/>
                <w:color w:val="auto"/>
                <w:szCs w:val="21"/>
                <w:lang w:val="zh-TW"/>
              </w:rPr>
              <w:t>）</w:t>
            </w:r>
            <w:r>
              <w:rPr>
                <w:rFonts w:hint="eastAsia"/>
                <w:color w:val="auto"/>
                <w:szCs w:val="21"/>
                <w:lang w:val="zh-TW" w:eastAsia="zh-CN"/>
              </w:rPr>
              <w:t>。</w:t>
            </w:r>
          </w:p>
          <w:p>
            <w:pPr>
              <w:pStyle w:val="4"/>
              <w:bidi w:val="0"/>
              <w:rPr>
                <w:b/>
                <w:bCs/>
                <w:sz w:val="24"/>
              </w:rPr>
            </w:pPr>
            <w:r>
              <w:rPr>
                <w:rFonts w:hint="eastAsia"/>
                <w:lang w:val="en-US" w:eastAsia="zh-CN"/>
              </w:rPr>
              <w:t>4、</w:t>
            </w:r>
            <w:r>
              <w:rPr>
                <w:b/>
                <w:bCs/>
                <w:sz w:val="24"/>
              </w:rPr>
              <w:t>与</w:t>
            </w:r>
            <w:r>
              <w:rPr>
                <w:rFonts w:hint="eastAsia"/>
                <w:b/>
                <w:bCs/>
                <w:sz w:val="24"/>
              </w:rPr>
              <w:t>相关挥发性有机物治理政策</w:t>
            </w:r>
            <w:r>
              <w:rPr>
                <w:b/>
                <w:bCs/>
                <w:sz w:val="24"/>
              </w:rPr>
              <w:t>相符性分析</w:t>
            </w:r>
          </w:p>
          <w:p>
            <w:pPr>
              <w:bidi w:val="0"/>
              <w:rPr>
                <w:rFonts w:hint="eastAsia"/>
                <w:lang w:val="en-US" w:eastAsia="zh-CN"/>
              </w:rPr>
            </w:pPr>
            <w:r>
              <w:rPr>
                <w:sz w:val="24"/>
              </w:rPr>
              <w:t>本项目营运期涉及挥发性有机物的治理及排放，与相关环保政策相符性分析见表</w:t>
            </w:r>
            <w:r>
              <w:rPr>
                <w:rFonts w:hint="eastAsia"/>
                <w:lang w:val="en-US" w:eastAsia="zh-CN"/>
              </w:rPr>
              <w:t>1-2。</w:t>
            </w:r>
          </w:p>
          <w:p>
            <w:pPr>
              <w:pStyle w:val="12"/>
              <w:widowControl w:val="0"/>
              <w:bidi w:val="0"/>
              <w:rPr>
                <w:rFonts w:hint="default"/>
                <w:lang w:val="en-US" w:eastAsia="zh-CN"/>
              </w:rPr>
            </w:pPr>
            <w:r>
              <w:rPr>
                <w:rFonts w:hint="eastAsia"/>
                <w:lang w:val="en-US" w:eastAsia="zh-CN"/>
              </w:rPr>
              <w:t>表1-2   本项目与相关挥发性有机物治理政策符合性分析一览表</w:t>
            </w:r>
          </w:p>
          <w:tbl>
            <w:tblPr>
              <w:tblStyle w:val="9"/>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1" w:type="dxa"/>
                <w:bottom w:w="0" w:type="dxa"/>
                <w:right w:w="51" w:type="dxa"/>
              </w:tblCellMar>
            </w:tblPr>
            <w:tblGrid>
              <w:gridCol w:w="312"/>
              <w:gridCol w:w="1829"/>
              <w:gridCol w:w="5066"/>
              <w:gridCol w:w="11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188" w:type="pct"/>
                  <w:vAlign w:val="center"/>
                </w:tcPr>
                <w:p>
                  <w:pPr>
                    <w:pStyle w:val="11"/>
                    <w:bidi w:val="0"/>
                    <w:jc w:val="center"/>
                    <w:rPr>
                      <w:rFonts w:hint="default"/>
                      <w:lang w:val="en-US" w:eastAsia="zh-CN"/>
                    </w:rPr>
                  </w:pPr>
                  <w:r>
                    <w:rPr>
                      <w:rFonts w:hint="eastAsia"/>
                      <w:lang w:val="en-US" w:eastAsia="zh-CN"/>
                    </w:rPr>
                    <w:t>序号</w:t>
                  </w:r>
                </w:p>
              </w:tc>
              <w:tc>
                <w:tcPr>
                  <w:tcW w:w="923" w:type="pct"/>
                  <w:vAlign w:val="center"/>
                </w:tcPr>
                <w:p>
                  <w:pPr>
                    <w:pStyle w:val="11"/>
                    <w:bidi w:val="0"/>
                    <w:jc w:val="center"/>
                    <w:rPr>
                      <w:rFonts w:hint="default"/>
                      <w:lang w:val="en-US" w:eastAsia="zh-CN"/>
                    </w:rPr>
                  </w:pPr>
                  <w:r>
                    <w:rPr>
                      <w:rFonts w:hint="eastAsia"/>
                      <w:lang w:val="en-US" w:eastAsia="zh-CN"/>
                    </w:rPr>
                    <w:t>文件名称</w:t>
                  </w:r>
                </w:p>
              </w:tc>
              <w:tc>
                <w:tcPr>
                  <w:tcW w:w="3223" w:type="pct"/>
                  <w:vAlign w:val="center"/>
                </w:tcPr>
                <w:p>
                  <w:pPr>
                    <w:pStyle w:val="11"/>
                    <w:bidi w:val="0"/>
                    <w:jc w:val="center"/>
                    <w:rPr>
                      <w:rFonts w:hint="default"/>
                      <w:lang w:val="en-US" w:eastAsia="zh-CN"/>
                    </w:rPr>
                  </w:pPr>
                  <w:r>
                    <w:rPr>
                      <w:rFonts w:hint="eastAsia"/>
                      <w:lang w:val="en-US" w:eastAsia="zh-CN"/>
                    </w:rPr>
                    <w:t>相关要求</w:t>
                  </w:r>
                </w:p>
              </w:tc>
              <w:tc>
                <w:tcPr>
                  <w:tcW w:w="664" w:type="pct"/>
                  <w:vAlign w:val="center"/>
                </w:tcPr>
                <w:p>
                  <w:pPr>
                    <w:pStyle w:val="11"/>
                    <w:bidi w:val="0"/>
                    <w:jc w:val="center"/>
                    <w:rPr>
                      <w:rFonts w:hint="default"/>
                      <w:lang w:val="en-US" w:eastAsia="zh-CN"/>
                    </w:rPr>
                  </w:pPr>
                  <w:r>
                    <w:rPr>
                      <w:rFonts w:hint="eastAsia"/>
                      <w:lang w:val="en-US" w:eastAsia="zh-CN"/>
                    </w:rPr>
                    <w:t>本项目采取措施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188" w:type="pct"/>
                  <w:vAlign w:val="center"/>
                </w:tcPr>
                <w:p>
                  <w:pPr>
                    <w:pStyle w:val="11"/>
                    <w:bidi w:val="0"/>
                    <w:jc w:val="center"/>
                    <w:rPr>
                      <w:rFonts w:hint="default"/>
                      <w:lang w:val="en-US" w:eastAsia="zh-CN"/>
                    </w:rPr>
                  </w:pPr>
                  <w:r>
                    <w:rPr>
                      <w:rFonts w:hint="eastAsia"/>
                      <w:lang w:val="en-US" w:eastAsia="zh-CN"/>
                    </w:rPr>
                    <w:t>1</w:t>
                  </w:r>
                </w:p>
              </w:tc>
              <w:tc>
                <w:tcPr>
                  <w:tcW w:w="923" w:type="pct"/>
                  <w:vAlign w:val="center"/>
                </w:tcPr>
                <w:p>
                  <w:pPr>
                    <w:pStyle w:val="11"/>
                    <w:bidi w:val="0"/>
                    <w:jc w:val="center"/>
                    <w:rPr>
                      <w:rFonts w:hint="eastAsia"/>
                      <w:lang w:val="en-US" w:eastAsia="zh-CN"/>
                    </w:rPr>
                  </w:pPr>
                  <w:r>
                    <w:rPr>
                      <w:rFonts w:hint="eastAsia"/>
                      <w:lang w:val="en-US" w:eastAsia="zh-CN"/>
                    </w:rPr>
                    <w:t>《“十三五”挥发性有机物污染防治工作方案》</w:t>
                  </w:r>
                </w:p>
              </w:tc>
              <w:tc>
                <w:tcPr>
                  <w:tcW w:w="3223" w:type="pct"/>
                  <w:vAlign w:val="center"/>
                </w:tcPr>
                <w:p>
                  <w:pPr>
                    <w:pStyle w:val="11"/>
                    <w:bidi w:val="0"/>
                    <w:jc w:val="both"/>
                    <w:rPr>
                      <w:rFonts w:hint="eastAsia"/>
                      <w:lang w:val="en-US" w:eastAsia="zh-CN"/>
                    </w:rPr>
                  </w:pPr>
                  <w:r>
                    <w:rPr>
                      <w:rFonts w:hint="eastAsia"/>
                      <w:lang w:val="en-US" w:eastAsia="zh-CN"/>
                    </w:rPr>
                    <w:t>严格建设项目环境准入。提高VOCs排放重点行业环保准入门槛，严格控制新增污染物排放量。重点地区要严格限制石化、化工、包装印刷、工业涂装等高VOCs排放建设项目。新建涉VOCs排放的工业企业要入园区，严格涉VOCs建设项目环境影响评价，实行区域内VOCs排放等量或倍量削减替代，并将替代方案落实到企业排污许可证中，纳入环境执法管理。新、改、扩建涉VOCs排放项目，应从源头加强控制，使用低（无）VOCs含量的原辅材料，加强废气收集，安装高效治理设施。</w:t>
                  </w:r>
                </w:p>
              </w:tc>
              <w:tc>
                <w:tcPr>
                  <w:tcW w:w="664" w:type="pct"/>
                  <w:vMerge w:val="restart"/>
                  <w:vAlign w:val="center"/>
                </w:tcPr>
                <w:p>
                  <w:pPr>
                    <w:pStyle w:val="11"/>
                    <w:bidi w:val="0"/>
                    <w:jc w:val="center"/>
                    <w:rPr>
                      <w:rFonts w:hint="eastAsia"/>
                      <w:lang w:val="en-US" w:eastAsia="zh-CN"/>
                    </w:rPr>
                  </w:pPr>
                  <w:r>
                    <w:rPr>
                      <w:rFonts w:hint="eastAsia"/>
                      <w:lang w:val="en-US" w:eastAsia="zh-CN"/>
                    </w:rPr>
                    <w:t>1、本项目位于许昌市城乡一体化示范区高新技术产业园</w:t>
                  </w:r>
                  <w:r>
                    <w:rPr>
                      <w:rFonts w:hint="eastAsia"/>
                      <w:szCs w:val="21"/>
                    </w:rPr>
                    <w:t>，项目现状用地属于工业用地</w:t>
                  </w:r>
                  <w:r>
                    <w:rPr>
                      <w:szCs w:val="21"/>
                    </w:rPr>
                    <w:t>；</w:t>
                  </w:r>
                </w:p>
                <w:p>
                  <w:pPr>
                    <w:pStyle w:val="11"/>
                    <w:bidi w:val="0"/>
                    <w:jc w:val="both"/>
                    <w:rPr>
                      <w:rFonts w:hint="eastAsia"/>
                      <w:lang w:val="en-US" w:eastAsia="zh-CN"/>
                    </w:rPr>
                  </w:pPr>
                  <w:r>
                    <w:rPr>
                      <w:rFonts w:hint="eastAsia"/>
                      <w:lang w:val="en-US" w:eastAsia="zh-CN"/>
                    </w:rPr>
                    <w:t>2、项目所用白炭黑粉状物料均为袋装，不易产尘并且暂存于厂区原料库中。</w:t>
                  </w:r>
                </w:p>
                <w:p>
                  <w:pPr>
                    <w:pStyle w:val="11"/>
                    <w:bidi w:val="0"/>
                    <w:jc w:val="both"/>
                    <w:rPr>
                      <w:rFonts w:hint="eastAsia"/>
                      <w:lang w:val="en-US" w:eastAsia="zh-CN"/>
                    </w:rPr>
                  </w:pPr>
                  <w:r>
                    <w:rPr>
                      <w:rFonts w:hint="eastAsia"/>
                      <w:lang w:val="en-US" w:eastAsia="zh-CN"/>
                    </w:rPr>
                    <w:t>3、</w:t>
                  </w:r>
                  <w:r>
                    <w:rPr>
                      <w:rFonts w:hint="eastAsia"/>
                      <w:color w:val="auto"/>
                      <w:lang w:val="en-US" w:eastAsia="zh-CN"/>
                    </w:rPr>
                    <w:t>项目1#车间混胶工序和1#、2#车间的成型工序分别采取“二次密闭+集气罩”收集废气，混胶废气经袋式除尘器处理后，与成型废气合并至“UV光氧+活性炭吸附”装置处理后通过1根15米高排气筒排放，处理效率为85%</w:t>
                  </w:r>
                  <w:r>
                    <w:rPr>
                      <w:rFonts w:hint="eastAsia"/>
                      <w:lang w:val="en-US" w:eastAsia="zh-CN"/>
                    </w:rPr>
                    <w:t>。</w:t>
                  </w:r>
                </w:p>
                <w:p>
                  <w:pPr>
                    <w:pStyle w:val="11"/>
                    <w:bidi w:val="0"/>
                    <w:jc w:val="both"/>
                    <w:rPr>
                      <w:rFonts w:hint="default"/>
                      <w:lang w:val="en-US" w:eastAsia="zh-CN"/>
                    </w:rPr>
                  </w:pPr>
                  <w:r>
                    <w:rPr>
                      <w:rFonts w:hint="eastAsia"/>
                      <w:szCs w:val="21"/>
                      <w:lang w:val="en-US" w:eastAsia="zh-CN"/>
                    </w:rPr>
                    <w:t>4、本项目属于搬迁项目，新项目建成后原有项目将不再生产。原有项目VOCs排放量为0.0576t/a，本次项目有机废气VOCs排放量为0.0441t/a，低于原有项目，因此本项目不新增VOCs污染物。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188" w:type="pct"/>
                  <w:vAlign w:val="center"/>
                </w:tcPr>
                <w:p>
                  <w:pPr>
                    <w:pStyle w:val="11"/>
                    <w:bidi w:val="0"/>
                    <w:jc w:val="center"/>
                    <w:rPr>
                      <w:rFonts w:hint="default"/>
                      <w:lang w:val="en-US" w:eastAsia="zh-CN"/>
                    </w:rPr>
                  </w:pPr>
                  <w:r>
                    <w:rPr>
                      <w:rFonts w:hint="eastAsia"/>
                      <w:lang w:val="en-US" w:eastAsia="zh-CN"/>
                    </w:rPr>
                    <w:t>2</w:t>
                  </w:r>
                </w:p>
              </w:tc>
              <w:tc>
                <w:tcPr>
                  <w:tcW w:w="923" w:type="pct"/>
                  <w:vAlign w:val="center"/>
                </w:tcPr>
                <w:p>
                  <w:pPr>
                    <w:pStyle w:val="11"/>
                    <w:bidi w:val="0"/>
                    <w:jc w:val="center"/>
                    <w:rPr>
                      <w:rFonts w:hint="eastAsia"/>
                      <w:lang w:val="en-US" w:eastAsia="zh-CN"/>
                    </w:rPr>
                  </w:pPr>
                  <w:r>
                    <w:rPr>
                      <w:rFonts w:hint="eastAsia"/>
                      <w:lang w:val="en-US" w:eastAsia="zh-CN"/>
                    </w:rPr>
                    <w:t>《挥发性有机物（VOCs）污染防治技术政策》</w:t>
                  </w:r>
                </w:p>
              </w:tc>
              <w:tc>
                <w:tcPr>
                  <w:tcW w:w="3223" w:type="pct"/>
                  <w:vAlign w:val="center"/>
                </w:tcPr>
                <w:p>
                  <w:pPr>
                    <w:pStyle w:val="11"/>
                    <w:bidi w:val="0"/>
                    <w:jc w:val="both"/>
                    <w:rPr>
                      <w:rFonts w:hint="eastAsia"/>
                      <w:lang w:val="en-US" w:eastAsia="zh-CN"/>
                    </w:rPr>
                  </w:pPr>
                  <w:r>
                    <w:rPr>
                      <w:rFonts w:hint="eastAsia"/>
                      <w:lang w:val="en-US" w:eastAsia="zh-CN"/>
                    </w:rPr>
                    <w:t>1、在涂装、印刷、粘合、工业清洗等含VOCs产品的使用过程中的VOCs污染防治技术措施包括：①鼓励使用通过环境标志产品认证的环保型涂料、油墨、胶粘剂和清洗剂；②根据涂装工艺的不同，鼓励使用水性涂料、高固份涂料、粉末涂料、紫外光固化（UV）涂料等环保型涂料；推广采用静电喷涂、淋涂、辊涂、浸涂等效率较高的涂装工艺；应尽量避免无VOCs净化、回收措施的露天喷涂作业；③在印刷工艺中推广使用水性油墨，印铁制罐行业鼓励使用紫外光固化（UV）油墨，书刊印刷行业鼓励使用预涂膜技术；④.鼓励在人造板、制鞋、皮革制品、包装材料等粘合过程中使用水基型、热熔型等环保型胶粘剂，在复合膜的生产中推广无溶剂复合及共挤出复合技术；⑤淘汰以三氟三氯乙烷、甲基氯仿和四氯化碳为清洗剂或溶剂的生产工艺。清洗过程中产生的废溶剂宜密闭收集，有回收价值的废溶剂经处理后回用，其他废溶剂应妥善处置；⑥含VOCs产品的使用过程中，应采取废气收集措施，提高废气收集效率，减少废气的无组织排放与逸散，并对收集后的废气进行回收或处理后达标排放。</w:t>
                  </w:r>
                </w:p>
                <w:p>
                  <w:pPr>
                    <w:pStyle w:val="11"/>
                    <w:bidi w:val="0"/>
                    <w:jc w:val="both"/>
                    <w:rPr>
                      <w:rFonts w:hint="eastAsia"/>
                      <w:lang w:val="en-US" w:eastAsia="zh-CN"/>
                    </w:rPr>
                  </w:pPr>
                  <w:r>
                    <w:rPr>
                      <w:rFonts w:hint="eastAsia"/>
                      <w:lang w:val="en-US" w:eastAsia="zh-CN"/>
                    </w:rPr>
                    <w:t>2、对于含低浓度VOCs的废气，有回收价值时可采用吸附技术、吸收技术对有机溶剂回收后达标排放；不宜回收时，可采用吸附浓缩燃烧技术、生物技术、吸收技术、等离子体技术或紫外光高级氧化技术等净化后达标排放。</w:t>
                  </w:r>
                </w:p>
                <w:p>
                  <w:pPr>
                    <w:pStyle w:val="11"/>
                    <w:bidi w:val="0"/>
                    <w:jc w:val="both"/>
                    <w:rPr>
                      <w:rFonts w:hint="default"/>
                      <w:lang w:val="en-US" w:eastAsia="zh-CN"/>
                    </w:rPr>
                  </w:pPr>
                  <w:r>
                    <w:rPr>
                      <w:rFonts w:hint="eastAsia"/>
                      <w:lang w:val="en-US" w:eastAsia="zh-CN"/>
                    </w:rPr>
                    <w:t>3、对于不能再生的过滤材料、吸附剂及催化剂等净化材料，应按照国家固体废物管理的相关规定处理处置。</w:t>
                  </w:r>
                </w:p>
              </w:tc>
              <w:tc>
                <w:tcPr>
                  <w:tcW w:w="664" w:type="pct"/>
                  <w:vMerge w:val="continue"/>
                  <w:vAlign w:val="center"/>
                </w:tcPr>
                <w:p>
                  <w:pPr>
                    <w:pStyle w:val="11"/>
                    <w:bidi w:val="0"/>
                    <w:jc w:val="center"/>
                    <w:rPr>
                      <w:rFonts w:hint="eastAsia"/>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188" w:type="pct"/>
                  <w:vAlign w:val="center"/>
                </w:tcPr>
                <w:p>
                  <w:pPr>
                    <w:pStyle w:val="11"/>
                    <w:bidi w:val="0"/>
                    <w:jc w:val="center"/>
                    <w:rPr>
                      <w:rFonts w:hint="default"/>
                      <w:lang w:val="en-US" w:eastAsia="zh-CN"/>
                    </w:rPr>
                  </w:pPr>
                  <w:r>
                    <w:rPr>
                      <w:rFonts w:hint="eastAsia"/>
                      <w:lang w:val="en-US" w:eastAsia="zh-CN"/>
                    </w:rPr>
                    <w:t>3</w:t>
                  </w:r>
                </w:p>
              </w:tc>
              <w:tc>
                <w:tcPr>
                  <w:tcW w:w="923" w:type="pct"/>
                  <w:vAlign w:val="center"/>
                </w:tcPr>
                <w:p>
                  <w:pPr>
                    <w:pStyle w:val="11"/>
                    <w:bidi w:val="0"/>
                    <w:rPr>
                      <w:rFonts w:hint="eastAsia"/>
                      <w:lang w:val="en-US" w:eastAsia="zh-CN"/>
                    </w:rPr>
                  </w:pPr>
                  <w:r>
                    <w:t>《重点行业挥发性有机物综合治理方案》（环大气</w:t>
                  </w:r>
                  <w:r>
                    <w:rPr>
                      <w:rFonts w:hint="eastAsia"/>
                      <w:lang w:val="en-US" w:eastAsia="zh-CN"/>
                    </w:rPr>
                    <w:t>〔</w:t>
                  </w:r>
                  <w:r>
                    <w:t>2019</w:t>
                  </w:r>
                  <w:r>
                    <w:rPr>
                      <w:rFonts w:hint="eastAsia"/>
                      <w:lang w:val="en-US" w:eastAsia="zh-CN"/>
                    </w:rPr>
                    <w:t>〕</w:t>
                  </w:r>
                  <w:r>
                    <w:t>53号）</w:t>
                  </w:r>
                </w:p>
              </w:tc>
              <w:tc>
                <w:tcPr>
                  <w:tcW w:w="3223" w:type="pct"/>
                  <w:vAlign w:val="center"/>
                </w:tcPr>
                <w:p>
                  <w:pPr>
                    <w:pStyle w:val="11"/>
                    <w:bidi w:val="0"/>
                    <w:jc w:val="both"/>
                    <w:rPr>
                      <w:rFonts w:hint="eastAsia"/>
                      <w:lang w:val="en-US" w:eastAsia="zh-CN"/>
                    </w:rPr>
                  </w:pPr>
                  <w:r>
                    <w:t>石化、化工、工业涂装、包装印刷、油品储运销等行业（以下简称重点行业）是我国VOCs重点排放源。为打赢蓝天保卫战、进一步改善环境空气质量，迫切需要全面加强重点行业VOCs综合治理。</w:t>
                  </w:r>
                </w:p>
              </w:tc>
              <w:tc>
                <w:tcPr>
                  <w:tcW w:w="664" w:type="pct"/>
                  <w:vMerge w:val="continue"/>
                  <w:vAlign w:val="center"/>
                </w:tcPr>
                <w:p>
                  <w:pPr>
                    <w:pStyle w:val="11"/>
                    <w:bidi w:val="0"/>
                    <w:jc w:val="center"/>
                    <w:rPr>
                      <w:rFonts w:hint="eastAsia"/>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188" w:type="pct"/>
                  <w:vAlign w:val="center"/>
                </w:tcPr>
                <w:p>
                  <w:pPr>
                    <w:pStyle w:val="11"/>
                    <w:bidi w:val="0"/>
                    <w:jc w:val="center"/>
                    <w:rPr>
                      <w:rFonts w:hint="default"/>
                      <w:lang w:val="en-US" w:eastAsia="zh-CN"/>
                    </w:rPr>
                  </w:pPr>
                  <w:r>
                    <w:rPr>
                      <w:rFonts w:hint="eastAsia"/>
                      <w:lang w:val="en-US" w:eastAsia="zh-CN"/>
                    </w:rPr>
                    <w:t>4</w:t>
                  </w:r>
                </w:p>
              </w:tc>
              <w:tc>
                <w:tcPr>
                  <w:tcW w:w="923" w:type="pct"/>
                  <w:vAlign w:val="center"/>
                </w:tcPr>
                <w:p>
                  <w:pPr>
                    <w:pStyle w:val="11"/>
                    <w:bidi w:val="0"/>
                    <w:rPr>
                      <w:lang w:val="en-US" w:eastAsia="zh-CN"/>
                    </w:rPr>
                  </w:pPr>
                  <w:r>
                    <w:t>《河南省2021年大气、水、土壤污染防治攻坚战及农业农村污染治理攻坚战实施方案》（豫环攻坚办</w:t>
                  </w:r>
                  <w:r>
                    <w:rPr>
                      <w:rFonts w:hint="eastAsia"/>
                      <w:lang w:val="en-US" w:eastAsia="zh-CN"/>
                    </w:rPr>
                    <w:t>〔</w:t>
                  </w:r>
                  <w:r>
                    <w:t>2021</w:t>
                  </w:r>
                  <w:r>
                    <w:rPr>
                      <w:rFonts w:hint="eastAsia"/>
                      <w:lang w:val="en-US" w:eastAsia="zh-CN"/>
                    </w:rPr>
                    <w:t>〕</w:t>
                  </w:r>
                  <w:r>
                    <w:t>20号）</w:t>
                  </w:r>
                </w:p>
              </w:tc>
              <w:tc>
                <w:tcPr>
                  <w:tcW w:w="3223" w:type="pct"/>
                  <w:vAlign w:val="center"/>
                </w:tcPr>
                <w:p>
                  <w:pPr>
                    <w:pStyle w:val="11"/>
                    <w:bidi w:val="0"/>
                    <w:jc w:val="both"/>
                  </w:pPr>
                  <w:r>
                    <w:rPr>
                      <w:rFonts w:hint="eastAsia"/>
                      <w:lang w:val="en-US" w:eastAsia="zh-CN"/>
                    </w:rPr>
                    <w:t>1、</w:t>
                  </w:r>
                  <w:r>
                    <w:rPr>
                      <w:rFonts w:hint="eastAsia"/>
                    </w:rPr>
                    <w:t>大力推荐源头替代。通过使用水性、粉末、高固体分、无溶剂、辐射固化等低VOCs含量的涂料，水性、辐射固化、植物基等低VOCs含量的油墨，水基、热熔、无溶剂、辐射固化、改性、生物降解等低VOCs含量的胶粘剂，以及低VOCs含量、低反应活性的清洗剂等，替代溶剂型涂料、油墨、胶粘剂、清洗剂等，从源头减少VOCs产生。加强对全省低VOCs含量涂料、油墨、胶粘剂、清洗剂等产品生产销售环节监管，严厉打击劣质不合格产品。全省家具制造、制鞋、汽车整车制造、工程机械整机制造、包装印刷及含涂装工序企业，2021年5月底前原辅材料达到重点行业绩效分级B级及以上或绩效引领指标要求，达不到要求的企业纳入包括夏季在内的错峰生产调控。</w:t>
                  </w:r>
                </w:p>
                <w:p>
                  <w:pPr>
                    <w:pStyle w:val="11"/>
                    <w:bidi w:val="0"/>
                    <w:jc w:val="both"/>
                    <w:rPr>
                      <w:rFonts w:hint="eastAsia"/>
                    </w:rPr>
                  </w:pPr>
                  <w:r>
                    <w:rPr>
                      <w:rFonts w:hint="eastAsia"/>
                      <w:lang w:val="en-US" w:eastAsia="zh-CN"/>
                    </w:rPr>
                    <w:t>2、</w:t>
                  </w:r>
                  <w:r>
                    <w:rPr>
                      <w:rFonts w:hint="eastAsia"/>
                    </w:rPr>
                    <w:t>加强工业企业VOCs全过程运行管理。巩固 VOCs综合治理成效，聚焦提升企业废气收集率、治理设施同步运行率和去除率，鼓励企业采用高于现行标准要求的治理措施，取消废气排放系统旁路设置，因安全生产等原因必须保留的，应将旁路保留清单报省辖市生态环境部门备案并加强日常监管。强化VOCs无组织排放收集，在保证安全的前提下，实施含VOCs物料全方位、全链条、全环节密闭管理，实现厂房由敞开变密闭、由常压变负压、由逸散变聚合、空气由污浊变清新的“四由四变”目标。2021年5月起，生态环境部门组织开展夏季VOCs重点排放单位专项检查。</w:t>
                  </w:r>
                </w:p>
                <w:p>
                  <w:pPr>
                    <w:pStyle w:val="11"/>
                    <w:bidi w:val="0"/>
                    <w:jc w:val="both"/>
                    <w:rPr>
                      <w:rFonts w:hint="eastAsia"/>
                      <w:lang w:val="en-US" w:eastAsia="zh-CN"/>
                    </w:rPr>
                  </w:pPr>
                  <w:r>
                    <w:rPr>
                      <w:rFonts w:hint="eastAsia"/>
                    </w:rPr>
                    <w:t>本项目有机废气采取</w:t>
                  </w:r>
                  <w:r>
                    <w:rPr>
                      <w:rFonts w:hint="eastAsia"/>
                      <w:lang w:val="en-US" w:eastAsia="zh-CN"/>
                    </w:rPr>
                    <w:t>二次密闭+</w:t>
                  </w:r>
                  <w:r>
                    <w:rPr>
                      <w:rFonts w:hint="eastAsia"/>
                    </w:rPr>
                    <w:t>集气罩收集，有机废气初始排放速</w:t>
                  </w:r>
                  <w:r>
                    <w:rPr>
                      <w:rFonts w:hint="eastAsia"/>
                      <w:color w:val="auto"/>
                    </w:rPr>
                    <w:t>率</w:t>
                  </w:r>
                  <w:r>
                    <w:rPr>
                      <w:rFonts w:hint="eastAsia"/>
                      <w:color w:val="auto"/>
                      <w:lang w:val="en-US" w:eastAsia="zh-CN"/>
                    </w:rPr>
                    <w:t>0.0212</w:t>
                  </w:r>
                  <w:r>
                    <w:rPr>
                      <w:rFonts w:hint="eastAsia"/>
                      <w:color w:val="auto"/>
                    </w:rPr>
                    <w:t>kg/h，项目</w:t>
                  </w:r>
                  <w:r>
                    <w:rPr>
                      <w:rFonts w:hint="eastAsia"/>
                    </w:rPr>
                    <w:t>产生的有机废气有效收集后经“</w:t>
                  </w:r>
                  <w:r>
                    <w:rPr>
                      <w:rFonts w:hint="eastAsia"/>
                      <w:lang w:eastAsia="zh-CN"/>
                    </w:rPr>
                    <w:t>UV光氧+活性炭吸附</w:t>
                  </w:r>
                  <w:r>
                    <w:rPr>
                      <w:rFonts w:hint="eastAsia"/>
                    </w:rPr>
                    <w:t>”处理后经15m高排气筒排放，有机废气去除效率</w:t>
                  </w:r>
                  <w:r>
                    <w:rPr>
                      <w:rFonts w:hint="eastAsia"/>
                      <w:lang w:val="en-US" w:eastAsia="zh-CN"/>
                    </w:rPr>
                    <w:t>8</w:t>
                  </w:r>
                  <w:r>
                    <w:t>5</w:t>
                  </w:r>
                  <w:r>
                    <w:rPr>
                      <w:rFonts w:hint="eastAsia"/>
                    </w:rPr>
                    <w:t>%，由上可知项目满足文件要求</w:t>
                  </w:r>
                </w:p>
              </w:tc>
              <w:tc>
                <w:tcPr>
                  <w:tcW w:w="664" w:type="pct"/>
                  <w:vMerge w:val="continue"/>
                  <w:vAlign w:val="center"/>
                </w:tcPr>
                <w:p>
                  <w:pPr>
                    <w:pStyle w:val="11"/>
                    <w:bidi w:val="0"/>
                    <w:jc w:val="center"/>
                    <w:rPr>
                      <w:rFonts w:hint="eastAsia"/>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20" w:hRule="atLeast"/>
              </w:trPr>
              <w:tc>
                <w:tcPr>
                  <w:tcW w:w="188" w:type="pct"/>
                  <w:vAlign w:val="center"/>
                </w:tcPr>
                <w:p>
                  <w:pPr>
                    <w:pStyle w:val="11"/>
                    <w:bidi w:val="0"/>
                    <w:jc w:val="center"/>
                    <w:rPr>
                      <w:rFonts w:hint="default"/>
                      <w:lang w:val="en-US" w:eastAsia="zh-CN"/>
                    </w:rPr>
                  </w:pPr>
                  <w:r>
                    <w:rPr>
                      <w:rFonts w:hint="eastAsia"/>
                      <w:lang w:val="en-US" w:eastAsia="zh-CN"/>
                    </w:rPr>
                    <w:t>5</w:t>
                  </w:r>
                </w:p>
              </w:tc>
              <w:tc>
                <w:tcPr>
                  <w:tcW w:w="923" w:type="pct"/>
                  <w:vAlign w:val="center"/>
                </w:tcPr>
                <w:p>
                  <w:pPr>
                    <w:pStyle w:val="11"/>
                    <w:bidi w:val="0"/>
                    <w:jc w:val="center"/>
                    <w:rPr>
                      <w:rFonts w:hint="eastAsia"/>
                      <w:lang w:val="en-US" w:eastAsia="zh-CN"/>
                    </w:rPr>
                  </w:pPr>
                  <w:r>
                    <w:rPr>
                      <w:rFonts w:hint="eastAsia"/>
                      <w:lang w:val="en-US" w:eastAsia="zh-CN"/>
                    </w:rPr>
                    <w:t>《许昌市2021年大气、水、土壤污染防治攻坚战及农业农村污染治理攻坚战实施方案》（许环攻坚办〔2021〕36号）</w:t>
                  </w:r>
                </w:p>
              </w:tc>
              <w:tc>
                <w:tcPr>
                  <w:tcW w:w="3223" w:type="pct"/>
                  <w:vAlign w:val="center"/>
                </w:tcPr>
                <w:p>
                  <w:pPr>
                    <w:pStyle w:val="11"/>
                    <w:bidi w:val="0"/>
                    <w:jc w:val="both"/>
                    <w:rPr>
                      <w:rFonts w:hint="eastAsia"/>
                      <w:lang w:val="en-US" w:eastAsia="zh-CN"/>
                    </w:rPr>
                  </w:pPr>
                  <w:r>
                    <w:rPr>
                      <w:rFonts w:hint="eastAsia"/>
                      <w:lang w:val="en-US" w:eastAsia="zh-CN"/>
                    </w:rPr>
                    <w:t>1、大力推进源头替代。通过使用水性、粉末、高固体分、无溶剂、辐射固化等低VOCs含量的涂料，水性、辐射固化、植物基等低VOCs含量的油墨，水基、热熔、无溶剂、辐射固化、改性、生物降解等低VOCs含量的胶粘剂，以及低VOCs含量、低反应活性的清洗剂等，替代溶剂型涂料、油墨、胶粘剂、清洗剂等，从源头减少VOCs产生。加强对全市低VOCs含量涂料、油墨、胶粘剂、清洗剂等产品生产销售环节监管，严厉打击劣质不合格产品。全市家具制造、制鞋、汽车整车制造、工程机械整机制造、包装印刷及含涂装工序企业，2021年5月底前原辅材料达到重点行业绩效分级B级及以上或绩效引领指标要求，达不到要求的企业纳入夏季错时生产调控。</w:t>
                  </w:r>
                </w:p>
                <w:p>
                  <w:pPr>
                    <w:pStyle w:val="11"/>
                    <w:bidi w:val="0"/>
                    <w:jc w:val="both"/>
                    <w:rPr>
                      <w:rFonts w:hint="eastAsia"/>
                      <w:lang w:val="en-US" w:eastAsia="zh-CN"/>
                    </w:rPr>
                  </w:pPr>
                  <w:r>
                    <w:rPr>
                      <w:rFonts w:hint="eastAsia"/>
                      <w:lang w:val="en-US" w:eastAsia="zh-CN"/>
                    </w:rPr>
                    <w:t>2、加强工业企业VOCs全过程运行管理。巩固VOCs综合治理成效，聚焦提升企业废气收集率、治理设施同步运行率和去除率，鼓励企业采用高于现行标准要求的治理措施，取消废气排放系统旁路设置，因安全生产等原因必须保留的，应将旁路保留清单报生态环境部门备案并加强日常监管。强化VOCs无组织排放收集，在保证安全的前提下，实施含VOCs物料全方位、全链条、全环节密闭管理，实现厂房由开敞变密闭、由常压变负压、由逸散变聚合、空气由污浊变清新的“四由四变”目标。</w:t>
                  </w:r>
                </w:p>
              </w:tc>
              <w:tc>
                <w:tcPr>
                  <w:tcW w:w="664" w:type="pct"/>
                  <w:vMerge w:val="continue"/>
                  <w:vAlign w:val="center"/>
                </w:tcPr>
                <w:p>
                  <w:pPr>
                    <w:pStyle w:val="11"/>
                    <w:bidi w:val="0"/>
                    <w:jc w:val="center"/>
                    <w:rPr>
                      <w:rFonts w:hint="eastAsia"/>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188" w:type="pct"/>
                  <w:vAlign w:val="center"/>
                </w:tcPr>
                <w:p>
                  <w:pPr>
                    <w:pStyle w:val="11"/>
                    <w:bidi w:val="0"/>
                    <w:jc w:val="center"/>
                    <w:rPr>
                      <w:rFonts w:hint="default"/>
                      <w:lang w:val="en-US" w:eastAsia="zh-CN"/>
                    </w:rPr>
                  </w:pPr>
                  <w:r>
                    <w:rPr>
                      <w:rFonts w:hint="eastAsia"/>
                      <w:lang w:val="en-US" w:eastAsia="zh-CN"/>
                    </w:rPr>
                    <w:t>6</w:t>
                  </w:r>
                </w:p>
              </w:tc>
              <w:tc>
                <w:tcPr>
                  <w:tcW w:w="923" w:type="pct"/>
                  <w:vAlign w:val="center"/>
                </w:tcPr>
                <w:p>
                  <w:pPr>
                    <w:pStyle w:val="11"/>
                    <w:bidi w:val="0"/>
                    <w:rPr>
                      <w:rFonts w:hint="eastAsia"/>
                      <w:lang w:val="en-US" w:eastAsia="zh-CN"/>
                    </w:rPr>
                  </w:pPr>
                  <w:r>
                    <w:t>《挥发性有机物无组织排放控制标准》（GB37822-2019）</w:t>
                  </w:r>
                </w:p>
              </w:tc>
              <w:tc>
                <w:tcPr>
                  <w:tcW w:w="3223" w:type="pct"/>
                  <w:vAlign w:val="center"/>
                </w:tcPr>
                <w:p>
                  <w:pPr>
                    <w:pStyle w:val="11"/>
                    <w:bidi w:val="0"/>
                    <w:jc w:val="both"/>
                  </w:pPr>
                  <w:r>
                    <w:t>VOCs质量占比大于等于10%的含VOCs产品，其使用过程应采用密闭设备或在密闭空间内操作，废气应排至VOCs废气收集处理系统；无法密闭的，应采取局部气体收集措施，废气应排至VOCs废气收集处理系统。含VOCs产品的使用过程包括但不限于以下作业：</w:t>
                  </w:r>
                </w:p>
                <w:p>
                  <w:pPr>
                    <w:pStyle w:val="11"/>
                    <w:bidi w:val="0"/>
                    <w:jc w:val="both"/>
                  </w:pPr>
                  <w:r>
                    <w:t>a</w:t>
                  </w:r>
                  <w:r>
                    <w:rPr>
                      <w:rFonts w:hint="eastAsia"/>
                      <w:lang w:eastAsia="zh-CN"/>
                    </w:rPr>
                    <w:t>）</w:t>
                  </w:r>
                  <w:r>
                    <w:t>调配</w:t>
                  </w:r>
                  <w:r>
                    <w:rPr>
                      <w:rFonts w:hint="eastAsia"/>
                      <w:lang w:eastAsia="zh-CN"/>
                    </w:rPr>
                    <w:t>（</w:t>
                  </w:r>
                  <w:r>
                    <w:t>混合、搅拌等</w:t>
                  </w:r>
                  <w:r>
                    <w:rPr>
                      <w:rFonts w:hint="eastAsia"/>
                      <w:lang w:eastAsia="zh-CN"/>
                    </w:rPr>
                    <w:t>）</w:t>
                  </w:r>
                  <w:r>
                    <w:t>；</w:t>
                  </w:r>
                </w:p>
                <w:p>
                  <w:pPr>
                    <w:pStyle w:val="11"/>
                    <w:bidi w:val="0"/>
                    <w:jc w:val="both"/>
                  </w:pPr>
                  <w:r>
                    <w:t>b</w:t>
                  </w:r>
                  <w:r>
                    <w:rPr>
                      <w:rFonts w:hint="eastAsia"/>
                      <w:lang w:eastAsia="zh-CN"/>
                    </w:rPr>
                    <w:t>）</w:t>
                  </w:r>
                  <w:r>
                    <w:t>涂装</w:t>
                  </w:r>
                  <w:r>
                    <w:rPr>
                      <w:rFonts w:hint="eastAsia"/>
                      <w:lang w:eastAsia="zh-CN"/>
                    </w:rPr>
                    <w:t>（</w:t>
                  </w:r>
                  <w:r>
                    <w:t>喷涂、浸涂、淋涂、辊涂、刷涂、涂布等</w:t>
                  </w:r>
                  <w:r>
                    <w:rPr>
                      <w:rFonts w:hint="eastAsia"/>
                      <w:lang w:eastAsia="zh-CN"/>
                    </w:rPr>
                    <w:t>）</w:t>
                  </w:r>
                  <w:r>
                    <w:t>；</w:t>
                  </w:r>
                </w:p>
                <w:p>
                  <w:pPr>
                    <w:pStyle w:val="11"/>
                    <w:bidi w:val="0"/>
                    <w:jc w:val="both"/>
                  </w:pPr>
                  <w:r>
                    <w:t>c</w:t>
                  </w:r>
                  <w:r>
                    <w:rPr>
                      <w:rFonts w:hint="eastAsia"/>
                      <w:lang w:eastAsia="zh-CN"/>
                    </w:rPr>
                    <w:t>）</w:t>
                  </w:r>
                  <w:r>
                    <w:t>印刷</w:t>
                  </w:r>
                  <w:r>
                    <w:rPr>
                      <w:rFonts w:hint="eastAsia"/>
                      <w:lang w:eastAsia="zh-CN"/>
                    </w:rPr>
                    <w:t>（</w:t>
                  </w:r>
                  <w:r>
                    <w:t>平版、凸版、凹版、孔版等</w:t>
                  </w:r>
                  <w:r>
                    <w:rPr>
                      <w:rFonts w:hint="eastAsia"/>
                      <w:lang w:eastAsia="zh-CN"/>
                    </w:rPr>
                    <w:t>）</w:t>
                  </w:r>
                  <w:r>
                    <w:t>；</w:t>
                  </w:r>
                </w:p>
                <w:p>
                  <w:pPr>
                    <w:pStyle w:val="11"/>
                    <w:bidi w:val="0"/>
                    <w:jc w:val="both"/>
                  </w:pPr>
                  <w:r>
                    <w:t>d</w:t>
                  </w:r>
                  <w:r>
                    <w:rPr>
                      <w:rFonts w:hint="eastAsia"/>
                      <w:lang w:eastAsia="zh-CN"/>
                    </w:rPr>
                    <w:t>）</w:t>
                  </w:r>
                  <w:r>
                    <w:t>粘结</w:t>
                  </w:r>
                  <w:r>
                    <w:rPr>
                      <w:rFonts w:hint="eastAsia"/>
                      <w:lang w:eastAsia="zh-CN"/>
                    </w:rPr>
                    <w:t>（</w:t>
                  </w:r>
                  <w:r>
                    <w:t>涂胶、热压、复合、贴合等</w:t>
                  </w:r>
                  <w:r>
                    <w:rPr>
                      <w:rFonts w:hint="eastAsia"/>
                      <w:lang w:eastAsia="zh-CN"/>
                    </w:rPr>
                    <w:t>）</w:t>
                  </w:r>
                  <w:r>
                    <w:t>；</w:t>
                  </w:r>
                </w:p>
                <w:p>
                  <w:pPr>
                    <w:pStyle w:val="11"/>
                    <w:bidi w:val="0"/>
                    <w:jc w:val="both"/>
                  </w:pPr>
                  <w:r>
                    <w:t>e</w:t>
                  </w:r>
                  <w:r>
                    <w:rPr>
                      <w:rFonts w:hint="eastAsia"/>
                      <w:lang w:eastAsia="zh-CN"/>
                    </w:rPr>
                    <w:t>）</w:t>
                  </w:r>
                  <w:r>
                    <w:t>印染</w:t>
                  </w:r>
                  <w:r>
                    <w:rPr>
                      <w:rFonts w:hint="eastAsia"/>
                      <w:lang w:eastAsia="zh-CN"/>
                    </w:rPr>
                    <w:t>（</w:t>
                  </w:r>
                  <w:r>
                    <w:t>染色、印花、定型等</w:t>
                  </w:r>
                  <w:r>
                    <w:rPr>
                      <w:rFonts w:hint="eastAsia"/>
                      <w:lang w:eastAsia="zh-CN"/>
                    </w:rPr>
                    <w:t>）</w:t>
                  </w:r>
                  <w:r>
                    <w:t>；</w:t>
                  </w:r>
                </w:p>
                <w:p>
                  <w:pPr>
                    <w:pStyle w:val="11"/>
                    <w:bidi w:val="0"/>
                    <w:jc w:val="both"/>
                  </w:pPr>
                  <w:r>
                    <w:t>f</w:t>
                  </w:r>
                  <w:r>
                    <w:rPr>
                      <w:rFonts w:hint="eastAsia"/>
                      <w:lang w:eastAsia="zh-CN"/>
                    </w:rPr>
                    <w:t>）</w:t>
                  </w:r>
                  <w:r>
                    <w:t>干燥</w:t>
                  </w:r>
                  <w:r>
                    <w:rPr>
                      <w:rFonts w:hint="eastAsia"/>
                      <w:lang w:eastAsia="zh-CN"/>
                    </w:rPr>
                    <w:t>（</w:t>
                  </w:r>
                  <w:r>
                    <w:t>烘干、风干、晾干等</w:t>
                  </w:r>
                  <w:r>
                    <w:rPr>
                      <w:rFonts w:hint="eastAsia"/>
                      <w:lang w:eastAsia="zh-CN"/>
                    </w:rPr>
                    <w:t>）</w:t>
                  </w:r>
                  <w:r>
                    <w:t>；</w:t>
                  </w:r>
                </w:p>
                <w:p>
                  <w:pPr>
                    <w:pStyle w:val="11"/>
                    <w:bidi w:val="0"/>
                    <w:jc w:val="both"/>
                    <w:rPr>
                      <w:rFonts w:hint="eastAsia"/>
                      <w:lang w:val="en-US" w:eastAsia="zh-CN"/>
                    </w:rPr>
                  </w:pPr>
                  <w:r>
                    <w:t>g</w:t>
                  </w:r>
                  <w:r>
                    <w:rPr>
                      <w:rFonts w:hint="eastAsia"/>
                      <w:lang w:eastAsia="zh-CN"/>
                    </w:rPr>
                    <w:t>）</w:t>
                  </w:r>
                  <w:r>
                    <w:t>清洗</w:t>
                  </w:r>
                  <w:r>
                    <w:rPr>
                      <w:rFonts w:hint="eastAsia"/>
                      <w:lang w:eastAsia="zh-CN"/>
                    </w:rPr>
                    <w:t>（</w:t>
                  </w:r>
                  <w:r>
                    <w:t>浸洗、喷洗、淋洗、冲洗、擦洗等</w:t>
                  </w:r>
                  <w:r>
                    <w:rPr>
                      <w:rFonts w:hint="eastAsia"/>
                      <w:lang w:eastAsia="zh-CN"/>
                    </w:rPr>
                    <w:t>）</w:t>
                  </w:r>
                  <w:r>
                    <w:t>。</w:t>
                  </w:r>
                </w:p>
              </w:tc>
              <w:tc>
                <w:tcPr>
                  <w:tcW w:w="664" w:type="pct"/>
                  <w:vMerge w:val="continue"/>
                  <w:vAlign w:val="center"/>
                </w:tcPr>
                <w:p>
                  <w:pPr>
                    <w:pStyle w:val="11"/>
                    <w:bidi w:val="0"/>
                    <w:jc w:val="center"/>
                    <w:rPr>
                      <w:rFonts w:hint="eastAsia"/>
                      <w:lang w:val="en-US" w:eastAsia="zh-CN"/>
                    </w:rPr>
                  </w:pPr>
                </w:p>
              </w:tc>
            </w:tr>
          </w:tbl>
          <w:p>
            <w:pPr>
              <w:bidi w:val="0"/>
              <w:rPr>
                <w:kern w:val="0"/>
                <w:sz w:val="24"/>
              </w:rPr>
            </w:pPr>
            <w:r>
              <w:rPr>
                <w:kern w:val="0"/>
                <w:sz w:val="24"/>
              </w:rPr>
              <w:t>综上，本项目的建设符合国家及地方相关挥发性有机物治理政策的要求。</w:t>
            </w:r>
          </w:p>
          <w:p>
            <w:pPr>
              <w:pStyle w:val="4"/>
              <w:bidi w:val="0"/>
              <w:rPr>
                <w:lang w:val="en-US"/>
              </w:rPr>
            </w:pPr>
            <w:r>
              <w:rPr>
                <w:rFonts w:hint="eastAsia"/>
                <w:lang w:val="en-US" w:eastAsia="zh-CN"/>
              </w:rPr>
              <w:t>5</w:t>
            </w:r>
            <w:r>
              <w:t>、</w:t>
            </w:r>
            <w:r>
              <w:rPr>
                <w:lang w:val="en-US" w:eastAsia="zh-CN"/>
              </w:rPr>
              <w:t>与《河南省2021年工业企业大气污染物全面达标提升行动方案》符合性分析</w:t>
            </w:r>
          </w:p>
          <w:p>
            <w:pPr>
              <w:autoSpaceDE w:val="0"/>
              <w:autoSpaceDN w:val="0"/>
              <w:spacing w:line="360" w:lineRule="auto"/>
              <w:ind w:firstLine="480" w:firstLineChars="200"/>
              <w:rPr>
                <w:rFonts w:hint="eastAsia"/>
                <w:kern w:val="0"/>
                <w:sz w:val="24"/>
              </w:rPr>
            </w:pPr>
            <w:r>
              <w:rPr>
                <w:kern w:val="0"/>
                <w:sz w:val="24"/>
              </w:rPr>
              <w:t>根据《河南省2021年工业企业大气污染物全面达标提升行动方案》（豫环文</w:t>
            </w:r>
            <w:r>
              <w:rPr>
                <w:rFonts w:hint="eastAsia"/>
                <w:kern w:val="0"/>
                <w:sz w:val="24"/>
                <w:lang w:val="en-US" w:eastAsia="zh-CN"/>
              </w:rPr>
              <w:t>〔</w:t>
            </w:r>
            <w:r>
              <w:rPr>
                <w:kern w:val="0"/>
                <w:sz w:val="24"/>
              </w:rPr>
              <w:t>2021</w:t>
            </w:r>
            <w:r>
              <w:rPr>
                <w:rFonts w:hint="eastAsia"/>
                <w:kern w:val="0"/>
                <w:sz w:val="24"/>
                <w:lang w:val="en-US" w:eastAsia="zh-CN"/>
              </w:rPr>
              <w:t>〕</w:t>
            </w:r>
            <w:r>
              <w:rPr>
                <w:kern w:val="0"/>
                <w:sz w:val="24"/>
              </w:rPr>
              <w:t>59号）</w:t>
            </w:r>
            <w:r>
              <w:rPr>
                <w:rFonts w:hint="eastAsia"/>
                <w:kern w:val="0"/>
                <w:sz w:val="24"/>
              </w:rPr>
              <w:t>：各省辖市（含济源示范区，下同）生态环境局督促相关企业因厂制宜选择成熟可靠的环保治理技术，鼓励采用覆膜滤料袋式除尘器、湿式静电除尘器、高效滤筒除尘器等除尘设施；……排放挥发性有机物的企业应根据挥发性有机物组分及浓度、生产工况等，合理选择治理技术，除采用浓缩+焚烧（催化燃烧）工艺外，禁止采用单一低温等离子、光催化、光氧化、喷淋吸附等治理技术。采用活性炭吸附技术的，应选择碘值不低于800毫克/克的活性炭，并按设计要求足量添加、及时更换，并做好活性炭购买、更换、废活性炭暂存转运记录。</w:t>
            </w:r>
          </w:p>
          <w:p>
            <w:pPr>
              <w:rPr>
                <w:kern w:val="0"/>
                <w:sz w:val="24"/>
              </w:rPr>
            </w:pPr>
            <w:r>
              <w:rPr>
                <w:rFonts w:hint="eastAsia"/>
                <w:kern w:val="0"/>
                <w:sz w:val="24"/>
              </w:rPr>
              <w:t>本项目生产过程中会产生挥发性有机物，经收集后采用“</w:t>
            </w:r>
            <w:r>
              <w:rPr>
                <w:rFonts w:hint="eastAsia"/>
                <w:kern w:val="0"/>
                <w:sz w:val="24"/>
                <w:lang w:eastAsia="zh-CN"/>
              </w:rPr>
              <w:t>UV光氧+活性炭吸附</w:t>
            </w:r>
            <w:r>
              <w:rPr>
                <w:rFonts w:hint="eastAsia"/>
                <w:kern w:val="0"/>
                <w:sz w:val="24"/>
              </w:rPr>
              <w:t>”工艺进行处理，同时评价建议其活性炭采用碘值不低于800毫克/克的活性炭，并按设计要求足量添加、及时更换，并做好活性炭购买、更换、废活性炭暂存转运记录；</w:t>
            </w:r>
            <w:r>
              <w:rPr>
                <w:rFonts w:hint="eastAsia"/>
                <w:color w:val="auto"/>
                <w:kern w:val="0"/>
                <w:sz w:val="24"/>
              </w:rPr>
              <w:t>本项目</w:t>
            </w:r>
            <w:r>
              <w:rPr>
                <w:rFonts w:hint="eastAsia"/>
                <w:color w:val="auto"/>
                <w:kern w:val="0"/>
                <w:sz w:val="24"/>
                <w:lang w:val="en-US" w:eastAsia="zh-CN"/>
              </w:rPr>
              <w:t>混胶环节</w:t>
            </w:r>
            <w:r>
              <w:rPr>
                <w:rFonts w:hint="eastAsia"/>
                <w:color w:val="auto"/>
                <w:kern w:val="0"/>
                <w:sz w:val="24"/>
              </w:rPr>
              <w:t>产生的颗粒物采用袋式除尘器进行处理，</w:t>
            </w:r>
            <w:r>
              <w:rPr>
                <w:rFonts w:hint="eastAsia"/>
                <w:kern w:val="0"/>
                <w:sz w:val="24"/>
              </w:rPr>
              <w:t>评价建议袋式除尘器采用覆膜滤料袋式除尘器</w:t>
            </w:r>
            <w:r>
              <w:rPr>
                <w:kern w:val="0"/>
                <w:sz w:val="24"/>
              </w:rPr>
              <w:t>。</w:t>
            </w:r>
          </w:p>
          <w:p>
            <w:pPr>
              <w:pStyle w:val="4"/>
              <w:bidi w:val="0"/>
            </w:pPr>
            <w:r>
              <w:rPr>
                <w:rFonts w:hint="eastAsia"/>
                <w:lang w:val="en-US" w:eastAsia="zh-CN"/>
              </w:rPr>
              <w:t>6</w:t>
            </w:r>
            <w:r>
              <w:rPr>
                <w:rFonts w:hint="eastAsia"/>
              </w:rPr>
              <w:t>、与“重污染天气重点行业应急减排措施指定技术指南”相符性</w:t>
            </w:r>
          </w:p>
          <w:p>
            <w:pPr>
              <w:autoSpaceDE w:val="0"/>
              <w:autoSpaceDN w:val="0"/>
              <w:spacing w:line="360" w:lineRule="auto"/>
              <w:ind w:firstLine="480" w:firstLineChars="200"/>
              <w:rPr>
                <w:color w:val="000000"/>
                <w:kern w:val="0"/>
                <w:sz w:val="24"/>
                <w:u w:val="none"/>
              </w:rPr>
            </w:pPr>
            <w:r>
              <w:rPr>
                <w:rFonts w:hint="eastAsia"/>
                <w:color w:val="000000"/>
                <w:kern w:val="0"/>
                <w:sz w:val="24"/>
                <w:u w:val="none"/>
              </w:rPr>
              <w:t>根据</w:t>
            </w:r>
            <w:r>
              <w:rPr>
                <w:rFonts w:hint="eastAsia"/>
                <w:lang w:val="en-US" w:eastAsia="zh-CN"/>
              </w:rPr>
              <w:t>《</w:t>
            </w:r>
            <w:r>
              <w:rPr>
                <w:rFonts w:hint="default"/>
                <w:lang w:val="en-US" w:eastAsia="zh-CN"/>
              </w:rPr>
              <w:t>河南省重污染天气通用行业应急减排措施制定技术指南（2021年修订版）</w:t>
            </w:r>
            <w:r>
              <w:rPr>
                <w:rFonts w:hint="eastAsia"/>
                <w:lang w:val="en-US" w:eastAsia="zh-CN"/>
              </w:rPr>
              <w:t>》（豫环文〔2021〕94号）</w:t>
            </w:r>
            <w:r>
              <w:rPr>
                <w:rFonts w:hint="eastAsia"/>
                <w:color w:val="000000"/>
                <w:kern w:val="0"/>
                <w:sz w:val="24"/>
                <w:u w:val="none"/>
              </w:rPr>
              <w:t>中管理要求，确定本项目大气污染防治重点行业企业绩效分级等级。</w:t>
            </w:r>
          </w:p>
          <w:p>
            <w:pPr>
              <w:autoSpaceDE w:val="0"/>
              <w:autoSpaceDN w:val="0"/>
              <w:spacing w:line="360" w:lineRule="auto"/>
              <w:ind w:firstLine="480" w:firstLineChars="200"/>
              <w:rPr>
                <w:color w:val="000000"/>
                <w:kern w:val="0"/>
                <w:sz w:val="24"/>
                <w:u w:val="none"/>
              </w:rPr>
            </w:pPr>
            <w:r>
              <w:rPr>
                <w:rFonts w:hint="eastAsia"/>
                <w:color w:val="000000"/>
                <w:kern w:val="0"/>
                <w:sz w:val="24"/>
                <w:u w:val="none"/>
              </w:rPr>
              <w:t>本项目主要是绝缘制品制造</w:t>
            </w:r>
            <w:r>
              <w:rPr>
                <w:rFonts w:hint="eastAsia"/>
                <w:color w:val="000000"/>
                <w:kern w:val="0"/>
                <w:sz w:val="24"/>
                <w:u w:val="none"/>
                <w:lang w:val="en-US" w:eastAsia="zh-CN"/>
              </w:rPr>
              <w:t>和</w:t>
            </w:r>
            <w:r>
              <w:rPr>
                <w:rFonts w:hint="eastAsia"/>
                <w:color w:val="000000"/>
                <w:kern w:val="0"/>
                <w:sz w:val="24"/>
                <w:u w:val="none"/>
              </w:rPr>
              <w:t>其他电工器材制造，</w:t>
            </w:r>
            <w:r>
              <w:rPr>
                <w:rFonts w:hint="eastAsia"/>
                <w:lang w:val="en-US" w:eastAsia="zh-CN"/>
              </w:rPr>
              <w:t>参照文件中“涉PM企业”和“涉</w:t>
            </w:r>
            <w:r>
              <w:rPr>
                <w:rFonts w:hint="default"/>
                <w:lang w:val="en-US" w:eastAsia="zh-CN"/>
              </w:rPr>
              <w:t>VOCs企业</w:t>
            </w:r>
            <w:r>
              <w:rPr>
                <w:rFonts w:hint="eastAsia"/>
                <w:lang w:val="en-US" w:eastAsia="zh-CN"/>
              </w:rPr>
              <w:t>”基本要求。</w:t>
            </w:r>
            <w:r>
              <w:rPr>
                <w:rFonts w:hint="eastAsia"/>
                <w:color w:val="000000"/>
                <w:kern w:val="0"/>
                <w:sz w:val="24"/>
                <w:u w:val="none"/>
              </w:rPr>
              <w:t>本项目与</w:t>
            </w:r>
            <w:r>
              <w:rPr>
                <w:rFonts w:hint="eastAsia"/>
                <w:color w:val="000000"/>
                <w:kern w:val="0"/>
                <w:sz w:val="24"/>
                <w:u w:val="none"/>
                <w:lang w:val="en-US" w:eastAsia="zh-CN"/>
              </w:rPr>
              <w:t>通用</w:t>
            </w:r>
            <w:r>
              <w:rPr>
                <w:rFonts w:hint="eastAsia"/>
                <w:color w:val="000000"/>
                <w:kern w:val="0"/>
                <w:sz w:val="24"/>
                <w:u w:val="none"/>
              </w:rPr>
              <w:t>行业绩效分级指标相符性分析见表</w:t>
            </w:r>
            <w:r>
              <w:rPr>
                <w:rFonts w:hint="eastAsia"/>
                <w:color w:val="000000"/>
                <w:kern w:val="0"/>
                <w:sz w:val="24"/>
                <w:u w:val="none"/>
                <w:lang w:val="en-US" w:eastAsia="zh-CN"/>
              </w:rPr>
              <w:t>1-3</w:t>
            </w:r>
            <w:r>
              <w:rPr>
                <w:rFonts w:hint="eastAsia"/>
                <w:color w:val="000000"/>
                <w:kern w:val="0"/>
                <w:sz w:val="24"/>
                <w:u w:val="none"/>
              </w:rPr>
              <w:t>。</w:t>
            </w:r>
          </w:p>
          <w:p>
            <w:pPr>
              <w:pStyle w:val="12"/>
              <w:widowControl w:val="0"/>
              <w:bidi w:val="0"/>
              <w:rPr>
                <w:rFonts w:hint="default"/>
                <w:lang w:val="en-US" w:eastAsia="zh-CN"/>
              </w:rPr>
            </w:pPr>
            <w:r>
              <w:rPr>
                <w:rFonts w:hint="eastAsia"/>
                <w:lang w:val="en-US" w:eastAsia="zh-CN"/>
              </w:rPr>
              <w:t>表1-3   本项目与</w:t>
            </w:r>
            <w:r>
              <w:rPr>
                <w:rFonts w:hint="eastAsia"/>
                <w:color w:val="000000"/>
                <w:kern w:val="0"/>
                <w:sz w:val="24"/>
                <w:u w:val="none"/>
                <w:lang w:val="en-US" w:eastAsia="zh-CN"/>
              </w:rPr>
              <w:t>通用</w:t>
            </w:r>
            <w:r>
              <w:rPr>
                <w:rFonts w:hint="eastAsia"/>
                <w:color w:val="000000"/>
                <w:kern w:val="0"/>
                <w:sz w:val="24"/>
                <w:u w:val="none"/>
              </w:rPr>
              <w:t>行业</w:t>
            </w:r>
            <w:r>
              <w:rPr>
                <w:rFonts w:hint="eastAsia"/>
                <w:lang w:val="en-US" w:eastAsia="zh-CN"/>
              </w:rPr>
              <w:t>绩效分级B级指标对比表</w:t>
            </w:r>
          </w:p>
          <w:tbl>
            <w:tblPr>
              <w:tblStyle w:val="9"/>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1" w:type="dxa"/>
                <w:bottom w:w="0" w:type="dxa"/>
                <w:right w:w="51" w:type="dxa"/>
              </w:tblCellMar>
            </w:tblPr>
            <w:tblGrid>
              <w:gridCol w:w="650"/>
              <w:gridCol w:w="322"/>
              <w:gridCol w:w="322"/>
              <w:gridCol w:w="4715"/>
              <w:gridCol w:w="1529"/>
              <w:gridCol w:w="7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3616" w:type="pct"/>
                  <w:gridSpan w:val="4"/>
                  <w:vAlign w:val="center"/>
                </w:tcPr>
                <w:p>
                  <w:pPr>
                    <w:pStyle w:val="11"/>
                    <w:bidi w:val="0"/>
                    <w:rPr>
                      <w:rFonts w:hint="eastAsia"/>
                      <w:lang w:val="en-US" w:eastAsia="zh-CN"/>
                    </w:rPr>
                  </w:pPr>
                  <w:r>
                    <w:t>差异化指标</w:t>
                  </w:r>
                </w:p>
              </w:tc>
              <w:tc>
                <w:tcPr>
                  <w:tcW w:w="920" w:type="pct"/>
                  <w:vAlign w:val="center"/>
                </w:tcPr>
                <w:p>
                  <w:pPr>
                    <w:pStyle w:val="11"/>
                    <w:bidi w:val="0"/>
                    <w:rPr>
                      <w:rFonts w:hint="default"/>
                      <w:lang w:val="en-US" w:eastAsia="zh-CN"/>
                    </w:rPr>
                  </w:pPr>
                  <w:r>
                    <w:t>企业情况</w:t>
                  </w:r>
                </w:p>
              </w:tc>
              <w:tc>
                <w:tcPr>
                  <w:tcW w:w="463" w:type="pct"/>
                  <w:vAlign w:val="center"/>
                </w:tcPr>
                <w:p>
                  <w:pPr>
                    <w:pStyle w:val="11"/>
                    <w:bidi w:val="0"/>
                    <w:rPr>
                      <w:rFonts w:hint="eastAsia" w:eastAsia="宋体"/>
                      <w:lang w:val="en-US" w:eastAsia="zh-CN"/>
                    </w:rPr>
                  </w:pPr>
                  <w:r>
                    <w:rPr>
                      <w:rFonts w:hint="eastAsia"/>
                      <w:lang w:val="en-US" w:eastAsia="zh-CN"/>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391" w:type="pct"/>
                  <w:vMerge w:val="restart"/>
                  <w:vAlign w:val="center"/>
                </w:tcPr>
                <w:p>
                  <w:pPr>
                    <w:pStyle w:val="11"/>
                    <w:bidi w:val="0"/>
                    <w:jc w:val="center"/>
                    <w:rPr>
                      <w:rFonts w:hint="default"/>
                      <w:lang w:val="en-US" w:eastAsia="zh-CN"/>
                    </w:rPr>
                  </w:pPr>
                  <w:r>
                    <w:rPr>
                      <w:rFonts w:hint="eastAsia"/>
                      <w:lang w:val="en-US" w:eastAsia="zh-CN"/>
                    </w:rPr>
                    <w:t>涉PM企业基本要求</w:t>
                  </w:r>
                </w:p>
              </w:tc>
              <w:tc>
                <w:tcPr>
                  <w:tcW w:w="388" w:type="pct"/>
                  <w:gridSpan w:val="2"/>
                  <w:vAlign w:val="center"/>
                </w:tcPr>
                <w:p>
                  <w:pPr>
                    <w:pStyle w:val="11"/>
                    <w:bidi w:val="0"/>
                  </w:pPr>
                  <w:r>
                    <w:rPr>
                      <w:rFonts w:hint="default"/>
                      <w:lang w:val="en-US" w:eastAsia="zh-CN"/>
                    </w:rPr>
                    <w:t>物料装卸</w:t>
                  </w:r>
                </w:p>
              </w:tc>
              <w:tc>
                <w:tcPr>
                  <w:tcW w:w="2837" w:type="pct"/>
                  <w:vAlign w:val="center"/>
                </w:tcPr>
                <w:p>
                  <w:pPr>
                    <w:pStyle w:val="11"/>
                    <w:bidi w:val="0"/>
                    <w:jc w:val="both"/>
                  </w:pPr>
                  <w:r>
                    <w:rPr>
                      <w:rFonts w:hint="default"/>
                      <w:lang w:val="en-US" w:eastAsia="zh-CN"/>
                    </w:rPr>
                    <w:t>车辆运输的物料应采取封闭措施。粉状、粒状、块状散装物料在封闭料场内装卸，装卸过程中产尘点应设置集气除尘装置，料堆应采取有效抑尘措施。不易产尘的袋装物料宜在料棚中装卸，如需露天装卸应采取防止破袋及粉尘外逸措施。</w:t>
                  </w:r>
                </w:p>
              </w:tc>
              <w:tc>
                <w:tcPr>
                  <w:tcW w:w="920" w:type="pct"/>
                  <w:vAlign w:val="center"/>
                </w:tcPr>
                <w:p>
                  <w:pPr>
                    <w:pStyle w:val="11"/>
                    <w:bidi w:val="0"/>
                    <w:rPr>
                      <w:rFonts w:hint="default"/>
                      <w:lang w:val="en-US"/>
                    </w:rPr>
                  </w:pPr>
                  <w:r>
                    <w:rPr>
                      <w:rFonts w:hint="eastAsia"/>
                    </w:rPr>
                    <w:t>项目粉状物料均为袋装，不易产尘</w:t>
                  </w:r>
                  <w:r>
                    <w:rPr>
                      <w:rFonts w:hint="eastAsia"/>
                      <w:lang w:eastAsia="zh-CN"/>
                    </w:rPr>
                    <w:t>，</w:t>
                  </w:r>
                  <w:r>
                    <w:rPr>
                      <w:rFonts w:hint="eastAsia"/>
                      <w:lang w:val="en-US" w:eastAsia="zh-CN"/>
                    </w:rPr>
                    <w:t>装卸过程均在厂区原料库内进行。</w:t>
                  </w:r>
                </w:p>
              </w:tc>
              <w:tc>
                <w:tcPr>
                  <w:tcW w:w="463" w:type="pct"/>
                  <w:vAlign w:val="center"/>
                </w:tcPr>
                <w:p>
                  <w:pPr>
                    <w:pStyle w:val="11"/>
                    <w:bidi w:val="0"/>
                    <w:rPr>
                      <w:rFonts w:hint="eastAsia"/>
                      <w:lang w:val="en-US" w:eastAsia="zh-CN"/>
                    </w:rPr>
                  </w:pPr>
                  <w:r>
                    <w:rPr>
                      <w:rFonts w:hint="eastAsia"/>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391" w:type="pct"/>
                  <w:vMerge w:val="continue"/>
                  <w:vAlign w:val="center"/>
                </w:tcPr>
                <w:p>
                  <w:pPr>
                    <w:pStyle w:val="11"/>
                    <w:bidi w:val="0"/>
                    <w:jc w:val="center"/>
                    <w:rPr>
                      <w:rFonts w:hint="eastAsia"/>
                      <w:lang w:val="en-US" w:eastAsia="zh-CN"/>
                    </w:rPr>
                  </w:pPr>
                </w:p>
              </w:tc>
              <w:tc>
                <w:tcPr>
                  <w:tcW w:w="388" w:type="pct"/>
                  <w:gridSpan w:val="2"/>
                  <w:vMerge w:val="restart"/>
                  <w:vAlign w:val="center"/>
                </w:tcPr>
                <w:p>
                  <w:pPr>
                    <w:pStyle w:val="11"/>
                    <w:bidi w:val="0"/>
                    <w:rPr>
                      <w:rFonts w:hint="default"/>
                      <w:lang w:val="en-US" w:eastAsia="zh-CN"/>
                    </w:rPr>
                  </w:pPr>
                  <w:r>
                    <w:rPr>
                      <w:rFonts w:hint="default"/>
                      <w:lang w:val="en-US" w:eastAsia="zh-CN"/>
                    </w:rPr>
                    <w:t>物料储存</w:t>
                  </w:r>
                </w:p>
              </w:tc>
              <w:tc>
                <w:tcPr>
                  <w:tcW w:w="2837" w:type="pct"/>
                  <w:vAlign w:val="center"/>
                </w:tcPr>
                <w:p>
                  <w:pPr>
                    <w:pStyle w:val="11"/>
                    <w:bidi w:val="0"/>
                    <w:jc w:val="both"/>
                    <w:rPr>
                      <w:rFonts w:hint="default"/>
                      <w:lang w:val="en-US" w:eastAsia="zh-CN"/>
                    </w:rPr>
                  </w:pPr>
                  <w:r>
                    <w:rPr>
                      <w:rFonts w:hint="default"/>
                      <w:lang w:val="en-US" w:eastAsia="zh-CN"/>
                    </w:rPr>
                    <w:t>一般物料</w:t>
                  </w:r>
                  <w:r>
                    <w:rPr>
                      <w:rFonts w:hint="eastAsia"/>
                      <w:lang w:val="en-US" w:eastAsia="zh-CN"/>
                    </w:rPr>
                    <w:t>：</w:t>
                  </w:r>
                  <w:r>
                    <w:rPr>
                      <w:rFonts w:hint="default"/>
                      <w:lang w:val="en-US" w:eastAsia="zh-CN"/>
                    </w:rPr>
                    <w:t>粉状物料应储存于密闭/封闭料仓中；粒状、块状物料应储存于封闭料场中，并采取喷淋、清扫或其他有效抑尘措施；袋装物料应储存于封闭/半封闭料场中。封闭料场顶棚和四周围墙完整，料场内路面全部硬化，料场货物进出大门为硬质材料门或自动感应门，在确保安全的情况下，所有门窗保持常闭状态。不产尘物料（如钢材、管件）及产品如露天储存应在规定的存储区域码放整齐。</w:t>
                  </w:r>
                </w:p>
              </w:tc>
              <w:tc>
                <w:tcPr>
                  <w:tcW w:w="920" w:type="pct"/>
                  <w:vAlign w:val="center"/>
                </w:tcPr>
                <w:p>
                  <w:pPr>
                    <w:pStyle w:val="11"/>
                    <w:bidi w:val="0"/>
                  </w:pPr>
                  <w:r>
                    <w:rPr>
                      <w:rFonts w:hint="eastAsia"/>
                    </w:rPr>
                    <w:t>项目</w:t>
                  </w:r>
                  <w:r>
                    <w:rPr>
                      <w:rFonts w:hint="eastAsia"/>
                      <w:lang w:val="en-US" w:eastAsia="zh-CN"/>
                    </w:rPr>
                    <w:t>白炭黑</w:t>
                  </w:r>
                  <w:r>
                    <w:rPr>
                      <w:rFonts w:hint="eastAsia"/>
                    </w:rPr>
                    <w:t>粉状物料均为袋装，暂存于厂区原料库中。</w:t>
                  </w:r>
                </w:p>
              </w:tc>
              <w:tc>
                <w:tcPr>
                  <w:tcW w:w="463" w:type="pct"/>
                  <w:vAlign w:val="center"/>
                </w:tcPr>
                <w:p>
                  <w:pPr>
                    <w:pStyle w:val="11"/>
                    <w:bidi w:val="0"/>
                    <w:rPr>
                      <w:rFonts w:hint="eastAsia"/>
                      <w:lang w:val="en-US" w:eastAsia="zh-CN"/>
                    </w:rPr>
                  </w:pPr>
                  <w:r>
                    <w:rPr>
                      <w:rFonts w:hint="eastAsia"/>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391" w:type="pct"/>
                  <w:vMerge w:val="continue"/>
                  <w:vAlign w:val="center"/>
                </w:tcPr>
                <w:p>
                  <w:pPr>
                    <w:pStyle w:val="11"/>
                    <w:bidi w:val="0"/>
                    <w:jc w:val="center"/>
                    <w:rPr>
                      <w:rFonts w:hint="eastAsia"/>
                      <w:lang w:val="en-US" w:eastAsia="zh-CN"/>
                    </w:rPr>
                  </w:pPr>
                </w:p>
              </w:tc>
              <w:tc>
                <w:tcPr>
                  <w:tcW w:w="388" w:type="pct"/>
                  <w:gridSpan w:val="2"/>
                  <w:vMerge w:val="continue"/>
                  <w:vAlign w:val="center"/>
                </w:tcPr>
                <w:p>
                  <w:pPr>
                    <w:pStyle w:val="11"/>
                    <w:bidi w:val="0"/>
                    <w:rPr>
                      <w:rFonts w:hint="default"/>
                      <w:lang w:val="en-US" w:eastAsia="zh-CN"/>
                    </w:rPr>
                  </w:pPr>
                </w:p>
              </w:tc>
              <w:tc>
                <w:tcPr>
                  <w:tcW w:w="2837" w:type="pct"/>
                  <w:vAlign w:val="center"/>
                </w:tcPr>
                <w:p>
                  <w:pPr>
                    <w:pStyle w:val="11"/>
                    <w:bidi w:val="0"/>
                    <w:jc w:val="both"/>
                    <w:rPr>
                      <w:rFonts w:hint="default"/>
                      <w:lang w:val="en-US" w:eastAsia="zh-CN"/>
                    </w:rPr>
                  </w:pPr>
                  <w:r>
                    <w:rPr>
                      <w:rFonts w:hint="default"/>
                      <w:lang w:val="en-US" w:eastAsia="zh-CN"/>
                    </w:rPr>
                    <w:t>危险废物</w:t>
                  </w:r>
                  <w:r>
                    <w:rPr>
                      <w:rFonts w:hint="eastAsia"/>
                      <w:lang w:val="en-US" w:eastAsia="zh-CN"/>
                    </w:rPr>
                    <w:t>：</w:t>
                  </w:r>
                  <w:r>
                    <w:rPr>
                      <w:rFonts w:hint="default"/>
                      <w:lang w:val="en-US" w:eastAsia="zh-CN"/>
                    </w:rPr>
                    <w:t>应有符合规范要求的危险废物储存间，危险废物储存间门口应张贴标准规范的危险废物标识和危废信息板，建立台账并挂于危废间内，危险废物的记录和货单保存3年以上。危废间内禁止存放除危险废物和应急工具外的其他物品。</w:t>
                  </w:r>
                </w:p>
              </w:tc>
              <w:tc>
                <w:tcPr>
                  <w:tcW w:w="920" w:type="pct"/>
                  <w:vAlign w:val="center"/>
                </w:tcPr>
                <w:p>
                  <w:pPr>
                    <w:pStyle w:val="11"/>
                    <w:bidi w:val="0"/>
                    <w:rPr>
                      <w:rFonts w:hint="eastAsia" w:eastAsia="宋体"/>
                      <w:lang w:eastAsia="zh-CN"/>
                    </w:rPr>
                  </w:pPr>
                  <w:r>
                    <w:rPr>
                      <w:rFonts w:hint="eastAsia"/>
                    </w:rPr>
                    <w:t>本项目</w:t>
                  </w:r>
                  <w:r>
                    <w:rPr>
                      <w:rFonts w:hint="eastAsia"/>
                      <w:lang w:val="en-US" w:eastAsia="zh-CN"/>
                    </w:rPr>
                    <w:t>将设置符合规范的危废暂存间</w:t>
                  </w:r>
                  <w:r>
                    <w:rPr>
                      <w:rFonts w:hint="eastAsia"/>
                    </w:rPr>
                    <w:t>。</w:t>
                  </w:r>
                  <w:r>
                    <w:rPr>
                      <w:rFonts w:hint="eastAsia"/>
                      <w:lang w:val="en-US" w:eastAsia="zh-CN"/>
                    </w:rPr>
                    <w:t>建成后</w:t>
                  </w:r>
                  <w:r>
                    <w:rPr>
                      <w:rFonts w:hint="eastAsia"/>
                    </w:rPr>
                    <w:t>将严格按照危废管理制度储存、转运危险废物，并建立</w:t>
                  </w:r>
                  <w:r>
                    <w:rPr>
                      <w:rFonts w:hint="eastAsia"/>
                      <w:lang w:val="en-US" w:eastAsia="zh-CN"/>
                    </w:rPr>
                    <w:t>贮存</w:t>
                  </w:r>
                  <w:r>
                    <w:rPr>
                      <w:rFonts w:hint="eastAsia"/>
                    </w:rPr>
                    <w:t>、处置台账</w:t>
                  </w:r>
                  <w:r>
                    <w:rPr>
                      <w:rFonts w:hint="eastAsia"/>
                      <w:lang w:eastAsia="zh-CN"/>
                    </w:rPr>
                    <w:t>。</w:t>
                  </w:r>
                </w:p>
              </w:tc>
              <w:tc>
                <w:tcPr>
                  <w:tcW w:w="463" w:type="pct"/>
                  <w:vAlign w:val="center"/>
                </w:tcPr>
                <w:p>
                  <w:pPr>
                    <w:pStyle w:val="11"/>
                    <w:bidi w:val="0"/>
                    <w:rPr>
                      <w:rFonts w:hint="eastAsia"/>
                      <w:lang w:val="en-US" w:eastAsia="zh-CN"/>
                    </w:rPr>
                  </w:pPr>
                  <w:r>
                    <w:rPr>
                      <w:rFonts w:hint="eastAsia"/>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391" w:type="pct"/>
                  <w:vMerge w:val="continue"/>
                  <w:vAlign w:val="center"/>
                </w:tcPr>
                <w:p>
                  <w:pPr>
                    <w:pStyle w:val="11"/>
                    <w:bidi w:val="0"/>
                    <w:jc w:val="center"/>
                    <w:rPr>
                      <w:rFonts w:hint="eastAsia"/>
                      <w:lang w:val="en-US" w:eastAsia="zh-CN"/>
                    </w:rPr>
                  </w:pPr>
                </w:p>
              </w:tc>
              <w:tc>
                <w:tcPr>
                  <w:tcW w:w="388" w:type="pct"/>
                  <w:gridSpan w:val="2"/>
                  <w:vAlign w:val="center"/>
                </w:tcPr>
                <w:p>
                  <w:pPr>
                    <w:pStyle w:val="11"/>
                    <w:bidi w:val="0"/>
                    <w:rPr>
                      <w:rFonts w:hint="default"/>
                      <w:lang w:val="en-US" w:eastAsia="zh-CN"/>
                    </w:rPr>
                  </w:pPr>
                  <w:r>
                    <w:rPr>
                      <w:rFonts w:hint="default"/>
                      <w:lang w:val="en-US" w:eastAsia="zh-CN"/>
                    </w:rPr>
                    <w:t>物料转移和输送</w:t>
                  </w:r>
                </w:p>
              </w:tc>
              <w:tc>
                <w:tcPr>
                  <w:tcW w:w="2837" w:type="pct"/>
                  <w:vAlign w:val="center"/>
                </w:tcPr>
                <w:p>
                  <w:pPr>
                    <w:pStyle w:val="11"/>
                    <w:bidi w:val="0"/>
                    <w:jc w:val="both"/>
                    <w:rPr>
                      <w:rFonts w:hint="default"/>
                      <w:lang w:val="en-US" w:eastAsia="zh-CN"/>
                    </w:rPr>
                  </w:pPr>
                  <w:r>
                    <w:rPr>
                      <w:rFonts w:hint="default"/>
                      <w:lang w:val="en-US" w:eastAsia="zh-CN"/>
                    </w:rPr>
                    <w:t>粉状、粒状等易产尘物料厂内转移、输送过程应采用气力输送、密闭输送，块状和粘湿粉状物料采用封闭输送；无法封闭的产尘点（物料转载、下料口等）应采取集气除尘措施，或有效抑尘措施。</w:t>
                  </w:r>
                </w:p>
              </w:tc>
              <w:tc>
                <w:tcPr>
                  <w:tcW w:w="920" w:type="pct"/>
                  <w:vAlign w:val="center"/>
                </w:tcPr>
                <w:p>
                  <w:pPr>
                    <w:pStyle w:val="11"/>
                    <w:bidi w:val="0"/>
                    <w:rPr>
                      <w:rFonts w:hint="default" w:eastAsia="宋体"/>
                      <w:lang w:val="en-US" w:eastAsia="zh-CN"/>
                    </w:rPr>
                  </w:pPr>
                  <w:r>
                    <w:rPr>
                      <w:rFonts w:hint="eastAsia"/>
                      <w:lang w:val="en-US" w:eastAsia="zh-CN"/>
                    </w:rPr>
                    <w:t>项目粉状物料为整袋密闭转运，不产尘。</w:t>
                  </w:r>
                </w:p>
              </w:tc>
              <w:tc>
                <w:tcPr>
                  <w:tcW w:w="463" w:type="pct"/>
                  <w:vAlign w:val="center"/>
                </w:tcPr>
                <w:p>
                  <w:pPr>
                    <w:pStyle w:val="11"/>
                    <w:bidi w:val="0"/>
                    <w:rPr>
                      <w:rFonts w:hint="eastAsia"/>
                      <w:lang w:val="en-US" w:eastAsia="zh-CN"/>
                    </w:rPr>
                  </w:pPr>
                  <w:r>
                    <w:rPr>
                      <w:rFonts w:hint="eastAsia"/>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391" w:type="pct"/>
                  <w:vMerge w:val="continue"/>
                  <w:vAlign w:val="center"/>
                </w:tcPr>
                <w:p>
                  <w:pPr>
                    <w:pStyle w:val="11"/>
                    <w:bidi w:val="0"/>
                    <w:jc w:val="center"/>
                    <w:rPr>
                      <w:rFonts w:hint="eastAsia"/>
                      <w:lang w:val="en-US" w:eastAsia="zh-CN"/>
                    </w:rPr>
                  </w:pPr>
                </w:p>
              </w:tc>
              <w:tc>
                <w:tcPr>
                  <w:tcW w:w="388" w:type="pct"/>
                  <w:gridSpan w:val="2"/>
                  <w:vAlign w:val="center"/>
                </w:tcPr>
                <w:p>
                  <w:pPr>
                    <w:pStyle w:val="11"/>
                    <w:bidi w:val="0"/>
                    <w:rPr>
                      <w:rFonts w:hint="default"/>
                      <w:lang w:val="en-US" w:eastAsia="zh-CN"/>
                    </w:rPr>
                  </w:pPr>
                  <w:r>
                    <w:rPr>
                      <w:rFonts w:hint="default"/>
                      <w:lang w:val="en-US" w:eastAsia="zh-CN"/>
                    </w:rPr>
                    <w:t>成品包装</w:t>
                  </w:r>
                </w:p>
              </w:tc>
              <w:tc>
                <w:tcPr>
                  <w:tcW w:w="2837" w:type="pct"/>
                  <w:vAlign w:val="center"/>
                </w:tcPr>
                <w:p>
                  <w:pPr>
                    <w:pStyle w:val="11"/>
                    <w:bidi w:val="0"/>
                    <w:jc w:val="both"/>
                    <w:rPr>
                      <w:rFonts w:hint="default"/>
                      <w:lang w:val="en-US" w:eastAsia="zh-CN"/>
                    </w:rPr>
                  </w:pPr>
                  <w:r>
                    <w:rPr>
                      <w:rFonts w:hint="default"/>
                      <w:lang w:val="en-US" w:eastAsia="zh-CN"/>
                    </w:rPr>
                    <w:t>卸料口应完全封闭，如不能封闭应采取局部集气除尘措施。卸料口地面应及时清扫，地面无明显积尘。</w:t>
                  </w:r>
                </w:p>
              </w:tc>
              <w:tc>
                <w:tcPr>
                  <w:tcW w:w="920" w:type="pct"/>
                  <w:vAlign w:val="center"/>
                </w:tcPr>
                <w:p>
                  <w:pPr>
                    <w:pStyle w:val="11"/>
                    <w:bidi w:val="0"/>
                    <w:rPr>
                      <w:rFonts w:hint="default" w:eastAsia="宋体"/>
                      <w:lang w:val="en-US" w:eastAsia="zh-CN"/>
                    </w:rPr>
                  </w:pPr>
                  <w:r>
                    <w:rPr>
                      <w:rFonts w:hint="eastAsia"/>
                      <w:lang w:val="en-US" w:eastAsia="zh-CN"/>
                    </w:rPr>
                    <w:t>项目成品包装环节不产尘。</w:t>
                  </w:r>
                </w:p>
              </w:tc>
              <w:tc>
                <w:tcPr>
                  <w:tcW w:w="463" w:type="pct"/>
                  <w:vAlign w:val="center"/>
                </w:tcPr>
                <w:p>
                  <w:pPr>
                    <w:pStyle w:val="11"/>
                    <w:bidi w:val="0"/>
                    <w:rPr>
                      <w:rFonts w:hint="eastAsia"/>
                      <w:lang w:val="en-US" w:eastAsia="zh-CN"/>
                    </w:rPr>
                  </w:pPr>
                  <w:r>
                    <w:rPr>
                      <w:rFonts w:hint="eastAsia"/>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391" w:type="pct"/>
                  <w:vMerge w:val="continue"/>
                  <w:vAlign w:val="center"/>
                </w:tcPr>
                <w:p>
                  <w:pPr>
                    <w:pStyle w:val="11"/>
                    <w:bidi w:val="0"/>
                    <w:jc w:val="center"/>
                    <w:rPr>
                      <w:rFonts w:hint="eastAsia"/>
                      <w:lang w:val="en-US" w:eastAsia="zh-CN"/>
                    </w:rPr>
                  </w:pPr>
                </w:p>
              </w:tc>
              <w:tc>
                <w:tcPr>
                  <w:tcW w:w="388" w:type="pct"/>
                  <w:gridSpan w:val="2"/>
                  <w:vAlign w:val="center"/>
                </w:tcPr>
                <w:p>
                  <w:pPr>
                    <w:pStyle w:val="11"/>
                    <w:bidi w:val="0"/>
                    <w:rPr>
                      <w:rFonts w:hint="default"/>
                      <w:lang w:val="en-US" w:eastAsia="zh-CN"/>
                    </w:rPr>
                  </w:pPr>
                  <w:r>
                    <w:rPr>
                      <w:rFonts w:hint="default"/>
                      <w:lang w:val="en-US" w:eastAsia="zh-CN"/>
                    </w:rPr>
                    <w:t>工艺过程</w:t>
                  </w:r>
                </w:p>
              </w:tc>
              <w:tc>
                <w:tcPr>
                  <w:tcW w:w="2837" w:type="pct"/>
                  <w:vAlign w:val="center"/>
                </w:tcPr>
                <w:p>
                  <w:pPr>
                    <w:pStyle w:val="11"/>
                    <w:bidi w:val="0"/>
                    <w:jc w:val="both"/>
                    <w:rPr>
                      <w:rFonts w:hint="default"/>
                      <w:lang w:val="en-US" w:eastAsia="zh-CN"/>
                    </w:rPr>
                  </w:pPr>
                  <w:r>
                    <w:rPr>
                      <w:rFonts w:hint="default"/>
                      <w:lang w:val="en-US" w:eastAsia="zh-CN"/>
                    </w:rPr>
                    <w:t>各种物料破碎、筛分、配料、混料等过程应在封闭厂房内进行，并采取局部收尘/抑尘措施。破碎筛分设备在进、出料口和配料混料过程等产尘点应设置集气除尘设施。各生产工序的车间地面干净，无积料、积灰现象。生产车间不得有可见烟粉尘外逸。</w:t>
                  </w:r>
                </w:p>
              </w:tc>
              <w:tc>
                <w:tcPr>
                  <w:tcW w:w="920" w:type="pct"/>
                  <w:vAlign w:val="center"/>
                </w:tcPr>
                <w:p>
                  <w:pPr>
                    <w:pStyle w:val="11"/>
                    <w:bidi w:val="0"/>
                    <w:rPr>
                      <w:rFonts w:hint="default"/>
                      <w:lang w:val="en-US"/>
                    </w:rPr>
                  </w:pPr>
                  <w:r>
                    <w:rPr>
                      <w:rFonts w:hint="eastAsia"/>
                      <w:lang w:val="en-US" w:eastAsia="zh-CN"/>
                    </w:rPr>
                    <w:t>混胶工序粉尘经二次密闭+袋式除尘器收集处理后对周边环境影响较小，</w:t>
                  </w:r>
                  <w:r>
                    <w:rPr>
                      <w:rFonts w:hint="default"/>
                      <w:lang w:val="en-US" w:eastAsia="zh-CN"/>
                    </w:rPr>
                    <w:t>生产车间</w:t>
                  </w:r>
                  <w:r>
                    <w:rPr>
                      <w:rFonts w:hint="eastAsia"/>
                      <w:lang w:val="en-US" w:eastAsia="zh-CN"/>
                    </w:rPr>
                    <w:t>无</w:t>
                  </w:r>
                  <w:r>
                    <w:rPr>
                      <w:rFonts w:hint="default"/>
                      <w:lang w:val="en-US" w:eastAsia="zh-CN"/>
                    </w:rPr>
                    <w:t>可见烟粉尘外逸</w:t>
                  </w:r>
                  <w:r>
                    <w:rPr>
                      <w:rFonts w:hint="eastAsia"/>
                      <w:lang w:val="en-US" w:eastAsia="zh-CN"/>
                    </w:rPr>
                    <w:t>。项目建成后加强环境管理，保持地面干净，</w:t>
                  </w:r>
                  <w:r>
                    <w:rPr>
                      <w:rFonts w:hint="default"/>
                      <w:lang w:val="en-US" w:eastAsia="zh-CN"/>
                    </w:rPr>
                    <w:t>无积料积灰</w:t>
                  </w:r>
                  <w:r>
                    <w:rPr>
                      <w:rFonts w:hint="eastAsia"/>
                      <w:lang w:val="en-US" w:eastAsia="zh-CN"/>
                    </w:rPr>
                    <w:t>。</w:t>
                  </w:r>
                </w:p>
              </w:tc>
              <w:tc>
                <w:tcPr>
                  <w:tcW w:w="463" w:type="pct"/>
                  <w:vAlign w:val="center"/>
                </w:tcPr>
                <w:p>
                  <w:pPr>
                    <w:pStyle w:val="11"/>
                    <w:bidi w:val="0"/>
                    <w:rPr>
                      <w:rFonts w:hint="eastAsia"/>
                      <w:lang w:val="en-US" w:eastAsia="zh-CN"/>
                    </w:rPr>
                  </w:pPr>
                  <w:r>
                    <w:rPr>
                      <w:rFonts w:hint="eastAsia"/>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391" w:type="pct"/>
                  <w:vMerge w:val="restart"/>
                  <w:vAlign w:val="center"/>
                </w:tcPr>
                <w:p>
                  <w:pPr>
                    <w:pStyle w:val="11"/>
                    <w:bidi w:val="0"/>
                    <w:jc w:val="center"/>
                    <w:rPr>
                      <w:rFonts w:hint="default"/>
                      <w:lang w:val="en-US" w:eastAsia="zh-CN"/>
                    </w:rPr>
                  </w:pPr>
                  <w:r>
                    <w:rPr>
                      <w:rFonts w:hint="default"/>
                      <w:lang w:val="en-US" w:eastAsia="zh-CN"/>
                    </w:rPr>
                    <w:t>涉VOCs企业基本要求</w:t>
                  </w:r>
                </w:p>
              </w:tc>
              <w:tc>
                <w:tcPr>
                  <w:tcW w:w="388" w:type="pct"/>
                  <w:gridSpan w:val="2"/>
                  <w:vAlign w:val="center"/>
                </w:tcPr>
                <w:p>
                  <w:pPr>
                    <w:pStyle w:val="11"/>
                    <w:bidi w:val="0"/>
                    <w:jc w:val="center"/>
                    <w:rPr>
                      <w:rFonts w:hint="default"/>
                      <w:lang w:val="en-US" w:eastAsia="zh-CN"/>
                    </w:rPr>
                  </w:pPr>
                  <w:r>
                    <w:rPr>
                      <w:rFonts w:hint="default"/>
                      <w:lang w:val="en-US" w:eastAsia="zh-CN"/>
                    </w:rPr>
                    <w:t>物料储存</w:t>
                  </w:r>
                </w:p>
              </w:tc>
              <w:tc>
                <w:tcPr>
                  <w:tcW w:w="2837" w:type="pct"/>
                  <w:vAlign w:val="center"/>
                </w:tcPr>
                <w:p>
                  <w:pPr>
                    <w:pStyle w:val="11"/>
                    <w:bidi w:val="0"/>
                    <w:jc w:val="both"/>
                    <w:rPr>
                      <w:rFonts w:hint="default" w:ascii="Times New Roman" w:hAnsi="Times New Roman" w:eastAsia="宋体" w:cs="Times New Roman"/>
                      <w:kern w:val="44"/>
                      <w:sz w:val="21"/>
                      <w:szCs w:val="22"/>
                      <w:lang w:val="en-US" w:eastAsia="zh-CN" w:bidi="ar-SA"/>
                    </w:rPr>
                  </w:pPr>
                  <w:r>
                    <w:rPr>
                      <w:rFonts w:hint="default"/>
                      <w:lang w:val="en-US" w:eastAsia="zh-CN"/>
                    </w:rPr>
                    <w:t>涂料、稀释剂、清洗剂等原辅材料密闭存储。盛装过VOCs物料的包装容器、含VOCs废料（渣、液）、废吸附剂等通过加盖、封装等方式密闭储存；生产车间内涉VOCs物料应密闭储存。</w:t>
                  </w:r>
                </w:p>
              </w:tc>
              <w:tc>
                <w:tcPr>
                  <w:tcW w:w="920" w:type="pct"/>
                  <w:vAlign w:val="center"/>
                </w:tcPr>
                <w:p>
                  <w:pPr>
                    <w:pStyle w:val="11"/>
                    <w:bidi w:val="0"/>
                    <w:jc w:val="center"/>
                    <w:rPr>
                      <w:rFonts w:hint="default"/>
                      <w:lang w:val="en-US" w:eastAsia="zh-CN"/>
                    </w:rPr>
                  </w:pPr>
                  <w:r>
                    <w:rPr>
                      <w:rFonts w:hint="eastAsia"/>
                      <w:lang w:val="en-US" w:eastAsia="zh-CN"/>
                    </w:rPr>
                    <w:t>不涉及</w:t>
                  </w:r>
                </w:p>
              </w:tc>
              <w:tc>
                <w:tcPr>
                  <w:tcW w:w="463" w:type="pct"/>
                  <w:vAlign w:val="center"/>
                </w:tcPr>
                <w:p>
                  <w:pPr>
                    <w:pStyle w:val="11"/>
                    <w:bidi w:val="0"/>
                    <w:jc w:val="center"/>
                    <w:rPr>
                      <w:rFonts w:hint="default"/>
                      <w:lang w:val="en-US" w:eastAsia="zh-CN"/>
                    </w:rPr>
                  </w:pPr>
                  <w:r>
                    <w:rPr>
                      <w:rFonts w:hint="eastAsia"/>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391" w:type="pct"/>
                  <w:vMerge w:val="continue"/>
                  <w:vAlign w:val="center"/>
                </w:tcPr>
                <w:p>
                  <w:pPr>
                    <w:pStyle w:val="11"/>
                    <w:bidi w:val="0"/>
                    <w:jc w:val="center"/>
                    <w:rPr>
                      <w:rFonts w:hint="default"/>
                      <w:lang w:val="en-US" w:eastAsia="zh-CN"/>
                    </w:rPr>
                  </w:pPr>
                </w:p>
              </w:tc>
              <w:tc>
                <w:tcPr>
                  <w:tcW w:w="388" w:type="pct"/>
                  <w:gridSpan w:val="2"/>
                  <w:vAlign w:val="center"/>
                </w:tcPr>
                <w:p>
                  <w:pPr>
                    <w:pStyle w:val="11"/>
                    <w:bidi w:val="0"/>
                    <w:jc w:val="center"/>
                    <w:rPr>
                      <w:rFonts w:hint="default"/>
                      <w:lang w:val="en-US" w:eastAsia="zh-CN"/>
                    </w:rPr>
                  </w:pPr>
                  <w:r>
                    <w:rPr>
                      <w:rFonts w:hint="default"/>
                      <w:lang w:val="en-US" w:eastAsia="zh-CN"/>
                    </w:rPr>
                    <w:t>物料转移输送</w:t>
                  </w:r>
                </w:p>
              </w:tc>
              <w:tc>
                <w:tcPr>
                  <w:tcW w:w="2837" w:type="pct"/>
                  <w:vAlign w:val="center"/>
                </w:tcPr>
                <w:p>
                  <w:pPr>
                    <w:pStyle w:val="11"/>
                    <w:bidi w:val="0"/>
                    <w:ind w:firstLine="0" w:firstLineChars="0"/>
                    <w:jc w:val="both"/>
                    <w:rPr>
                      <w:rFonts w:hint="default"/>
                      <w:lang w:val="en-US" w:eastAsia="zh-CN"/>
                    </w:rPr>
                  </w:pPr>
                  <w:r>
                    <w:rPr>
                      <w:rFonts w:hint="default"/>
                      <w:lang w:val="en-US" w:eastAsia="zh-CN"/>
                    </w:rPr>
                    <w:t>采用密闭管道或密闭容器等输送。</w:t>
                  </w:r>
                </w:p>
              </w:tc>
              <w:tc>
                <w:tcPr>
                  <w:tcW w:w="920" w:type="pct"/>
                  <w:vAlign w:val="center"/>
                </w:tcPr>
                <w:p>
                  <w:pPr>
                    <w:pStyle w:val="11"/>
                    <w:bidi w:val="0"/>
                    <w:jc w:val="center"/>
                    <w:rPr>
                      <w:rFonts w:hint="default"/>
                      <w:lang w:val="en-US" w:eastAsia="zh-CN"/>
                    </w:rPr>
                  </w:pPr>
                  <w:r>
                    <w:rPr>
                      <w:rFonts w:hint="eastAsia"/>
                      <w:lang w:val="en-US" w:eastAsia="zh-CN"/>
                    </w:rPr>
                    <w:t>不涉及</w:t>
                  </w:r>
                </w:p>
              </w:tc>
              <w:tc>
                <w:tcPr>
                  <w:tcW w:w="463" w:type="pct"/>
                  <w:vAlign w:val="center"/>
                </w:tcPr>
                <w:p>
                  <w:pPr>
                    <w:pStyle w:val="11"/>
                    <w:bidi w:val="0"/>
                    <w:jc w:val="center"/>
                    <w:rPr>
                      <w:rFonts w:hint="default"/>
                      <w:lang w:val="en-US" w:eastAsia="zh-CN"/>
                    </w:rPr>
                  </w:pPr>
                  <w:r>
                    <w:rPr>
                      <w:rFonts w:hint="eastAsia"/>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391" w:type="pct"/>
                  <w:vMerge w:val="continue"/>
                  <w:vAlign w:val="center"/>
                </w:tcPr>
                <w:p>
                  <w:pPr>
                    <w:pStyle w:val="11"/>
                    <w:bidi w:val="0"/>
                    <w:jc w:val="center"/>
                    <w:rPr>
                      <w:rFonts w:hint="default"/>
                      <w:lang w:val="en-US" w:eastAsia="zh-CN"/>
                    </w:rPr>
                  </w:pPr>
                </w:p>
              </w:tc>
              <w:tc>
                <w:tcPr>
                  <w:tcW w:w="388" w:type="pct"/>
                  <w:gridSpan w:val="2"/>
                  <w:vAlign w:val="center"/>
                </w:tcPr>
                <w:p>
                  <w:pPr>
                    <w:pStyle w:val="11"/>
                    <w:bidi w:val="0"/>
                    <w:jc w:val="center"/>
                    <w:rPr>
                      <w:rFonts w:hint="default"/>
                      <w:lang w:val="en-US" w:eastAsia="zh-CN"/>
                    </w:rPr>
                  </w:pPr>
                  <w:r>
                    <w:rPr>
                      <w:rFonts w:hint="default"/>
                      <w:lang w:val="en-US" w:eastAsia="zh-CN"/>
                    </w:rPr>
                    <w:t>工艺过程</w:t>
                  </w:r>
                </w:p>
              </w:tc>
              <w:tc>
                <w:tcPr>
                  <w:tcW w:w="2837" w:type="pct"/>
                  <w:vAlign w:val="center"/>
                </w:tcPr>
                <w:p>
                  <w:pPr>
                    <w:pStyle w:val="11"/>
                    <w:bidi w:val="0"/>
                    <w:ind w:firstLine="0" w:firstLineChars="0"/>
                    <w:jc w:val="both"/>
                    <w:rPr>
                      <w:rFonts w:hint="default"/>
                      <w:lang w:val="en-US" w:eastAsia="zh-CN"/>
                    </w:rPr>
                  </w:pPr>
                  <w:r>
                    <w:rPr>
                      <w:rFonts w:hint="default"/>
                      <w:lang w:val="en-US" w:eastAsia="zh-CN"/>
                    </w:rPr>
                    <w:t>原辅材料调配、使用（施胶、喷涂、干燥等）、回收等过程采用密闭设备或在密闭空间内操作。涉VOCs原料装卸、储存、转移和输送、工艺过程等环节的废气全部收集引至VOCs处理系统。</w:t>
                  </w:r>
                </w:p>
              </w:tc>
              <w:tc>
                <w:tcPr>
                  <w:tcW w:w="920" w:type="pct"/>
                  <w:vAlign w:val="center"/>
                </w:tcPr>
                <w:p>
                  <w:pPr>
                    <w:pStyle w:val="11"/>
                    <w:bidi w:val="0"/>
                    <w:jc w:val="center"/>
                    <w:rPr>
                      <w:rFonts w:hint="default"/>
                      <w:lang w:val="en-US" w:eastAsia="zh-CN"/>
                    </w:rPr>
                  </w:pPr>
                  <w:r>
                    <w:rPr>
                      <w:rFonts w:hint="eastAsia"/>
                      <w:lang w:val="en-US" w:eastAsia="zh-CN"/>
                    </w:rPr>
                    <w:t>项目混胶、成型工序均进行二次密闭。</w:t>
                  </w:r>
                </w:p>
              </w:tc>
              <w:tc>
                <w:tcPr>
                  <w:tcW w:w="463" w:type="pct"/>
                  <w:vAlign w:val="center"/>
                </w:tcPr>
                <w:p>
                  <w:pPr>
                    <w:pStyle w:val="11"/>
                    <w:bidi w:val="0"/>
                    <w:jc w:val="center"/>
                    <w:rPr>
                      <w:rFonts w:hint="default"/>
                      <w:lang w:val="en-US" w:eastAsia="zh-CN"/>
                    </w:rPr>
                  </w:pPr>
                  <w:r>
                    <w:rPr>
                      <w:rFonts w:hint="eastAsia"/>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391" w:type="pct"/>
                  <w:vMerge w:val="restart"/>
                  <w:vAlign w:val="center"/>
                </w:tcPr>
                <w:p>
                  <w:pPr>
                    <w:pStyle w:val="11"/>
                    <w:bidi w:val="0"/>
                    <w:jc w:val="center"/>
                    <w:rPr>
                      <w:rFonts w:hint="default"/>
                      <w:lang w:val="en-US" w:eastAsia="zh-CN"/>
                    </w:rPr>
                  </w:pPr>
                  <w:r>
                    <w:rPr>
                      <w:rFonts w:hint="eastAsia"/>
                      <w:lang w:val="en-US" w:eastAsia="zh-CN"/>
                    </w:rPr>
                    <w:t>其他控制要求</w:t>
                  </w:r>
                </w:p>
              </w:tc>
              <w:tc>
                <w:tcPr>
                  <w:tcW w:w="388" w:type="pct"/>
                  <w:gridSpan w:val="2"/>
                  <w:vAlign w:val="center"/>
                </w:tcPr>
                <w:p>
                  <w:pPr>
                    <w:pStyle w:val="11"/>
                    <w:bidi w:val="0"/>
                    <w:jc w:val="center"/>
                    <w:rPr>
                      <w:rFonts w:hint="default"/>
                      <w:lang w:val="en-US" w:eastAsia="zh-CN"/>
                    </w:rPr>
                  </w:pPr>
                  <w:r>
                    <w:rPr>
                      <w:rFonts w:hint="eastAsia"/>
                      <w:lang w:val="en-US" w:eastAsia="zh-CN"/>
                    </w:rPr>
                    <w:t>运输方式</w:t>
                  </w:r>
                </w:p>
              </w:tc>
              <w:tc>
                <w:tcPr>
                  <w:tcW w:w="2837" w:type="pct"/>
                  <w:vAlign w:val="center"/>
                </w:tcPr>
                <w:p>
                  <w:pPr>
                    <w:pStyle w:val="11"/>
                    <w:bidi w:val="0"/>
                    <w:ind w:firstLine="0" w:firstLineChars="0"/>
                    <w:jc w:val="both"/>
                    <w:rPr>
                      <w:rFonts w:hint="default"/>
                      <w:lang w:val="en-US" w:eastAsia="zh-CN"/>
                    </w:rPr>
                  </w:pPr>
                  <w:r>
                    <w:rPr>
                      <w:rFonts w:hint="default"/>
                      <w:lang w:val="en-US" w:eastAsia="zh-CN"/>
                    </w:rPr>
                    <w:t>①公路运输。物料公路运输使用达到国五及以上排放标准重型载货车辆（重型燃气车辆达到国六排放标准）或新能源车辆比例不低于80%，其他车辆达到国四排放标准（重型燃气车辆达到国五及以上排放标准）；</w:t>
                  </w:r>
                </w:p>
                <w:p>
                  <w:pPr>
                    <w:pStyle w:val="11"/>
                    <w:bidi w:val="0"/>
                    <w:ind w:firstLine="0" w:firstLineChars="0"/>
                    <w:jc w:val="both"/>
                    <w:rPr>
                      <w:rFonts w:hint="default"/>
                      <w:lang w:val="en-US" w:eastAsia="zh-CN"/>
                    </w:rPr>
                  </w:pPr>
                  <w:r>
                    <w:rPr>
                      <w:rFonts w:hint="default"/>
                      <w:lang w:val="en-US" w:eastAsia="zh-CN"/>
                    </w:rPr>
                    <w:t>②厂内运输车辆。达到国五及以上排放标准（重型燃气车辆达到国六排放标准）或使用新能源车辆的比例不低于80%，其他车辆达到国四排放标准（重型燃气车辆达到国五及以上排放标准）；</w:t>
                  </w:r>
                </w:p>
                <w:p>
                  <w:pPr>
                    <w:pStyle w:val="11"/>
                    <w:bidi w:val="0"/>
                    <w:ind w:firstLine="0" w:firstLineChars="0"/>
                    <w:jc w:val="both"/>
                    <w:rPr>
                      <w:rFonts w:hint="default"/>
                      <w:lang w:val="en-US" w:eastAsia="zh-CN"/>
                    </w:rPr>
                  </w:pPr>
                  <w:r>
                    <w:rPr>
                      <w:rFonts w:hint="default"/>
                      <w:lang w:val="en-US" w:eastAsia="zh-CN"/>
                    </w:rPr>
                    <w:t>③危险品及危废运输。国五及以上或新能源车辆比例</w:t>
                  </w:r>
                  <w:r>
                    <w:rPr>
                      <w:rFonts w:hint="eastAsia"/>
                      <w:lang w:val="en-US" w:eastAsia="zh-CN"/>
                    </w:rPr>
                    <w:t>达到</w:t>
                  </w:r>
                  <w:r>
                    <w:rPr>
                      <w:rFonts w:hint="default"/>
                      <w:lang w:val="en-US" w:eastAsia="zh-CN"/>
                    </w:rPr>
                    <w:t>100%；</w:t>
                  </w:r>
                </w:p>
                <w:p>
                  <w:pPr>
                    <w:pStyle w:val="11"/>
                    <w:bidi w:val="0"/>
                    <w:ind w:firstLine="0" w:firstLineChars="0"/>
                    <w:jc w:val="both"/>
                    <w:rPr>
                      <w:rFonts w:hint="default"/>
                      <w:lang w:val="en-US" w:eastAsia="zh-CN"/>
                    </w:rPr>
                  </w:pPr>
                  <w:r>
                    <w:rPr>
                      <w:rFonts w:hint="default"/>
                      <w:lang w:val="en-US" w:eastAsia="zh-CN"/>
                    </w:rPr>
                    <w:t>④厂内非道路移动机械。国三及以上排放标准或使用新能源机械比例</w:t>
                  </w:r>
                  <w:r>
                    <w:rPr>
                      <w:rFonts w:hint="eastAsia"/>
                      <w:lang w:val="en-US" w:eastAsia="zh-CN"/>
                    </w:rPr>
                    <w:t>达到</w:t>
                  </w:r>
                  <w:r>
                    <w:rPr>
                      <w:rFonts w:hint="default"/>
                      <w:lang w:val="en-US" w:eastAsia="zh-CN"/>
                    </w:rPr>
                    <w:t>100%。</w:t>
                  </w:r>
                </w:p>
              </w:tc>
              <w:tc>
                <w:tcPr>
                  <w:tcW w:w="920" w:type="pct"/>
                  <w:vAlign w:val="center"/>
                </w:tcPr>
                <w:p>
                  <w:pPr>
                    <w:pStyle w:val="11"/>
                    <w:bidi w:val="0"/>
                    <w:jc w:val="center"/>
                    <w:rPr>
                      <w:rFonts w:hint="default"/>
                      <w:lang w:val="en-US" w:eastAsia="zh-CN"/>
                    </w:rPr>
                  </w:pPr>
                  <w:r>
                    <w:rPr>
                      <w:rFonts w:hint="default"/>
                      <w:lang w:val="en-US" w:eastAsia="zh-CN"/>
                    </w:rPr>
                    <w:t>本项目投入运营</w:t>
                  </w:r>
                  <w:r>
                    <w:rPr>
                      <w:rFonts w:hint="eastAsia"/>
                      <w:lang w:val="en-US" w:eastAsia="zh-CN"/>
                    </w:rPr>
                    <w:t>后</w:t>
                  </w:r>
                  <w:r>
                    <w:rPr>
                      <w:rFonts w:hint="default"/>
                      <w:lang w:val="en-US" w:eastAsia="zh-CN"/>
                    </w:rPr>
                    <w:t>，</w:t>
                  </w:r>
                  <w:r>
                    <w:rPr>
                      <w:rFonts w:hint="eastAsia"/>
                      <w:lang w:val="en-US" w:eastAsia="zh-CN"/>
                    </w:rPr>
                    <w:t>将严格把控运输车辆清洁程度，并建立完善的运输管理台账。</w:t>
                  </w:r>
                </w:p>
              </w:tc>
              <w:tc>
                <w:tcPr>
                  <w:tcW w:w="463" w:type="pct"/>
                  <w:vAlign w:val="center"/>
                </w:tcPr>
                <w:p>
                  <w:pPr>
                    <w:pStyle w:val="11"/>
                    <w:bidi w:val="0"/>
                    <w:jc w:val="center"/>
                    <w:rPr>
                      <w:rFonts w:hint="default"/>
                      <w:lang w:val="en-US" w:eastAsia="zh-CN"/>
                    </w:rPr>
                  </w:pPr>
                  <w:r>
                    <w:rPr>
                      <w:rFonts w:hint="eastAsia"/>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391" w:type="pct"/>
                  <w:vMerge w:val="continue"/>
                  <w:vAlign w:val="center"/>
                </w:tcPr>
                <w:p>
                  <w:pPr>
                    <w:pStyle w:val="11"/>
                    <w:bidi w:val="0"/>
                    <w:jc w:val="center"/>
                    <w:rPr>
                      <w:rFonts w:hint="eastAsia"/>
                      <w:lang w:val="en-US" w:eastAsia="zh-CN"/>
                    </w:rPr>
                  </w:pPr>
                </w:p>
              </w:tc>
              <w:tc>
                <w:tcPr>
                  <w:tcW w:w="388" w:type="pct"/>
                  <w:gridSpan w:val="2"/>
                  <w:vAlign w:val="center"/>
                </w:tcPr>
                <w:p>
                  <w:pPr>
                    <w:pStyle w:val="11"/>
                    <w:bidi w:val="0"/>
                    <w:jc w:val="center"/>
                    <w:rPr>
                      <w:rFonts w:hint="default"/>
                      <w:lang w:val="en-US" w:eastAsia="zh-CN"/>
                    </w:rPr>
                  </w:pPr>
                  <w:r>
                    <w:rPr>
                      <w:rFonts w:hint="eastAsia"/>
                      <w:lang w:val="en-US" w:eastAsia="zh-CN"/>
                    </w:rPr>
                    <w:t>运输监管</w:t>
                  </w:r>
                </w:p>
              </w:tc>
              <w:tc>
                <w:tcPr>
                  <w:tcW w:w="2837" w:type="pct"/>
                  <w:vAlign w:val="center"/>
                </w:tcPr>
                <w:p>
                  <w:pPr>
                    <w:pStyle w:val="11"/>
                    <w:bidi w:val="0"/>
                    <w:ind w:firstLine="0" w:firstLineChars="0"/>
                    <w:jc w:val="both"/>
                    <w:rPr>
                      <w:rFonts w:hint="default"/>
                      <w:lang w:val="en-US" w:eastAsia="zh-CN"/>
                    </w:rPr>
                  </w:pPr>
                  <w:r>
                    <w:rPr>
                      <w:rFonts w:hint="default"/>
                      <w:lang w:val="en-US" w:eastAsia="zh-CN"/>
                    </w:rPr>
                    <w:t>厂区货运车辆进出大门口：日均进出货物150吨（或载货车辆日进出10辆次）及以上（货物包括原料、辅料、燃料、产品和其他与生产相关物料）的企业，或纳入我省重点行业年产值1000万及以上的企业，拟申报A、B级企业时，应参照《重污染天气重点行业移动源应急管理技术指南》建立门禁视频监控系统和电子台账；其他企业建立电子台账。安装高清视频监控系统并能保留数据6个月以上。</w:t>
                  </w:r>
                </w:p>
              </w:tc>
              <w:tc>
                <w:tcPr>
                  <w:tcW w:w="920" w:type="pct"/>
                  <w:vAlign w:val="center"/>
                </w:tcPr>
                <w:p>
                  <w:pPr>
                    <w:pStyle w:val="11"/>
                    <w:bidi w:val="0"/>
                    <w:jc w:val="center"/>
                    <w:rPr>
                      <w:rFonts w:hint="default"/>
                      <w:lang w:val="en-US" w:eastAsia="zh-CN"/>
                    </w:rPr>
                  </w:pPr>
                  <w:r>
                    <w:rPr>
                      <w:rFonts w:hint="default"/>
                      <w:lang w:val="en-US" w:eastAsia="zh-CN"/>
                    </w:rPr>
                    <w:t>本项目投入运营后</w:t>
                  </w:r>
                  <w:r>
                    <w:rPr>
                      <w:rFonts w:hint="eastAsia"/>
                      <w:lang w:val="en-US" w:eastAsia="zh-CN"/>
                    </w:rPr>
                    <w:t>，</w:t>
                  </w:r>
                  <w:r>
                    <w:rPr>
                      <w:rFonts w:hint="default"/>
                      <w:lang w:val="en-US" w:eastAsia="zh-CN"/>
                    </w:rPr>
                    <w:t>将严格按照相关指标</w:t>
                  </w:r>
                  <w:r>
                    <w:rPr>
                      <w:rFonts w:hint="eastAsia"/>
                      <w:lang w:val="en-US" w:eastAsia="zh-CN"/>
                    </w:rPr>
                    <w:t>建立门禁系统或电子台账。</w:t>
                  </w:r>
                </w:p>
              </w:tc>
              <w:tc>
                <w:tcPr>
                  <w:tcW w:w="463" w:type="pct"/>
                  <w:vAlign w:val="center"/>
                </w:tcPr>
                <w:p>
                  <w:pPr>
                    <w:pStyle w:val="11"/>
                    <w:bidi w:val="0"/>
                    <w:jc w:val="center"/>
                    <w:rPr>
                      <w:rFonts w:hint="default"/>
                      <w:lang w:val="en-US" w:eastAsia="zh-CN"/>
                    </w:rPr>
                  </w:pPr>
                  <w:r>
                    <w:rPr>
                      <w:rFonts w:hint="eastAsia"/>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391" w:type="pct"/>
                  <w:vMerge w:val="continue"/>
                  <w:vAlign w:val="center"/>
                </w:tcPr>
                <w:p>
                  <w:pPr>
                    <w:pStyle w:val="11"/>
                    <w:bidi w:val="0"/>
                    <w:jc w:val="center"/>
                    <w:rPr>
                      <w:rFonts w:hint="eastAsia"/>
                      <w:lang w:val="en-US" w:eastAsia="zh-CN"/>
                    </w:rPr>
                  </w:pPr>
                </w:p>
              </w:tc>
              <w:tc>
                <w:tcPr>
                  <w:tcW w:w="194" w:type="pct"/>
                  <w:vMerge w:val="restart"/>
                  <w:vAlign w:val="center"/>
                </w:tcPr>
                <w:p>
                  <w:pPr>
                    <w:pStyle w:val="11"/>
                    <w:bidi w:val="0"/>
                    <w:jc w:val="center"/>
                    <w:rPr>
                      <w:rFonts w:hint="default"/>
                      <w:lang w:val="en-US" w:eastAsia="zh-CN"/>
                    </w:rPr>
                  </w:pPr>
                  <w:r>
                    <w:rPr>
                      <w:rFonts w:hint="eastAsia"/>
                      <w:lang w:val="en-US" w:eastAsia="zh-CN"/>
                    </w:rPr>
                    <w:t>环境管理要求</w:t>
                  </w:r>
                </w:p>
              </w:tc>
              <w:tc>
                <w:tcPr>
                  <w:tcW w:w="194" w:type="pct"/>
                  <w:vAlign w:val="center"/>
                </w:tcPr>
                <w:p>
                  <w:pPr>
                    <w:pStyle w:val="11"/>
                    <w:bidi w:val="0"/>
                    <w:jc w:val="center"/>
                    <w:rPr>
                      <w:rFonts w:hint="eastAsia"/>
                      <w:lang w:val="en-US" w:eastAsia="zh-CN"/>
                    </w:rPr>
                  </w:pPr>
                  <w:r>
                    <w:rPr>
                      <w:rFonts w:hint="eastAsia"/>
                      <w:lang w:val="en-US" w:eastAsia="zh-CN"/>
                    </w:rPr>
                    <w:t>环保档案</w:t>
                  </w:r>
                </w:p>
              </w:tc>
              <w:tc>
                <w:tcPr>
                  <w:tcW w:w="2837" w:type="pct"/>
                  <w:vAlign w:val="center"/>
                </w:tcPr>
                <w:p>
                  <w:pPr>
                    <w:pStyle w:val="11"/>
                    <w:bidi w:val="0"/>
                    <w:ind w:firstLine="0" w:firstLineChars="0"/>
                    <w:jc w:val="both"/>
                    <w:rPr>
                      <w:rFonts w:hint="default"/>
                      <w:lang w:val="en-US" w:eastAsia="zh-CN"/>
                    </w:rPr>
                  </w:pPr>
                  <w:r>
                    <w:rPr>
                      <w:rFonts w:hint="default"/>
                      <w:lang w:val="en-US" w:eastAsia="zh-CN"/>
                    </w:rPr>
                    <w:t>①环评批复文件和竣工验收文件/现状评估文件；</w:t>
                  </w:r>
                </w:p>
                <w:p>
                  <w:pPr>
                    <w:pStyle w:val="11"/>
                    <w:bidi w:val="0"/>
                    <w:ind w:firstLine="0" w:firstLineChars="0"/>
                    <w:jc w:val="both"/>
                    <w:rPr>
                      <w:rFonts w:hint="default"/>
                      <w:lang w:val="en-US" w:eastAsia="zh-CN"/>
                    </w:rPr>
                  </w:pPr>
                  <w:r>
                    <w:rPr>
                      <w:rFonts w:hint="default"/>
                      <w:lang w:val="en-US" w:eastAsia="zh-CN"/>
                    </w:rPr>
                    <w:t>②废气治理设施运行管理规程；</w:t>
                  </w:r>
                </w:p>
                <w:p>
                  <w:pPr>
                    <w:pStyle w:val="11"/>
                    <w:bidi w:val="0"/>
                    <w:ind w:firstLine="0" w:firstLineChars="0"/>
                    <w:jc w:val="both"/>
                    <w:rPr>
                      <w:rFonts w:hint="default"/>
                      <w:lang w:val="en-US" w:eastAsia="zh-CN"/>
                    </w:rPr>
                  </w:pPr>
                  <w:r>
                    <w:rPr>
                      <w:rFonts w:hint="default"/>
                      <w:lang w:val="en-US" w:eastAsia="zh-CN"/>
                    </w:rPr>
                    <w:t>③一年内废气监测报告；</w:t>
                  </w:r>
                </w:p>
                <w:p>
                  <w:pPr>
                    <w:pStyle w:val="11"/>
                    <w:bidi w:val="0"/>
                    <w:ind w:firstLine="0" w:firstLineChars="0"/>
                    <w:jc w:val="both"/>
                    <w:rPr>
                      <w:rFonts w:hint="default"/>
                      <w:lang w:val="en-US" w:eastAsia="zh-CN"/>
                    </w:rPr>
                  </w:pPr>
                  <w:r>
                    <w:rPr>
                      <w:rFonts w:hint="default"/>
                      <w:lang w:val="en-US" w:eastAsia="zh-CN"/>
                    </w:rPr>
                    <w:t>④国家版排污许可证，并按要求开展自行监测和信息披露，有规范的排气筒监测平台和排污口标识。</w:t>
                  </w:r>
                </w:p>
              </w:tc>
              <w:tc>
                <w:tcPr>
                  <w:tcW w:w="920" w:type="pct"/>
                  <w:vMerge w:val="restart"/>
                  <w:vAlign w:val="center"/>
                </w:tcPr>
                <w:p>
                  <w:pPr>
                    <w:pStyle w:val="11"/>
                    <w:bidi w:val="0"/>
                    <w:jc w:val="center"/>
                    <w:rPr>
                      <w:rFonts w:hint="default"/>
                      <w:lang w:val="en-US" w:eastAsia="zh-CN"/>
                    </w:rPr>
                  </w:pPr>
                  <w:r>
                    <w:rPr>
                      <w:rFonts w:hint="default"/>
                      <w:lang w:val="en-US" w:eastAsia="zh-CN"/>
                    </w:rPr>
                    <w:t>本项目尚未投入运营，正在办理相关手续，后期将严格按照相关指标要求进行管理</w:t>
                  </w:r>
                </w:p>
              </w:tc>
              <w:tc>
                <w:tcPr>
                  <w:tcW w:w="463" w:type="pct"/>
                  <w:vAlign w:val="center"/>
                </w:tcPr>
                <w:p>
                  <w:pPr>
                    <w:pStyle w:val="11"/>
                    <w:bidi w:val="0"/>
                    <w:jc w:val="center"/>
                    <w:rPr>
                      <w:rFonts w:hint="default"/>
                      <w:lang w:val="en-US" w:eastAsia="zh-CN"/>
                    </w:rPr>
                  </w:pPr>
                  <w:r>
                    <w:rPr>
                      <w:rFonts w:hint="eastAsia"/>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391" w:type="pct"/>
                  <w:vMerge w:val="continue"/>
                  <w:vAlign w:val="center"/>
                </w:tcPr>
                <w:p>
                  <w:pPr>
                    <w:pStyle w:val="11"/>
                    <w:bidi w:val="0"/>
                    <w:jc w:val="center"/>
                    <w:rPr>
                      <w:rFonts w:hint="eastAsia"/>
                      <w:lang w:val="en-US" w:eastAsia="zh-CN"/>
                    </w:rPr>
                  </w:pPr>
                </w:p>
              </w:tc>
              <w:tc>
                <w:tcPr>
                  <w:tcW w:w="194" w:type="pct"/>
                  <w:vMerge w:val="continue"/>
                  <w:vAlign w:val="center"/>
                </w:tcPr>
                <w:p>
                  <w:pPr>
                    <w:pStyle w:val="11"/>
                    <w:bidi w:val="0"/>
                    <w:jc w:val="center"/>
                    <w:rPr>
                      <w:rFonts w:hint="eastAsia"/>
                      <w:lang w:val="en-US" w:eastAsia="zh-CN"/>
                    </w:rPr>
                  </w:pPr>
                </w:p>
              </w:tc>
              <w:tc>
                <w:tcPr>
                  <w:tcW w:w="194" w:type="pct"/>
                  <w:vAlign w:val="center"/>
                </w:tcPr>
                <w:p>
                  <w:pPr>
                    <w:pStyle w:val="11"/>
                    <w:bidi w:val="0"/>
                    <w:jc w:val="center"/>
                    <w:rPr>
                      <w:rFonts w:hint="eastAsia"/>
                      <w:lang w:val="en-US" w:eastAsia="zh-CN"/>
                    </w:rPr>
                  </w:pPr>
                  <w:r>
                    <w:rPr>
                      <w:rFonts w:hint="eastAsia"/>
                      <w:lang w:val="en-US" w:eastAsia="zh-CN"/>
                    </w:rPr>
                    <w:t>台账记录</w:t>
                  </w:r>
                </w:p>
              </w:tc>
              <w:tc>
                <w:tcPr>
                  <w:tcW w:w="2837" w:type="pct"/>
                  <w:vAlign w:val="center"/>
                </w:tcPr>
                <w:p>
                  <w:pPr>
                    <w:pStyle w:val="11"/>
                    <w:bidi w:val="0"/>
                    <w:ind w:firstLine="0" w:firstLineChars="0"/>
                    <w:jc w:val="both"/>
                    <w:rPr>
                      <w:rFonts w:hint="default"/>
                      <w:lang w:val="en-US" w:eastAsia="zh-CN"/>
                    </w:rPr>
                  </w:pPr>
                  <w:r>
                    <w:rPr>
                      <w:rFonts w:hint="default"/>
                      <w:lang w:val="en-US" w:eastAsia="zh-CN"/>
                    </w:rPr>
                    <w:t>①生产设施运行管理信息（生产时间、运行负荷、产品产量等）；</w:t>
                  </w:r>
                </w:p>
                <w:p>
                  <w:pPr>
                    <w:pStyle w:val="11"/>
                    <w:bidi w:val="0"/>
                    <w:ind w:firstLine="0" w:firstLineChars="0"/>
                    <w:jc w:val="both"/>
                    <w:rPr>
                      <w:rFonts w:hint="default"/>
                      <w:lang w:val="en-US" w:eastAsia="zh-CN"/>
                    </w:rPr>
                  </w:pPr>
                  <w:r>
                    <w:rPr>
                      <w:rFonts w:hint="default"/>
                      <w:lang w:val="en-US" w:eastAsia="zh-CN"/>
                    </w:rPr>
                    <w:t>②废气污染治理设施运行管理信息（除尘滤料、活性炭等更换量和时间）；</w:t>
                  </w:r>
                </w:p>
                <w:p>
                  <w:pPr>
                    <w:pStyle w:val="11"/>
                    <w:bidi w:val="0"/>
                    <w:ind w:firstLine="0" w:firstLineChars="0"/>
                    <w:jc w:val="both"/>
                    <w:rPr>
                      <w:rFonts w:hint="default"/>
                      <w:lang w:val="en-US" w:eastAsia="zh-CN"/>
                    </w:rPr>
                  </w:pPr>
                  <w:r>
                    <w:rPr>
                      <w:rFonts w:hint="default"/>
                      <w:lang w:val="en-US" w:eastAsia="zh-CN"/>
                    </w:rPr>
                    <w:t>③监测记录信息（主要污染排放口废气排放记录等）；</w:t>
                  </w:r>
                </w:p>
                <w:p>
                  <w:pPr>
                    <w:pStyle w:val="11"/>
                    <w:bidi w:val="0"/>
                    <w:ind w:firstLine="0" w:firstLineChars="0"/>
                    <w:jc w:val="both"/>
                    <w:rPr>
                      <w:rFonts w:hint="default"/>
                      <w:lang w:val="en-US" w:eastAsia="zh-CN"/>
                    </w:rPr>
                  </w:pPr>
                  <w:r>
                    <w:rPr>
                      <w:rFonts w:hint="default"/>
                      <w:lang w:val="en-US" w:eastAsia="zh-CN"/>
                    </w:rPr>
                    <w:t>④主要原辅材料、燃料消耗记录；</w:t>
                  </w:r>
                </w:p>
                <w:p>
                  <w:pPr>
                    <w:pStyle w:val="11"/>
                    <w:bidi w:val="0"/>
                    <w:ind w:firstLine="0" w:firstLineChars="0"/>
                    <w:jc w:val="both"/>
                    <w:rPr>
                      <w:rFonts w:hint="default"/>
                      <w:lang w:val="en-US" w:eastAsia="zh-CN"/>
                    </w:rPr>
                  </w:pPr>
                  <w:r>
                    <w:rPr>
                      <w:rFonts w:hint="default"/>
                      <w:lang w:val="en-US" w:eastAsia="zh-CN"/>
                    </w:rPr>
                    <w:t>⑤电消耗记录。</w:t>
                  </w:r>
                </w:p>
              </w:tc>
              <w:tc>
                <w:tcPr>
                  <w:tcW w:w="920" w:type="pct"/>
                  <w:vMerge w:val="continue"/>
                  <w:vAlign w:val="center"/>
                </w:tcPr>
                <w:p>
                  <w:pPr>
                    <w:pStyle w:val="11"/>
                    <w:bidi w:val="0"/>
                    <w:jc w:val="center"/>
                    <w:rPr>
                      <w:rFonts w:hint="default"/>
                      <w:lang w:val="en-US" w:eastAsia="zh-CN"/>
                    </w:rPr>
                  </w:pPr>
                </w:p>
              </w:tc>
              <w:tc>
                <w:tcPr>
                  <w:tcW w:w="463" w:type="pct"/>
                  <w:vAlign w:val="center"/>
                </w:tcPr>
                <w:p>
                  <w:pPr>
                    <w:pStyle w:val="11"/>
                    <w:bidi w:val="0"/>
                    <w:jc w:val="center"/>
                    <w:rPr>
                      <w:rFonts w:hint="default"/>
                      <w:lang w:val="en-US" w:eastAsia="zh-CN"/>
                    </w:rPr>
                  </w:pPr>
                  <w:r>
                    <w:rPr>
                      <w:rFonts w:hint="eastAsia"/>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391" w:type="pct"/>
                  <w:vMerge w:val="continue"/>
                  <w:vAlign w:val="center"/>
                </w:tcPr>
                <w:p>
                  <w:pPr>
                    <w:pStyle w:val="11"/>
                    <w:bidi w:val="0"/>
                    <w:jc w:val="center"/>
                    <w:rPr>
                      <w:rFonts w:hint="eastAsia"/>
                      <w:lang w:val="en-US" w:eastAsia="zh-CN"/>
                    </w:rPr>
                  </w:pPr>
                </w:p>
              </w:tc>
              <w:tc>
                <w:tcPr>
                  <w:tcW w:w="194" w:type="pct"/>
                  <w:vMerge w:val="continue"/>
                  <w:vAlign w:val="center"/>
                </w:tcPr>
                <w:p>
                  <w:pPr>
                    <w:pStyle w:val="11"/>
                    <w:bidi w:val="0"/>
                    <w:jc w:val="center"/>
                    <w:rPr>
                      <w:rFonts w:hint="eastAsia"/>
                      <w:lang w:val="en-US" w:eastAsia="zh-CN"/>
                    </w:rPr>
                  </w:pPr>
                </w:p>
              </w:tc>
              <w:tc>
                <w:tcPr>
                  <w:tcW w:w="194" w:type="pct"/>
                  <w:vAlign w:val="center"/>
                </w:tcPr>
                <w:p>
                  <w:pPr>
                    <w:pStyle w:val="11"/>
                    <w:bidi w:val="0"/>
                    <w:jc w:val="center"/>
                    <w:rPr>
                      <w:rFonts w:hint="eastAsia"/>
                      <w:lang w:val="en-US" w:eastAsia="zh-CN"/>
                    </w:rPr>
                  </w:pPr>
                  <w:r>
                    <w:rPr>
                      <w:rFonts w:hint="eastAsia"/>
                      <w:lang w:val="en-US" w:eastAsia="zh-CN"/>
                    </w:rPr>
                    <w:t>人员配置</w:t>
                  </w:r>
                </w:p>
              </w:tc>
              <w:tc>
                <w:tcPr>
                  <w:tcW w:w="2837" w:type="pct"/>
                  <w:vAlign w:val="center"/>
                </w:tcPr>
                <w:p>
                  <w:pPr>
                    <w:pStyle w:val="11"/>
                    <w:bidi w:val="0"/>
                    <w:ind w:firstLine="0" w:firstLineChars="0"/>
                    <w:jc w:val="both"/>
                    <w:rPr>
                      <w:rFonts w:hint="default"/>
                      <w:lang w:val="en-US" w:eastAsia="zh-CN"/>
                    </w:rPr>
                  </w:pPr>
                  <w:r>
                    <w:rPr>
                      <w:rFonts w:hint="default"/>
                      <w:lang w:val="en-US" w:eastAsia="zh-CN"/>
                    </w:rPr>
                    <w:t>配备专/兼职环保人员，并具备相应的环境管理能力（学历、培训、从业经验等）。</w:t>
                  </w:r>
                </w:p>
              </w:tc>
              <w:tc>
                <w:tcPr>
                  <w:tcW w:w="920" w:type="pct"/>
                  <w:vMerge w:val="continue"/>
                  <w:vAlign w:val="center"/>
                </w:tcPr>
                <w:p>
                  <w:pPr>
                    <w:pStyle w:val="11"/>
                    <w:bidi w:val="0"/>
                    <w:jc w:val="center"/>
                    <w:rPr>
                      <w:rFonts w:hint="default"/>
                      <w:lang w:val="en-US" w:eastAsia="zh-CN"/>
                    </w:rPr>
                  </w:pPr>
                </w:p>
              </w:tc>
              <w:tc>
                <w:tcPr>
                  <w:tcW w:w="463" w:type="pct"/>
                  <w:vAlign w:val="center"/>
                </w:tcPr>
                <w:p>
                  <w:pPr>
                    <w:pStyle w:val="11"/>
                    <w:bidi w:val="0"/>
                    <w:jc w:val="center"/>
                    <w:rPr>
                      <w:rFonts w:hint="default"/>
                      <w:lang w:val="en-US" w:eastAsia="zh-CN"/>
                    </w:rPr>
                  </w:pPr>
                  <w:r>
                    <w:rPr>
                      <w:rFonts w:hint="eastAsia"/>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391" w:type="pct"/>
                  <w:vMerge w:val="continue"/>
                  <w:vAlign w:val="center"/>
                </w:tcPr>
                <w:p>
                  <w:pPr>
                    <w:pStyle w:val="11"/>
                    <w:bidi w:val="0"/>
                    <w:jc w:val="center"/>
                    <w:rPr>
                      <w:rFonts w:hint="eastAsia"/>
                      <w:lang w:val="en-US" w:eastAsia="zh-CN"/>
                    </w:rPr>
                  </w:pPr>
                </w:p>
              </w:tc>
              <w:tc>
                <w:tcPr>
                  <w:tcW w:w="194" w:type="pct"/>
                  <w:vMerge w:val="restart"/>
                  <w:vAlign w:val="center"/>
                </w:tcPr>
                <w:p>
                  <w:pPr>
                    <w:pStyle w:val="11"/>
                    <w:bidi w:val="0"/>
                    <w:jc w:val="center"/>
                    <w:rPr>
                      <w:rFonts w:hint="eastAsia"/>
                      <w:lang w:val="en-US" w:eastAsia="zh-CN"/>
                    </w:rPr>
                  </w:pPr>
                  <w:r>
                    <w:rPr>
                      <w:rFonts w:hint="eastAsia"/>
                      <w:lang w:val="en-US" w:eastAsia="zh-CN"/>
                    </w:rPr>
                    <w:t>其他控制要求</w:t>
                  </w:r>
                </w:p>
              </w:tc>
              <w:tc>
                <w:tcPr>
                  <w:tcW w:w="194" w:type="pct"/>
                  <w:vAlign w:val="center"/>
                </w:tcPr>
                <w:p>
                  <w:pPr>
                    <w:pStyle w:val="11"/>
                    <w:bidi w:val="0"/>
                    <w:jc w:val="center"/>
                    <w:rPr>
                      <w:rFonts w:hint="eastAsia"/>
                      <w:lang w:val="en-US" w:eastAsia="zh-CN"/>
                    </w:rPr>
                  </w:pPr>
                  <w:r>
                    <w:rPr>
                      <w:rFonts w:hint="eastAsia"/>
                      <w:lang w:val="en-US" w:eastAsia="zh-CN"/>
                    </w:rPr>
                    <w:t>生产工艺和装备</w:t>
                  </w:r>
                </w:p>
              </w:tc>
              <w:tc>
                <w:tcPr>
                  <w:tcW w:w="2837" w:type="pct"/>
                  <w:vAlign w:val="center"/>
                </w:tcPr>
                <w:p>
                  <w:pPr>
                    <w:pStyle w:val="11"/>
                    <w:bidi w:val="0"/>
                    <w:ind w:firstLine="0" w:firstLineChars="0"/>
                    <w:jc w:val="both"/>
                    <w:rPr>
                      <w:rFonts w:hint="default"/>
                      <w:lang w:val="en-US" w:eastAsia="zh-CN"/>
                    </w:rPr>
                  </w:pPr>
                  <w:r>
                    <w:rPr>
                      <w:rFonts w:hint="default"/>
                      <w:lang w:val="en-US" w:eastAsia="zh-CN"/>
                    </w:rPr>
                    <w:t>不属于《产业结构调整指导目录（2019 年版）》淘汰类，不属于省级和市级政府部门明确列入已经限期淘汰类项目。</w:t>
                  </w:r>
                </w:p>
              </w:tc>
              <w:tc>
                <w:tcPr>
                  <w:tcW w:w="920" w:type="pct"/>
                  <w:vAlign w:val="center"/>
                </w:tcPr>
                <w:p>
                  <w:pPr>
                    <w:pStyle w:val="11"/>
                    <w:bidi w:val="0"/>
                    <w:jc w:val="center"/>
                    <w:rPr>
                      <w:rFonts w:hint="default"/>
                      <w:lang w:val="en-US" w:eastAsia="zh-CN"/>
                    </w:rPr>
                  </w:pPr>
                  <w:r>
                    <w:rPr>
                      <w:rFonts w:hint="default"/>
                      <w:lang w:val="en-US" w:eastAsia="zh-CN"/>
                    </w:rPr>
                    <w:t>本项目属于允许类</w:t>
                  </w:r>
                  <w:r>
                    <w:rPr>
                      <w:rFonts w:hint="eastAsia"/>
                      <w:lang w:val="en-US" w:eastAsia="zh-CN"/>
                    </w:rPr>
                    <w:t>。</w:t>
                  </w:r>
                  <w:r>
                    <w:rPr>
                      <w:rFonts w:hint="default"/>
                      <w:lang w:val="en-US" w:eastAsia="zh-CN"/>
                    </w:rPr>
                    <w:t>项目不属于省级和市级政府部门明确列入已经限期淘汰类项目</w:t>
                  </w:r>
                  <w:r>
                    <w:rPr>
                      <w:rFonts w:hint="eastAsia"/>
                      <w:lang w:val="en-US" w:eastAsia="zh-CN"/>
                    </w:rPr>
                    <w:t>。</w:t>
                  </w:r>
                </w:p>
              </w:tc>
              <w:tc>
                <w:tcPr>
                  <w:tcW w:w="463" w:type="pct"/>
                  <w:vAlign w:val="center"/>
                </w:tcPr>
                <w:p>
                  <w:pPr>
                    <w:pStyle w:val="11"/>
                    <w:bidi w:val="0"/>
                    <w:jc w:val="center"/>
                    <w:rPr>
                      <w:rFonts w:hint="default"/>
                      <w:lang w:val="en-US" w:eastAsia="zh-CN"/>
                    </w:rPr>
                  </w:pPr>
                  <w:r>
                    <w:rPr>
                      <w:rFonts w:hint="eastAsia"/>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391" w:type="pct"/>
                  <w:vMerge w:val="continue"/>
                  <w:vAlign w:val="center"/>
                </w:tcPr>
                <w:p>
                  <w:pPr>
                    <w:pStyle w:val="11"/>
                    <w:bidi w:val="0"/>
                    <w:jc w:val="center"/>
                    <w:rPr>
                      <w:rFonts w:hint="eastAsia"/>
                      <w:lang w:val="en-US" w:eastAsia="zh-CN"/>
                    </w:rPr>
                  </w:pPr>
                </w:p>
              </w:tc>
              <w:tc>
                <w:tcPr>
                  <w:tcW w:w="194" w:type="pct"/>
                  <w:vMerge w:val="continue"/>
                  <w:vAlign w:val="center"/>
                </w:tcPr>
                <w:p>
                  <w:pPr>
                    <w:pStyle w:val="11"/>
                    <w:bidi w:val="0"/>
                    <w:jc w:val="center"/>
                    <w:rPr>
                      <w:rFonts w:hint="eastAsia"/>
                      <w:lang w:val="en-US" w:eastAsia="zh-CN"/>
                    </w:rPr>
                  </w:pPr>
                </w:p>
              </w:tc>
              <w:tc>
                <w:tcPr>
                  <w:tcW w:w="194" w:type="pct"/>
                  <w:vAlign w:val="center"/>
                </w:tcPr>
                <w:p>
                  <w:pPr>
                    <w:pStyle w:val="11"/>
                    <w:bidi w:val="0"/>
                    <w:jc w:val="center"/>
                    <w:rPr>
                      <w:rFonts w:hint="eastAsia"/>
                      <w:lang w:val="en-US" w:eastAsia="zh-CN"/>
                    </w:rPr>
                  </w:pPr>
                  <w:r>
                    <w:rPr>
                      <w:rFonts w:hint="default"/>
                      <w:lang w:val="en-US" w:eastAsia="zh-CN"/>
                    </w:rPr>
                    <w:t>污染治理副产物</w:t>
                  </w:r>
                </w:p>
              </w:tc>
              <w:tc>
                <w:tcPr>
                  <w:tcW w:w="2837" w:type="pct"/>
                  <w:vAlign w:val="center"/>
                </w:tcPr>
                <w:p>
                  <w:pPr>
                    <w:pStyle w:val="11"/>
                    <w:bidi w:val="0"/>
                    <w:ind w:firstLine="0" w:firstLineChars="0"/>
                    <w:jc w:val="both"/>
                    <w:rPr>
                      <w:rFonts w:hint="default"/>
                      <w:lang w:val="en-US" w:eastAsia="zh-CN"/>
                    </w:rPr>
                  </w:pPr>
                  <w:r>
                    <w:rPr>
                      <w:rFonts w:hint="default"/>
                      <w:lang w:val="en-US" w:eastAsia="zh-CN"/>
                    </w:rPr>
                    <w:t>除尘器应设置密闭灰仓并及时卸灰，除尘灰应通过气力输送、罐车、袋子等封闭方式卸灰，不得直接卸落到地面。除尘灰如果转运应采用气力输送、封闭传送带方式，如果直接外运应采用罐车或袋装后运输，并在装车过程中采取抑尘措施，除尘灰在厂区内应密闭/封闭储存；脱硫石膏和脱硫废渣等固体废物在转运过程中应采取抑尘措施并应封闭储存。</w:t>
                  </w:r>
                </w:p>
              </w:tc>
              <w:tc>
                <w:tcPr>
                  <w:tcW w:w="920" w:type="pct"/>
                  <w:vAlign w:val="center"/>
                </w:tcPr>
                <w:p>
                  <w:pPr>
                    <w:pStyle w:val="11"/>
                    <w:bidi w:val="0"/>
                    <w:jc w:val="center"/>
                    <w:rPr>
                      <w:rFonts w:hint="default"/>
                      <w:lang w:val="en-US" w:eastAsia="zh-CN"/>
                    </w:rPr>
                  </w:pPr>
                  <w:r>
                    <w:rPr>
                      <w:rFonts w:hint="eastAsia"/>
                      <w:lang w:val="en-US" w:eastAsia="zh-CN"/>
                    </w:rPr>
                    <w:t>项目除尘器均设置密闭缷灰区，并用密封袋盛接卸灰。</w:t>
                  </w:r>
                </w:p>
              </w:tc>
              <w:tc>
                <w:tcPr>
                  <w:tcW w:w="463" w:type="pct"/>
                  <w:vAlign w:val="center"/>
                </w:tcPr>
                <w:p>
                  <w:pPr>
                    <w:pStyle w:val="11"/>
                    <w:bidi w:val="0"/>
                    <w:jc w:val="center"/>
                    <w:rPr>
                      <w:rFonts w:hint="default"/>
                      <w:lang w:val="en-US" w:eastAsia="zh-CN"/>
                    </w:rPr>
                  </w:pPr>
                  <w:r>
                    <w:rPr>
                      <w:rFonts w:hint="eastAsia"/>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391" w:type="pct"/>
                  <w:vMerge w:val="continue"/>
                  <w:vAlign w:val="center"/>
                </w:tcPr>
                <w:p>
                  <w:pPr>
                    <w:pStyle w:val="11"/>
                    <w:bidi w:val="0"/>
                    <w:jc w:val="center"/>
                    <w:rPr>
                      <w:rFonts w:hint="eastAsia"/>
                      <w:lang w:val="en-US" w:eastAsia="zh-CN"/>
                    </w:rPr>
                  </w:pPr>
                </w:p>
              </w:tc>
              <w:tc>
                <w:tcPr>
                  <w:tcW w:w="194" w:type="pct"/>
                  <w:vMerge w:val="continue"/>
                  <w:vAlign w:val="center"/>
                </w:tcPr>
                <w:p>
                  <w:pPr>
                    <w:pStyle w:val="11"/>
                    <w:bidi w:val="0"/>
                    <w:jc w:val="center"/>
                    <w:rPr>
                      <w:rFonts w:hint="eastAsia"/>
                      <w:lang w:val="en-US" w:eastAsia="zh-CN"/>
                    </w:rPr>
                  </w:pPr>
                </w:p>
              </w:tc>
              <w:tc>
                <w:tcPr>
                  <w:tcW w:w="194" w:type="pct"/>
                  <w:vAlign w:val="center"/>
                </w:tcPr>
                <w:p>
                  <w:pPr>
                    <w:pStyle w:val="11"/>
                    <w:bidi w:val="0"/>
                    <w:jc w:val="center"/>
                    <w:rPr>
                      <w:rFonts w:hint="eastAsia"/>
                      <w:lang w:val="en-US" w:eastAsia="zh-CN"/>
                    </w:rPr>
                  </w:pPr>
                  <w:r>
                    <w:rPr>
                      <w:rFonts w:hint="eastAsia"/>
                      <w:lang w:val="en-US" w:eastAsia="zh-CN"/>
                    </w:rPr>
                    <w:t>用电量/视频监管</w:t>
                  </w:r>
                </w:p>
              </w:tc>
              <w:tc>
                <w:tcPr>
                  <w:tcW w:w="2837" w:type="pct"/>
                  <w:vAlign w:val="center"/>
                </w:tcPr>
                <w:p>
                  <w:pPr>
                    <w:pStyle w:val="11"/>
                    <w:bidi w:val="0"/>
                    <w:ind w:firstLine="0" w:firstLineChars="0"/>
                    <w:jc w:val="both"/>
                    <w:rPr>
                      <w:rFonts w:hint="default"/>
                      <w:lang w:val="en-US" w:eastAsia="zh-CN"/>
                    </w:rPr>
                  </w:pPr>
                  <w:r>
                    <w:rPr>
                      <w:rFonts w:hint="default"/>
                      <w:lang w:val="en-US" w:eastAsia="zh-CN"/>
                    </w:rPr>
                    <w:t>按照《河南省涉气排污单位污染治理设施用电监管技术指南（试行）》要求安装用电监管设备（有自动在线监控系统的企业除外），用电监管数据直接上传至省、市生态环境部门的污染治理设施用电监管平台服务器；未安装自动在线监控和用电量监管拟申报A、B级企业，应在主要生产设备（投料口、卸料口等位置）安装视频监控设施，相关数据保存三个月以上。</w:t>
                  </w:r>
                </w:p>
              </w:tc>
              <w:tc>
                <w:tcPr>
                  <w:tcW w:w="920" w:type="pct"/>
                  <w:vAlign w:val="center"/>
                </w:tcPr>
                <w:p>
                  <w:pPr>
                    <w:pStyle w:val="11"/>
                    <w:bidi w:val="0"/>
                    <w:jc w:val="center"/>
                    <w:rPr>
                      <w:rFonts w:hint="default"/>
                      <w:lang w:val="en-US" w:eastAsia="zh-CN"/>
                    </w:rPr>
                  </w:pPr>
                  <w:r>
                    <w:rPr>
                      <w:rFonts w:hint="eastAsia"/>
                      <w:lang w:val="en-US" w:eastAsia="zh-CN"/>
                    </w:rPr>
                    <w:t>项目投产后将按照相关要求</w:t>
                  </w:r>
                  <w:r>
                    <w:rPr>
                      <w:rFonts w:hint="default"/>
                      <w:lang w:val="en-US" w:eastAsia="zh-CN"/>
                    </w:rPr>
                    <w:t>安装用电监管设备</w:t>
                  </w:r>
                  <w:r>
                    <w:rPr>
                      <w:rFonts w:hint="eastAsia"/>
                      <w:lang w:val="en-US" w:eastAsia="zh-CN"/>
                    </w:rPr>
                    <w:t>。</w:t>
                  </w:r>
                </w:p>
              </w:tc>
              <w:tc>
                <w:tcPr>
                  <w:tcW w:w="463" w:type="pct"/>
                  <w:vAlign w:val="center"/>
                </w:tcPr>
                <w:p>
                  <w:pPr>
                    <w:pStyle w:val="11"/>
                    <w:bidi w:val="0"/>
                    <w:jc w:val="center"/>
                    <w:rPr>
                      <w:rFonts w:hint="default"/>
                      <w:lang w:val="en-US" w:eastAsia="zh-CN"/>
                    </w:rPr>
                  </w:pPr>
                  <w:r>
                    <w:rPr>
                      <w:rFonts w:hint="eastAsia"/>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391" w:type="pct"/>
                  <w:vMerge w:val="continue"/>
                  <w:vAlign w:val="center"/>
                </w:tcPr>
                <w:p>
                  <w:pPr>
                    <w:pStyle w:val="11"/>
                    <w:bidi w:val="0"/>
                    <w:jc w:val="center"/>
                    <w:rPr>
                      <w:rFonts w:hint="eastAsia"/>
                      <w:lang w:val="en-US" w:eastAsia="zh-CN"/>
                    </w:rPr>
                  </w:pPr>
                </w:p>
              </w:tc>
              <w:tc>
                <w:tcPr>
                  <w:tcW w:w="194" w:type="pct"/>
                  <w:vMerge w:val="continue"/>
                  <w:vAlign w:val="center"/>
                </w:tcPr>
                <w:p>
                  <w:pPr>
                    <w:pStyle w:val="11"/>
                    <w:bidi w:val="0"/>
                    <w:jc w:val="center"/>
                    <w:rPr>
                      <w:rFonts w:hint="eastAsia"/>
                      <w:lang w:val="en-US" w:eastAsia="zh-CN"/>
                    </w:rPr>
                  </w:pPr>
                </w:p>
              </w:tc>
              <w:tc>
                <w:tcPr>
                  <w:tcW w:w="194" w:type="pct"/>
                  <w:vAlign w:val="center"/>
                </w:tcPr>
                <w:p>
                  <w:pPr>
                    <w:pStyle w:val="11"/>
                    <w:bidi w:val="0"/>
                    <w:jc w:val="center"/>
                    <w:rPr>
                      <w:rFonts w:hint="default"/>
                      <w:lang w:val="en-US" w:eastAsia="zh-CN"/>
                    </w:rPr>
                  </w:pPr>
                  <w:r>
                    <w:rPr>
                      <w:rFonts w:hint="eastAsia"/>
                      <w:lang w:val="en-US" w:eastAsia="zh-CN"/>
                    </w:rPr>
                    <w:t>厂容厂貌</w:t>
                  </w:r>
                </w:p>
              </w:tc>
              <w:tc>
                <w:tcPr>
                  <w:tcW w:w="2837" w:type="pct"/>
                  <w:vAlign w:val="center"/>
                </w:tcPr>
                <w:p>
                  <w:pPr>
                    <w:pStyle w:val="11"/>
                    <w:bidi w:val="0"/>
                    <w:ind w:firstLine="0" w:firstLineChars="0"/>
                    <w:jc w:val="both"/>
                    <w:rPr>
                      <w:rFonts w:hint="default"/>
                      <w:lang w:val="en-US" w:eastAsia="zh-CN"/>
                    </w:rPr>
                  </w:pPr>
                  <w:r>
                    <w:rPr>
                      <w:rFonts w:hint="default"/>
                      <w:lang w:val="en-US" w:eastAsia="zh-CN"/>
                    </w:rPr>
                    <w:t>厂区内道路、原辅材料和燃料堆场等路面应硬化。厂区内道路采取定期清扫、洒水等措施，保持清洁，路面无明显可见积尘。其他未利用地优先绿化，或进行硬化，无成片裸露土地。</w:t>
                  </w:r>
                </w:p>
              </w:tc>
              <w:tc>
                <w:tcPr>
                  <w:tcW w:w="920" w:type="pct"/>
                  <w:vAlign w:val="center"/>
                </w:tcPr>
                <w:p>
                  <w:pPr>
                    <w:pStyle w:val="11"/>
                    <w:bidi w:val="0"/>
                    <w:jc w:val="center"/>
                    <w:rPr>
                      <w:rFonts w:hint="default"/>
                      <w:lang w:val="en-US" w:eastAsia="zh-CN"/>
                    </w:rPr>
                  </w:pPr>
                  <w:r>
                    <w:rPr>
                      <w:rFonts w:hint="default"/>
                      <w:lang w:val="en-US" w:eastAsia="zh-CN"/>
                    </w:rPr>
                    <w:t>厂区道路及车间地面已硬化，</w:t>
                  </w:r>
                  <w:r>
                    <w:rPr>
                      <w:rFonts w:hint="eastAsia"/>
                      <w:lang w:val="en-US" w:eastAsia="zh-CN"/>
                    </w:rPr>
                    <w:t>路面</w:t>
                  </w:r>
                  <w:r>
                    <w:rPr>
                      <w:rFonts w:hint="default"/>
                      <w:lang w:val="en-US" w:eastAsia="zh-CN"/>
                    </w:rPr>
                    <w:t>整洁无积尘；</w:t>
                  </w:r>
                  <w:r>
                    <w:rPr>
                      <w:rFonts w:hint="eastAsia"/>
                      <w:lang w:val="en-US" w:eastAsia="zh-CN"/>
                    </w:rPr>
                    <w:t>其他区域均已绿化</w:t>
                  </w:r>
                  <w:r>
                    <w:rPr>
                      <w:rFonts w:hint="default"/>
                      <w:lang w:val="en-US" w:eastAsia="zh-CN"/>
                    </w:rPr>
                    <w:t>，无成片裸露土地</w:t>
                  </w:r>
                </w:p>
              </w:tc>
              <w:tc>
                <w:tcPr>
                  <w:tcW w:w="463" w:type="pct"/>
                  <w:vAlign w:val="center"/>
                </w:tcPr>
                <w:p>
                  <w:pPr>
                    <w:pStyle w:val="11"/>
                    <w:bidi w:val="0"/>
                    <w:jc w:val="center"/>
                    <w:rPr>
                      <w:rFonts w:hint="default"/>
                      <w:lang w:val="en-US" w:eastAsia="zh-CN"/>
                    </w:rPr>
                  </w:pPr>
                  <w:r>
                    <w:rPr>
                      <w:rFonts w:hint="eastAsia"/>
                      <w:lang w:val="en-US" w:eastAsia="zh-CN"/>
                    </w:rPr>
                    <w:t>符合</w:t>
                  </w:r>
                </w:p>
              </w:tc>
            </w:tr>
          </w:tbl>
          <w:p>
            <w:pPr>
              <w:bidi w:val="0"/>
              <w:rPr>
                <w:rFonts w:hint="default"/>
                <w:kern w:val="0"/>
                <w:sz w:val="24"/>
                <w:lang w:val="en-US" w:eastAsia="zh-CN"/>
              </w:rPr>
            </w:pPr>
          </w:p>
          <w:p>
            <w:pPr>
              <w:bidi w:val="0"/>
              <w:rPr>
                <w:rFonts w:hint="default"/>
                <w:kern w:val="0"/>
                <w:sz w:val="24"/>
                <w:lang w:val="en-US" w:eastAsia="zh-CN"/>
              </w:rPr>
            </w:pPr>
          </w:p>
          <w:p>
            <w:pPr>
              <w:bidi w:val="0"/>
              <w:rPr>
                <w:rFonts w:hint="default"/>
                <w:kern w:val="0"/>
                <w:sz w:val="24"/>
                <w:lang w:val="en-US" w:eastAsia="zh-CN"/>
              </w:rPr>
            </w:pPr>
          </w:p>
          <w:p>
            <w:pPr>
              <w:bidi w:val="0"/>
              <w:rPr>
                <w:rFonts w:hint="default"/>
                <w:kern w:val="0"/>
                <w:sz w:val="24"/>
                <w:lang w:val="en-US" w:eastAsia="zh-CN"/>
              </w:rPr>
            </w:pPr>
          </w:p>
          <w:p>
            <w:pPr>
              <w:bidi w:val="0"/>
              <w:rPr>
                <w:rFonts w:hint="default"/>
                <w:kern w:val="0"/>
                <w:sz w:val="24"/>
                <w:lang w:val="en-US" w:eastAsia="zh-CN"/>
              </w:rPr>
            </w:pPr>
          </w:p>
          <w:p>
            <w:pPr>
              <w:bidi w:val="0"/>
              <w:rPr>
                <w:rFonts w:hint="default"/>
                <w:kern w:val="0"/>
                <w:sz w:val="24"/>
                <w:lang w:val="en-US" w:eastAsia="zh-CN"/>
              </w:rPr>
            </w:pPr>
          </w:p>
          <w:p>
            <w:pPr>
              <w:bidi w:val="0"/>
              <w:rPr>
                <w:rFonts w:hint="default"/>
                <w:kern w:val="0"/>
                <w:sz w:val="24"/>
                <w:lang w:val="en-US" w:eastAsia="zh-CN"/>
              </w:rPr>
            </w:pPr>
          </w:p>
          <w:p>
            <w:pPr>
              <w:bidi w:val="0"/>
              <w:rPr>
                <w:rFonts w:hint="default"/>
                <w:kern w:val="0"/>
                <w:sz w:val="24"/>
                <w:lang w:val="en-US" w:eastAsia="zh-CN"/>
              </w:rPr>
            </w:pPr>
          </w:p>
          <w:p>
            <w:pPr>
              <w:bidi w:val="0"/>
              <w:rPr>
                <w:rFonts w:hint="default"/>
                <w:kern w:val="0"/>
                <w:sz w:val="24"/>
                <w:lang w:val="en-US" w:eastAsia="zh-CN"/>
              </w:rPr>
            </w:pPr>
          </w:p>
          <w:p>
            <w:pPr>
              <w:bidi w:val="0"/>
              <w:rPr>
                <w:rFonts w:hint="default"/>
                <w:kern w:val="0"/>
                <w:sz w:val="24"/>
                <w:lang w:val="en-US" w:eastAsia="zh-CN"/>
              </w:rPr>
            </w:pPr>
          </w:p>
          <w:p>
            <w:pPr>
              <w:bidi w:val="0"/>
              <w:rPr>
                <w:rFonts w:hint="default"/>
                <w:kern w:val="0"/>
                <w:sz w:val="24"/>
                <w:lang w:val="en-US" w:eastAsia="zh-CN"/>
              </w:rPr>
            </w:pPr>
          </w:p>
          <w:p>
            <w:pPr>
              <w:bidi w:val="0"/>
              <w:rPr>
                <w:rFonts w:hint="default"/>
                <w:kern w:val="0"/>
                <w:sz w:val="24"/>
                <w:lang w:val="en-US" w:eastAsia="zh-CN"/>
              </w:rPr>
            </w:pPr>
          </w:p>
          <w:p>
            <w:pPr>
              <w:bidi w:val="0"/>
              <w:rPr>
                <w:rFonts w:hint="default"/>
                <w:kern w:val="0"/>
                <w:sz w:val="24"/>
                <w:lang w:val="en-US" w:eastAsia="zh-CN"/>
              </w:rPr>
            </w:pPr>
          </w:p>
          <w:p>
            <w:pPr>
              <w:bidi w:val="0"/>
              <w:rPr>
                <w:rFonts w:hint="default"/>
                <w:kern w:val="0"/>
                <w:sz w:val="24"/>
                <w:lang w:val="en-US" w:eastAsia="zh-CN"/>
              </w:rPr>
            </w:pPr>
          </w:p>
          <w:p>
            <w:pPr>
              <w:bidi w:val="0"/>
              <w:rPr>
                <w:rFonts w:hint="default"/>
                <w:kern w:val="0"/>
                <w:sz w:val="24"/>
                <w:lang w:val="en-US" w:eastAsia="zh-CN"/>
              </w:rPr>
            </w:pPr>
          </w:p>
          <w:p>
            <w:pPr>
              <w:bidi w:val="0"/>
              <w:rPr>
                <w:rFonts w:hint="default"/>
                <w:kern w:val="0"/>
                <w:sz w:val="24"/>
                <w:lang w:val="en-US" w:eastAsia="zh-CN"/>
              </w:rPr>
            </w:pPr>
          </w:p>
          <w:p>
            <w:pPr>
              <w:bidi w:val="0"/>
              <w:rPr>
                <w:rFonts w:hint="default"/>
                <w:kern w:val="0"/>
                <w:sz w:val="24"/>
                <w:lang w:val="en-US" w:eastAsia="zh-CN"/>
              </w:rPr>
            </w:pPr>
          </w:p>
          <w:p>
            <w:pPr>
              <w:bidi w:val="0"/>
              <w:rPr>
                <w:rFonts w:hint="default"/>
                <w:kern w:val="0"/>
                <w:sz w:val="24"/>
                <w:lang w:val="en-US" w:eastAsia="zh-CN"/>
              </w:rPr>
            </w:pPr>
          </w:p>
          <w:p>
            <w:pPr>
              <w:bidi w:val="0"/>
              <w:rPr>
                <w:rFonts w:hint="default"/>
                <w:kern w:val="0"/>
                <w:sz w:val="24"/>
                <w:lang w:val="en-US" w:eastAsia="zh-CN"/>
              </w:rPr>
            </w:pPr>
          </w:p>
          <w:p>
            <w:pPr>
              <w:bidi w:val="0"/>
              <w:rPr>
                <w:rFonts w:hint="default"/>
                <w:kern w:val="0"/>
                <w:sz w:val="24"/>
                <w:lang w:val="en-US" w:eastAsia="zh-CN"/>
              </w:rPr>
            </w:pPr>
          </w:p>
          <w:p>
            <w:pPr>
              <w:bidi w:val="0"/>
              <w:rPr>
                <w:rFonts w:hint="default"/>
                <w:kern w:val="0"/>
                <w:sz w:val="24"/>
                <w:lang w:val="en-US" w:eastAsia="zh-CN"/>
              </w:rPr>
            </w:pPr>
          </w:p>
          <w:p>
            <w:pPr>
              <w:bidi w:val="0"/>
              <w:rPr>
                <w:rFonts w:hint="default"/>
                <w:kern w:val="0"/>
                <w:sz w:val="24"/>
                <w:lang w:val="en-US" w:eastAsia="zh-CN"/>
              </w:rPr>
            </w:pPr>
          </w:p>
          <w:p>
            <w:pPr>
              <w:bidi w:val="0"/>
              <w:rPr>
                <w:rFonts w:hint="default"/>
                <w:kern w:val="0"/>
                <w:sz w:val="24"/>
                <w:lang w:val="en-US" w:eastAsia="zh-CN"/>
              </w:rPr>
            </w:pPr>
          </w:p>
          <w:p>
            <w:pPr>
              <w:bidi w:val="0"/>
              <w:rPr>
                <w:rFonts w:hint="default"/>
                <w:kern w:val="0"/>
                <w:sz w:val="24"/>
                <w:lang w:val="en-US" w:eastAsia="zh-CN"/>
              </w:rPr>
            </w:pPr>
          </w:p>
        </w:tc>
      </w:tr>
    </w:tbl>
    <w:p>
      <w:pPr>
        <w:bidi w:val="0"/>
        <w:rPr>
          <w:rFonts w:hint="eastAsia"/>
          <w:lang w:eastAsia="zh-CN"/>
        </w:rPr>
        <w:sectPr>
          <w:pgSz w:w="11906" w:h="16838"/>
          <w:pgMar w:top="1701" w:right="1587" w:bottom="1984" w:left="1587" w:header="851" w:footer="992" w:gutter="0"/>
          <w:pgNumType w:fmt="numberInDash"/>
          <w:cols w:space="425" w:num="1"/>
          <w:docGrid w:type="lines" w:linePitch="312" w:charSpace="0"/>
        </w:sectPr>
      </w:pPr>
    </w:p>
    <w:p>
      <w:pPr>
        <w:pStyle w:val="2"/>
        <w:bidi w:val="0"/>
        <w:jc w:val="center"/>
        <w:rPr>
          <w:rFonts w:hint="eastAsia"/>
          <w:vertAlign w:val="baseline"/>
          <w:lang w:eastAsia="zh-CN"/>
        </w:rPr>
      </w:pPr>
      <w:r>
        <w:rPr>
          <w:rFonts w:hint="eastAsia"/>
          <w:lang w:eastAsia="zh-CN"/>
        </w:rPr>
        <w:t>二、建设项目工程分析</w:t>
      </w:r>
    </w:p>
    <w:tbl>
      <w:tblPr>
        <w:tblStyle w:val="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77"/>
        <w:gridCol w:w="84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98" w:hRule="atLeast"/>
        </w:trPr>
        <w:tc>
          <w:tcPr>
            <w:tcW w:w="477" w:type="dxa"/>
            <w:vAlign w:val="center"/>
          </w:tcPr>
          <w:p>
            <w:pPr>
              <w:bidi w:val="0"/>
              <w:ind w:left="0" w:leftChars="0" w:firstLine="0" w:firstLineChars="0"/>
              <w:jc w:val="center"/>
              <w:rPr>
                <w:rFonts w:hint="eastAsia"/>
                <w:lang w:eastAsia="zh-CN"/>
              </w:rPr>
            </w:pPr>
            <w:r>
              <w:rPr>
                <w:rFonts w:hint="eastAsia"/>
                <w:lang w:eastAsia="zh-CN"/>
              </w:rPr>
              <w:t>建设内容</w:t>
            </w:r>
          </w:p>
        </w:tc>
        <w:tc>
          <w:tcPr>
            <w:tcW w:w="8471" w:type="dxa"/>
            <w:vAlign w:val="center"/>
          </w:tcPr>
          <w:p>
            <w:pPr>
              <w:pStyle w:val="4"/>
              <w:bidi w:val="0"/>
              <w:rPr>
                <w:rFonts w:hint="default"/>
                <w:lang w:val="en-US" w:eastAsia="zh-CN"/>
              </w:rPr>
            </w:pPr>
            <w:r>
              <w:rPr>
                <w:rFonts w:hint="eastAsia"/>
                <w:lang w:val="en-US" w:eastAsia="zh-CN"/>
              </w:rPr>
              <w:t>1、工程组成</w:t>
            </w:r>
          </w:p>
          <w:p>
            <w:pPr>
              <w:bidi w:val="0"/>
            </w:pPr>
            <w:r>
              <w:t>本项目</w:t>
            </w:r>
            <w:r>
              <w:rPr>
                <w:rFonts w:hint="eastAsia"/>
                <w:lang w:val="en-US" w:eastAsia="zh-CN"/>
              </w:rPr>
              <w:t>建设内容主要有主体工程、储运工程、辅助工程、公用工程以及环保工程</w:t>
            </w:r>
            <w:r>
              <w:t>，工程组成及主要建设内容见表2-1。</w:t>
            </w:r>
          </w:p>
          <w:p>
            <w:pPr>
              <w:pStyle w:val="12"/>
              <w:widowControl w:val="0"/>
              <w:bidi w:val="0"/>
            </w:pPr>
            <w:r>
              <w:t xml:space="preserve">表2-1 </w:t>
            </w:r>
            <w:r>
              <w:rPr>
                <w:rFonts w:hint="eastAsia"/>
                <w:lang w:val="en-US" w:eastAsia="zh-CN"/>
              </w:rPr>
              <w:t xml:space="preserve"> </w:t>
            </w:r>
            <w:r>
              <w:t xml:space="preserve"> 项目组成及建设内容一览表</w:t>
            </w:r>
          </w:p>
          <w:tbl>
            <w:tblPr>
              <w:tblStyle w:val="9"/>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426"/>
              <w:gridCol w:w="1271"/>
              <w:gridCol w:w="5416"/>
              <w:gridCol w:w="7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8" w:type="pct"/>
                  <w:vAlign w:val="center"/>
                </w:tcPr>
                <w:p>
                  <w:pPr>
                    <w:pStyle w:val="11"/>
                    <w:bidi w:val="0"/>
                    <w:ind w:firstLine="0" w:firstLineChars="0"/>
                    <w:rPr>
                      <w:lang w:val="en-US" w:eastAsia="zh-CN"/>
                    </w:rPr>
                  </w:pPr>
                  <w:r>
                    <w:t>项目</w:t>
                  </w:r>
                </w:p>
              </w:tc>
              <w:tc>
                <w:tcPr>
                  <w:tcW w:w="1028" w:type="pct"/>
                  <w:gridSpan w:val="2"/>
                  <w:vAlign w:val="center"/>
                </w:tcPr>
                <w:p>
                  <w:pPr>
                    <w:pStyle w:val="11"/>
                    <w:bidi w:val="0"/>
                    <w:ind w:firstLine="0" w:firstLineChars="0"/>
                    <w:rPr>
                      <w:lang w:val="en-US" w:eastAsia="zh-CN"/>
                    </w:rPr>
                  </w:pPr>
                  <w:r>
                    <w:t>项目组成</w:t>
                  </w:r>
                </w:p>
              </w:tc>
              <w:tc>
                <w:tcPr>
                  <w:tcW w:w="3281" w:type="pct"/>
                  <w:vAlign w:val="center"/>
                </w:tcPr>
                <w:p>
                  <w:pPr>
                    <w:pStyle w:val="11"/>
                    <w:bidi w:val="0"/>
                    <w:ind w:firstLine="0" w:firstLineChars="0"/>
                    <w:rPr>
                      <w:lang w:val="en-US" w:eastAsia="zh-CN"/>
                    </w:rPr>
                  </w:pPr>
                  <w:r>
                    <w:t>建设内容</w:t>
                  </w:r>
                </w:p>
              </w:tc>
              <w:tc>
                <w:tcPr>
                  <w:tcW w:w="432" w:type="pct"/>
                  <w:vAlign w:val="center"/>
                </w:tcPr>
                <w:p>
                  <w:pPr>
                    <w:pStyle w:val="11"/>
                    <w:bidi w:val="0"/>
                    <w:ind w:firstLine="0" w:firstLineChars="0"/>
                    <w:rPr>
                      <w:rFonts w:hint="eastAsia" w:eastAsia="宋体"/>
                      <w:color w:val="auto"/>
                      <w:lang w:val="en-US" w:eastAsia="zh-CN"/>
                    </w:rPr>
                  </w:pPr>
                  <w:r>
                    <w:rPr>
                      <w:rFonts w:hint="eastAsia"/>
                      <w:color w:val="auto"/>
                      <w:lang w:val="en-US" w:eastAsia="zh-CN"/>
                    </w:rPr>
                    <w:t>建设情况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8" w:type="pct"/>
                  <w:vMerge w:val="restart"/>
                  <w:vAlign w:val="center"/>
                </w:tcPr>
                <w:p>
                  <w:pPr>
                    <w:pStyle w:val="11"/>
                    <w:bidi w:val="0"/>
                    <w:jc w:val="center"/>
                    <w:rPr>
                      <w:rFonts w:hint="eastAsia"/>
                      <w:lang w:val="en-US" w:eastAsia="zh-CN"/>
                    </w:rPr>
                  </w:pPr>
                  <w:r>
                    <w:rPr>
                      <w:rFonts w:hint="eastAsia"/>
                      <w:lang w:val="en-US" w:eastAsia="zh-CN"/>
                    </w:rPr>
                    <w:t>主体工程</w:t>
                  </w:r>
                </w:p>
              </w:tc>
              <w:tc>
                <w:tcPr>
                  <w:tcW w:w="1028" w:type="pct"/>
                  <w:gridSpan w:val="2"/>
                  <w:vAlign w:val="center"/>
                </w:tcPr>
                <w:p>
                  <w:pPr>
                    <w:pStyle w:val="11"/>
                    <w:bidi w:val="0"/>
                    <w:jc w:val="center"/>
                    <w:rPr>
                      <w:rFonts w:hint="default"/>
                      <w:lang w:val="en-US" w:eastAsia="zh-CN"/>
                    </w:rPr>
                  </w:pPr>
                  <w:r>
                    <w:rPr>
                      <w:rFonts w:hint="eastAsia"/>
                      <w:lang w:val="en-US" w:eastAsia="zh-CN"/>
                    </w:rPr>
                    <w:t>1#生产车间</w:t>
                  </w:r>
                </w:p>
              </w:tc>
              <w:tc>
                <w:tcPr>
                  <w:tcW w:w="3281" w:type="pct"/>
                  <w:vAlign w:val="center"/>
                </w:tcPr>
                <w:p>
                  <w:pPr>
                    <w:pStyle w:val="11"/>
                    <w:bidi w:val="0"/>
                    <w:jc w:val="both"/>
                    <w:rPr>
                      <w:rFonts w:hint="default"/>
                      <w:lang w:val="en-US" w:eastAsia="zh-CN"/>
                    </w:rPr>
                  </w:pPr>
                  <w:r>
                    <w:rPr>
                      <w:rFonts w:hint="eastAsia"/>
                      <w:lang w:val="en-US" w:eastAsia="zh-CN"/>
                    </w:rPr>
                    <w:t>标准化钢构厂房，占地面积5422.68m</w:t>
                  </w:r>
                  <w:r>
                    <w:rPr>
                      <w:rFonts w:hint="eastAsia"/>
                      <w:vertAlign w:val="superscript"/>
                      <w:lang w:val="en-US" w:eastAsia="zh-CN"/>
                    </w:rPr>
                    <w:t>2</w:t>
                  </w:r>
                  <w:r>
                    <w:rPr>
                      <w:rFonts w:hint="eastAsia"/>
                      <w:lang w:val="en-US" w:eastAsia="zh-CN"/>
                    </w:rPr>
                    <w:t>，长88.78m，宽61.08m，高14.50m，耐火等级二级，南半部为二层结构，北半部为一层结构</w:t>
                  </w:r>
                </w:p>
              </w:tc>
              <w:tc>
                <w:tcPr>
                  <w:tcW w:w="432" w:type="pct"/>
                  <w:vAlign w:val="center"/>
                </w:tcPr>
                <w:p>
                  <w:pPr>
                    <w:pStyle w:val="11"/>
                    <w:bidi w:val="0"/>
                    <w:rPr>
                      <w:rFonts w:hint="default"/>
                      <w:color w:val="auto"/>
                      <w:lang w:val="en-US" w:eastAsia="zh-CN"/>
                    </w:rPr>
                  </w:pPr>
                  <w:r>
                    <w:rPr>
                      <w:rFonts w:hint="eastAsia"/>
                      <w:color w:val="auto"/>
                      <w:lang w:val="en-US" w:eastAsia="zh-CN"/>
                    </w:rPr>
                    <w:t>已建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8" w:type="pct"/>
                  <w:vMerge w:val="continue"/>
                  <w:vAlign w:val="center"/>
                </w:tcPr>
                <w:p>
                  <w:pPr>
                    <w:pStyle w:val="11"/>
                    <w:bidi w:val="0"/>
                    <w:jc w:val="center"/>
                  </w:pPr>
                </w:p>
              </w:tc>
              <w:tc>
                <w:tcPr>
                  <w:tcW w:w="1028" w:type="pct"/>
                  <w:gridSpan w:val="2"/>
                  <w:vAlign w:val="center"/>
                </w:tcPr>
                <w:p>
                  <w:pPr>
                    <w:pStyle w:val="11"/>
                    <w:bidi w:val="0"/>
                    <w:jc w:val="center"/>
                  </w:pPr>
                  <w:r>
                    <w:rPr>
                      <w:rFonts w:hint="eastAsia"/>
                      <w:lang w:val="en-US" w:eastAsia="zh-CN"/>
                    </w:rPr>
                    <w:t>2#生产车间</w:t>
                  </w:r>
                </w:p>
              </w:tc>
              <w:tc>
                <w:tcPr>
                  <w:tcW w:w="3281" w:type="pct"/>
                  <w:vAlign w:val="center"/>
                </w:tcPr>
                <w:p>
                  <w:pPr>
                    <w:pStyle w:val="11"/>
                    <w:bidi w:val="0"/>
                    <w:jc w:val="both"/>
                  </w:pPr>
                  <w:r>
                    <w:rPr>
                      <w:rFonts w:hint="eastAsia"/>
                      <w:lang w:val="en-US" w:eastAsia="zh-CN"/>
                    </w:rPr>
                    <w:t>标准化钢构厂房，占地面积10224.6m</w:t>
                  </w:r>
                  <w:r>
                    <w:rPr>
                      <w:rFonts w:hint="eastAsia"/>
                      <w:vertAlign w:val="superscript"/>
                      <w:lang w:val="en-US" w:eastAsia="zh-CN"/>
                    </w:rPr>
                    <w:t>2</w:t>
                  </w:r>
                  <w:r>
                    <w:rPr>
                      <w:rFonts w:hint="eastAsia"/>
                      <w:lang w:val="en-US" w:eastAsia="zh-CN"/>
                    </w:rPr>
                    <w:t>，长114.78m，宽89.08m，高14.50m，耐火等级二级，西半部为二层结构，东半部为一层结构</w:t>
                  </w:r>
                </w:p>
              </w:tc>
              <w:tc>
                <w:tcPr>
                  <w:tcW w:w="432" w:type="pct"/>
                  <w:vAlign w:val="center"/>
                </w:tcPr>
                <w:p>
                  <w:pPr>
                    <w:pStyle w:val="11"/>
                    <w:bidi w:val="0"/>
                    <w:rPr>
                      <w:rFonts w:hint="default"/>
                      <w:color w:val="auto"/>
                      <w:lang w:val="en-US" w:eastAsia="zh-CN"/>
                    </w:rPr>
                  </w:pPr>
                  <w:r>
                    <w:rPr>
                      <w:rFonts w:hint="eastAsia"/>
                      <w:color w:val="auto"/>
                      <w:lang w:val="en-US" w:eastAsia="zh-CN"/>
                    </w:rPr>
                    <w:t>在建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8" w:type="pct"/>
                  <w:vMerge w:val="continue"/>
                  <w:vAlign w:val="center"/>
                </w:tcPr>
                <w:p>
                  <w:pPr>
                    <w:pStyle w:val="11"/>
                    <w:bidi w:val="0"/>
                    <w:jc w:val="center"/>
                  </w:pPr>
                </w:p>
              </w:tc>
              <w:tc>
                <w:tcPr>
                  <w:tcW w:w="1028" w:type="pct"/>
                  <w:gridSpan w:val="2"/>
                  <w:vAlign w:val="center"/>
                </w:tcPr>
                <w:p>
                  <w:pPr>
                    <w:pStyle w:val="11"/>
                    <w:bidi w:val="0"/>
                    <w:jc w:val="center"/>
                    <w:rPr>
                      <w:rFonts w:hint="default"/>
                      <w:lang w:val="en-US" w:eastAsia="zh-CN"/>
                    </w:rPr>
                  </w:pPr>
                  <w:r>
                    <w:rPr>
                      <w:rFonts w:hint="eastAsia"/>
                      <w:lang w:val="en-US" w:eastAsia="zh-CN"/>
                    </w:rPr>
                    <w:t>特高压外场地</w:t>
                  </w:r>
                </w:p>
              </w:tc>
              <w:tc>
                <w:tcPr>
                  <w:tcW w:w="3281" w:type="pct"/>
                  <w:vAlign w:val="center"/>
                </w:tcPr>
                <w:p>
                  <w:pPr>
                    <w:pStyle w:val="11"/>
                    <w:bidi w:val="0"/>
                    <w:jc w:val="both"/>
                    <w:rPr>
                      <w:rFonts w:hint="default"/>
                      <w:lang w:val="en-US"/>
                    </w:rPr>
                  </w:pPr>
                  <w:r>
                    <w:rPr>
                      <w:rFonts w:hint="eastAsia"/>
                      <w:lang w:val="en-US" w:eastAsia="zh-CN"/>
                    </w:rPr>
                    <w:t>特高压露天试验场，占地面积1772.69m</w:t>
                  </w:r>
                  <w:r>
                    <w:rPr>
                      <w:rFonts w:hint="eastAsia"/>
                      <w:vertAlign w:val="superscript"/>
                      <w:lang w:val="en-US" w:eastAsia="zh-CN"/>
                    </w:rPr>
                    <w:t>2</w:t>
                  </w:r>
                  <w:r>
                    <w:rPr>
                      <w:rFonts w:hint="eastAsia"/>
                      <w:lang w:val="en-US" w:eastAsia="zh-CN"/>
                    </w:rPr>
                    <w:t>，长89.08m，宽19.9m，主要用于室外特高压试验</w:t>
                  </w:r>
                </w:p>
              </w:tc>
              <w:tc>
                <w:tcPr>
                  <w:tcW w:w="432" w:type="pct"/>
                  <w:vAlign w:val="center"/>
                </w:tcPr>
                <w:p>
                  <w:pPr>
                    <w:pStyle w:val="11"/>
                    <w:bidi w:val="0"/>
                    <w:rPr>
                      <w:rFonts w:hint="default"/>
                      <w:color w:val="auto"/>
                      <w:lang w:val="en-US" w:eastAsia="zh-CN"/>
                    </w:rPr>
                  </w:pPr>
                  <w:r>
                    <w:rPr>
                      <w:rFonts w:hint="eastAsia"/>
                      <w:color w:val="auto"/>
                      <w:lang w:val="en-US" w:eastAsia="zh-CN"/>
                    </w:rPr>
                    <w:t>未建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8" w:type="pct"/>
                  <w:vMerge w:val="restart"/>
                  <w:vAlign w:val="center"/>
                </w:tcPr>
                <w:p>
                  <w:pPr>
                    <w:pStyle w:val="11"/>
                    <w:bidi w:val="0"/>
                    <w:jc w:val="center"/>
                    <w:rPr>
                      <w:rFonts w:hint="eastAsia"/>
                      <w:lang w:val="en-US" w:eastAsia="zh-CN"/>
                    </w:rPr>
                  </w:pPr>
                  <w:r>
                    <w:rPr>
                      <w:rFonts w:hint="eastAsia"/>
                      <w:lang w:val="en-US" w:eastAsia="zh-CN"/>
                    </w:rPr>
                    <w:t>辅助工程</w:t>
                  </w:r>
                </w:p>
              </w:tc>
              <w:tc>
                <w:tcPr>
                  <w:tcW w:w="1028" w:type="pct"/>
                  <w:gridSpan w:val="2"/>
                  <w:vAlign w:val="center"/>
                </w:tcPr>
                <w:p>
                  <w:pPr>
                    <w:pStyle w:val="11"/>
                    <w:bidi w:val="0"/>
                    <w:jc w:val="center"/>
                    <w:rPr>
                      <w:rFonts w:hint="eastAsia"/>
                      <w:lang w:val="en-US" w:eastAsia="zh-CN"/>
                    </w:rPr>
                  </w:pPr>
                  <w:r>
                    <w:rPr>
                      <w:rFonts w:hint="eastAsia"/>
                      <w:lang w:val="en-US" w:eastAsia="zh-CN"/>
                    </w:rPr>
                    <w:t>综合楼</w:t>
                  </w:r>
                </w:p>
              </w:tc>
              <w:tc>
                <w:tcPr>
                  <w:tcW w:w="3281" w:type="pct"/>
                  <w:vAlign w:val="center"/>
                </w:tcPr>
                <w:p>
                  <w:pPr>
                    <w:pStyle w:val="11"/>
                    <w:bidi w:val="0"/>
                    <w:jc w:val="both"/>
                    <w:rPr>
                      <w:rFonts w:hint="default"/>
                      <w:lang w:val="en-US" w:eastAsia="zh-CN"/>
                    </w:rPr>
                  </w:pPr>
                  <w:r>
                    <w:rPr>
                      <w:rFonts w:hint="eastAsia"/>
                      <w:lang w:val="en-US" w:eastAsia="zh-CN"/>
                    </w:rPr>
                    <w:t>六层钢筋混凝土结构，占地面积688.86m</w:t>
                  </w:r>
                  <w:r>
                    <w:rPr>
                      <w:rFonts w:hint="eastAsia"/>
                      <w:vertAlign w:val="superscript"/>
                      <w:lang w:val="en-US" w:eastAsia="zh-CN"/>
                    </w:rPr>
                    <w:t>2</w:t>
                  </w:r>
                  <w:r>
                    <w:rPr>
                      <w:rFonts w:hint="eastAsia"/>
                      <w:lang w:val="en-US" w:eastAsia="zh-CN"/>
                    </w:rPr>
                    <w:t>，长38.7m，宽17.8m，高23.95m，耐火等级二级，主要用于办公</w:t>
                  </w:r>
                </w:p>
              </w:tc>
              <w:tc>
                <w:tcPr>
                  <w:tcW w:w="432" w:type="pct"/>
                  <w:vAlign w:val="center"/>
                </w:tcPr>
                <w:p>
                  <w:pPr>
                    <w:pStyle w:val="11"/>
                    <w:bidi w:val="0"/>
                    <w:rPr>
                      <w:rFonts w:hint="eastAsia"/>
                      <w:color w:val="auto"/>
                      <w:lang w:val="en-US" w:eastAsia="zh-CN"/>
                    </w:rPr>
                  </w:pPr>
                  <w:r>
                    <w:rPr>
                      <w:rFonts w:hint="eastAsia"/>
                      <w:color w:val="auto"/>
                      <w:lang w:val="en-US" w:eastAsia="zh-CN"/>
                    </w:rPr>
                    <w:t>在建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8" w:type="pct"/>
                  <w:vMerge w:val="continue"/>
                  <w:vAlign w:val="center"/>
                </w:tcPr>
                <w:p>
                  <w:pPr>
                    <w:pStyle w:val="11"/>
                    <w:bidi w:val="0"/>
                    <w:jc w:val="center"/>
                  </w:pPr>
                </w:p>
              </w:tc>
              <w:tc>
                <w:tcPr>
                  <w:tcW w:w="1028" w:type="pct"/>
                  <w:gridSpan w:val="2"/>
                  <w:vAlign w:val="center"/>
                </w:tcPr>
                <w:p>
                  <w:pPr>
                    <w:pStyle w:val="11"/>
                    <w:bidi w:val="0"/>
                    <w:jc w:val="center"/>
                    <w:rPr>
                      <w:rFonts w:hint="eastAsia"/>
                      <w:lang w:val="en-US" w:eastAsia="zh-CN"/>
                    </w:rPr>
                  </w:pPr>
                  <w:r>
                    <w:rPr>
                      <w:rFonts w:hint="eastAsia"/>
                      <w:lang w:val="en-US" w:eastAsia="zh-CN"/>
                    </w:rPr>
                    <w:t>宿舍楼</w:t>
                  </w:r>
                </w:p>
              </w:tc>
              <w:tc>
                <w:tcPr>
                  <w:tcW w:w="3281" w:type="pct"/>
                  <w:vAlign w:val="center"/>
                </w:tcPr>
                <w:p>
                  <w:pPr>
                    <w:pStyle w:val="11"/>
                    <w:bidi w:val="0"/>
                    <w:jc w:val="both"/>
                  </w:pPr>
                  <w:r>
                    <w:rPr>
                      <w:rFonts w:hint="eastAsia"/>
                      <w:lang w:val="en-US" w:eastAsia="zh-CN"/>
                    </w:rPr>
                    <w:t>六层钢筋混凝土结构，占地面积688.86m</w:t>
                  </w:r>
                  <w:r>
                    <w:rPr>
                      <w:rFonts w:hint="eastAsia"/>
                      <w:vertAlign w:val="superscript"/>
                      <w:lang w:val="en-US" w:eastAsia="zh-CN"/>
                    </w:rPr>
                    <w:t>2</w:t>
                  </w:r>
                  <w:r>
                    <w:rPr>
                      <w:rFonts w:hint="eastAsia"/>
                      <w:lang w:val="en-US" w:eastAsia="zh-CN"/>
                    </w:rPr>
                    <w:t>，长38.7m，宽17.8m，高23.95m，耐火等级二级，主要用于员工住宿</w:t>
                  </w:r>
                </w:p>
              </w:tc>
              <w:tc>
                <w:tcPr>
                  <w:tcW w:w="432" w:type="pct"/>
                  <w:vAlign w:val="center"/>
                </w:tcPr>
                <w:p>
                  <w:pPr>
                    <w:pStyle w:val="11"/>
                    <w:bidi w:val="0"/>
                    <w:rPr>
                      <w:rFonts w:hint="eastAsia"/>
                      <w:color w:val="auto"/>
                      <w:lang w:val="en-US" w:eastAsia="zh-CN"/>
                    </w:rPr>
                  </w:pPr>
                  <w:r>
                    <w:rPr>
                      <w:rFonts w:hint="eastAsia"/>
                      <w:color w:val="auto"/>
                      <w:lang w:val="en-US" w:eastAsia="zh-CN"/>
                    </w:rPr>
                    <w:t>未建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8" w:type="pct"/>
                  <w:vMerge w:val="restart"/>
                  <w:vAlign w:val="center"/>
                </w:tcPr>
                <w:p>
                  <w:pPr>
                    <w:pStyle w:val="11"/>
                    <w:bidi w:val="0"/>
                    <w:jc w:val="center"/>
                    <w:rPr>
                      <w:rFonts w:hint="eastAsia"/>
                      <w:lang w:val="en-US" w:eastAsia="zh-CN"/>
                    </w:rPr>
                  </w:pPr>
                  <w:r>
                    <w:rPr>
                      <w:rFonts w:hint="eastAsia"/>
                      <w:lang w:val="en-US" w:eastAsia="zh-CN"/>
                    </w:rPr>
                    <w:t>公用工程</w:t>
                  </w:r>
                </w:p>
              </w:tc>
              <w:tc>
                <w:tcPr>
                  <w:tcW w:w="1028" w:type="pct"/>
                  <w:gridSpan w:val="2"/>
                  <w:vAlign w:val="center"/>
                </w:tcPr>
                <w:p>
                  <w:pPr>
                    <w:pStyle w:val="11"/>
                    <w:bidi w:val="0"/>
                    <w:ind w:firstLine="0" w:firstLineChars="0"/>
                    <w:rPr>
                      <w:lang w:val="en-US" w:eastAsia="zh-CN"/>
                    </w:rPr>
                  </w:pPr>
                  <w:r>
                    <w:t>供电</w:t>
                  </w:r>
                </w:p>
              </w:tc>
              <w:tc>
                <w:tcPr>
                  <w:tcW w:w="3281" w:type="pct"/>
                  <w:vAlign w:val="center"/>
                </w:tcPr>
                <w:p>
                  <w:pPr>
                    <w:pStyle w:val="11"/>
                    <w:bidi w:val="0"/>
                    <w:jc w:val="center"/>
                    <w:rPr>
                      <w:rFonts w:hint="default"/>
                      <w:lang w:val="en-US" w:eastAsia="zh-CN"/>
                    </w:rPr>
                  </w:pPr>
                  <w:r>
                    <w:rPr>
                      <w:rFonts w:hint="eastAsia"/>
                      <w:lang w:val="en-US" w:eastAsia="zh-CN"/>
                    </w:rPr>
                    <w:t>由市政电网集中供电</w:t>
                  </w:r>
                </w:p>
              </w:tc>
              <w:tc>
                <w:tcPr>
                  <w:tcW w:w="432" w:type="pct"/>
                  <w:vAlign w:val="center"/>
                </w:tcPr>
                <w:p>
                  <w:pPr>
                    <w:pStyle w:val="11"/>
                    <w:bidi w:val="0"/>
                    <w:rPr>
                      <w:rFonts w:hint="eastAsia"/>
                      <w:color w:val="auto"/>
                      <w:lang w:val="en-US" w:eastAsia="zh-CN"/>
                    </w:rPr>
                  </w:pPr>
                  <w:r>
                    <w:rPr>
                      <w:rFonts w:hint="eastAsia"/>
                      <w:color w:val="auto"/>
                      <w:lang w:val="en-US" w:eastAsia="zh-CN"/>
                    </w:rPr>
                    <w:t>在建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8" w:type="pct"/>
                  <w:vMerge w:val="continue"/>
                  <w:vAlign w:val="center"/>
                </w:tcPr>
                <w:p>
                  <w:pPr>
                    <w:pStyle w:val="11"/>
                    <w:bidi w:val="0"/>
                    <w:jc w:val="center"/>
                  </w:pPr>
                </w:p>
              </w:tc>
              <w:tc>
                <w:tcPr>
                  <w:tcW w:w="1028" w:type="pct"/>
                  <w:gridSpan w:val="2"/>
                  <w:vAlign w:val="center"/>
                </w:tcPr>
                <w:p>
                  <w:pPr>
                    <w:pStyle w:val="11"/>
                    <w:bidi w:val="0"/>
                    <w:ind w:firstLine="0" w:firstLineChars="0"/>
                    <w:rPr>
                      <w:lang w:val="en-US" w:eastAsia="zh-CN"/>
                    </w:rPr>
                  </w:pPr>
                  <w:r>
                    <w:t>供水</w:t>
                  </w:r>
                </w:p>
              </w:tc>
              <w:tc>
                <w:tcPr>
                  <w:tcW w:w="3281" w:type="pct"/>
                  <w:vAlign w:val="center"/>
                </w:tcPr>
                <w:p>
                  <w:pPr>
                    <w:pStyle w:val="11"/>
                    <w:bidi w:val="0"/>
                    <w:jc w:val="center"/>
                  </w:pPr>
                  <w:r>
                    <w:rPr>
                      <w:rFonts w:hint="eastAsia"/>
                      <w:lang w:val="en-US" w:eastAsia="zh-CN"/>
                    </w:rPr>
                    <w:t>由</w:t>
                  </w:r>
                  <w:r>
                    <w:rPr>
                      <w:rFonts w:hint="eastAsia"/>
                    </w:rPr>
                    <w:t>市政自来水管网集中供水</w:t>
                  </w:r>
                </w:p>
              </w:tc>
              <w:tc>
                <w:tcPr>
                  <w:tcW w:w="432" w:type="pct"/>
                  <w:vAlign w:val="center"/>
                </w:tcPr>
                <w:p>
                  <w:pPr>
                    <w:pStyle w:val="11"/>
                    <w:bidi w:val="0"/>
                    <w:rPr>
                      <w:rFonts w:hint="eastAsia"/>
                      <w:color w:val="auto"/>
                      <w:lang w:val="en-US" w:eastAsia="zh-CN"/>
                    </w:rPr>
                  </w:pPr>
                  <w:r>
                    <w:rPr>
                      <w:rFonts w:hint="eastAsia"/>
                      <w:color w:val="auto"/>
                      <w:lang w:val="en-US" w:eastAsia="zh-CN"/>
                    </w:rPr>
                    <w:t>在建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8" w:type="pct"/>
                  <w:vMerge w:val="continue"/>
                  <w:vAlign w:val="center"/>
                </w:tcPr>
                <w:p>
                  <w:pPr>
                    <w:pStyle w:val="11"/>
                    <w:bidi w:val="0"/>
                    <w:jc w:val="center"/>
                  </w:pPr>
                </w:p>
              </w:tc>
              <w:tc>
                <w:tcPr>
                  <w:tcW w:w="1028" w:type="pct"/>
                  <w:gridSpan w:val="2"/>
                  <w:vAlign w:val="center"/>
                </w:tcPr>
                <w:p>
                  <w:pPr>
                    <w:pStyle w:val="11"/>
                    <w:bidi w:val="0"/>
                    <w:ind w:firstLine="0" w:firstLineChars="0"/>
                    <w:rPr>
                      <w:lang w:val="en-US" w:eastAsia="zh-CN"/>
                    </w:rPr>
                  </w:pPr>
                  <w:r>
                    <w:t>排水</w:t>
                  </w:r>
                </w:p>
              </w:tc>
              <w:tc>
                <w:tcPr>
                  <w:tcW w:w="3281" w:type="pct"/>
                  <w:vAlign w:val="center"/>
                </w:tcPr>
                <w:p>
                  <w:pPr>
                    <w:pStyle w:val="11"/>
                    <w:bidi w:val="0"/>
                    <w:jc w:val="both"/>
                    <w:rPr>
                      <w:rFonts w:hint="eastAsia"/>
                      <w:lang w:eastAsia="zh-CN"/>
                    </w:rPr>
                  </w:pPr>
                  <w:r>
                    <w:rPr>
                      <w:rFonts w:hint="eastAsia"/>
                      <w:lang w:val="en-US" w:eastAsia="zh-CN"/>
                    </w:rPr>
                    <w:t>项目</w:t>
                  </w:r>
                  <w:r>
                    <w:rPr>
                      <w:rFonts w:hint="eastAsia"/>
                    </w:rPr>
                    <w:t>无生产废水</w:t>
                  </w:r>
                  <w:r>
                    <w:rPr>
                      <w:rFonts w:hint="eastAsia"/>
                      <w:lang w:eastAsia="zh-CN"/>
                    </w:rPr>
                    <w:t>，生活污水</w:t>
                  </w:r>
                  <w:r>
                    <w:rPr>
                      <w:rFonts w:hint="eastAsia"/>
                      <w:lang w:val="en-US" w:eastAsia="zh-CN"/>
                    </w:rPr>
                    <w:t>依托园区</w:t>
                  </w:r>
                  <w:r>
                    <w:rPr>
                      <w:rFonts w:hint="eastAsia"/>
                      <w:lang w:eastAsia="zh-CN"/>
                    </w:rPr>
                    <w:t>化粪池处理后，用于周边农田施肥，远期管网环通后经市政污水管网进入许昌市城乡一体化示范区中原电气谷污水处理厂进行深度处理，最终排入小洪河</w:t>
                  </w:r>
                </w:p>
              </w:tc>
              <w:tc>
                <w:tcPr>
                  <w:tcW w:w="432" w:type="pct"/>
                  <w:vAlign w:val="center"/>
                </w:tcPr>
                <w:p>
                  <w:pPr>
                    <w:pStyle w:val="11"/>
                    <w:bidi w:val="0"/>
                    <w:rPr>
                      <w:rFonts w:hint="default"/>
                      <w:color w:val="auto"/>
                      <w:lang w:val="en-US" w:eastAsia="zh-CN"/>
                    </w:rPr>
                  </w:pPr>
                  <w:r>
                    <w:rPr>
                      <w:rFonts w:hint="eastAsia"/>
                      <w:color w:val="auto"/>
                      <w:lang w:val="en-US" w:eastAsia="zh-CN"/>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8" w:type="pct"/>
                  <w:vMerge w:val="restart"/>
                  <w:vAlign w:val="center"/>
                </w:tcPr>
                <w:p>
                  <w:pPr>
                    <w:pStyle w:val="11"/>
                    <w:bidi w:val="0"/>
                    <w:jc w:val="center"/>
                    <w:rPr>
                      <w:rFonts w:hint="eastAsia"/>
                      <w:lang w:val="en-US" w:eastAsia="zh-CN"/>
                    </w:rPr>
                  </w:pPr>
                  <w:r>
                    <w:rPr>
                      <w:rFonts w:hint="eastAsia"/>
                      <w:lang w:val="en-US" w:eastAsia="zh-CN"/>
                    </w:rPr>
                    <w:t>环保工程</w:t>
                  </w:r>
                </w:p>
              </w:tc>
              <w:tc>
                <w:tcPr>
                  <w:tcW w:w="1028" w:type="pct"/>
                  <w:gridSpan w:val="2"/>
                  <w:vAlign w:val="center"/>
                </w:tcPr>
                <w:p>
                  <w:pPr>
                    <w:pStyle w:val="11"/>
                    <w:bidi w:val="0"/>
                    <w:jc w:val="center"/>
                    <w:rPr>
                      <w:rFonts w:hint="eastAsia"/>
                      <w:lang w:val="en-US" w:eastAsia="zh-CN"/>
                    </w:rPr>
                  </w:pPr>
                  <w:r>
                    <w:rPr>
                      <w:rFonts w:hint="eastAsia"/>
                      <w:lang w:val="en-US" w:eastAsia="zh-CN"/>
                    </w:rPr>
                    <w:t>废水</w:t>
                  </w:r>
                </w:p>
              </w:tc>
              <w:tc>
                <w:tcPr>
                  <w:tcW w:w="3281" w:type="pct"/>
                  <w:vAlign w:val="center"/>
                </w:tcPr>
                <w:p>
                  <w:pPr>
                    <w:pStyle w:val="11"/>
                    <w:bidi w:val="0"/>
                    <w:jc w:val="center"/>
                    <w:rPr>
                      <w:rFonts w:hint="eastAsia"/>
                      <w:lang w:eastAsia="zh-CN"/>
                    </w:rPr>
                  </w:pPr>
                  <w:r>
                    <w:rPr>
                      <w:rFonts w:hint="eastAsia"/>
                      <w:lang w:val="en-US" w:eastAsia="zh-CN"/>
                    </w:rPr>
                    <w:t>依托园区</w:t>
                  </w:r>
                  <w:r>
                    <w:rPr>
                      <w:rFonts w:hint="eastAsia"/>
                    </w:rPr>
                    <w:t>30m</w:t>
                  </w:r>
                  <w:r>
                    <w:rPr>
                      <w:rFonts w:hint="eastAsia"/>
                      <w:vertAlign w:val="superscript"/>
                    </w:rPr>
                    <w:t>3</w:t>
                  </w:r>
                  <w:r>
                    <w:rPr>
                      <w:rFonts w:hint="eastAsia"/>
                    </w:rPr>
                    <w:t>化粪池</w:t>
                  </w:r>
                </w:p>
              </w:tc>
              <w:tc>
                <w:tcPr>
                  <w:tcW w:w="432" w:type="pct"/>
                  <w:vAlign w:val="center"/>
                </w:tcPr>
                <w:p>
                  <w:pPr>
                    <w:pStyle w:val="11"/>
                    <w:bidi w:val="0"/>
                    <w:rPr>
                      <w:rFonts w:hint="eastAsia"/>
                      <w:color w:val="auto"/>
                      <w:lang w:val="en-US" w:eastAsia="zh-CN"/>
                    </w:rPr>
                  </w:pPr>
                  <w:r>
                    <w:rPr>
                      <w:rFonts w:hint="eastAsia"/>
                      <w:color w:val="auto"/>
                      <w:lang w:val="en-US" w:eastAsia="zh-CN"/>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58" w:type="pct"/>
                  <w:vMerge w:val="continue"/>
                  <w:vAlign w:val="center"/>
                </w:tcPr>
                <w:p>
                  <w:pPr>
                    <w:pStyle w:val="11"/>
                    <w:bidi w:val="0"/>
                    <w:jc w:val="center"/>
                  </w:pPr>
                </w:p>
              </w:tc>
              <w:tc>
                <w:tcPr>
                  <w:tcW w:w="258" w:type="pct"/>
                  <w:vMerge w:val="restart"/>
                  <w:vAlign w:val="center"/>
                </w:tcPr>
                <w:p>
                  <w:pPr>
                    <w:pStyle w:val="11"/>
                    <w:bidi w:val="0"/>
                    <w:jc w:val="center"/>
                    <w:rPr>
                      <w:rFonts w:hint="eastAsia"/>
                      <w:lang w:val="en-US" w:eastAsia="zh-CN"/>
                    </w:rPr>
                  </w:pPr>
                  <w:r>
                    <w:rPr>
                      <w:rFonts w:hint="eastAsia"/>
                      <w:lang w:val="en-US" w:eastAsia="zh-CN"/>
                    </w:rPr>
                    <w:t>废气</w:t>
                  </w:r>
                </w:p>
              </w:tc>
              <w:tc>
                <w:tcPr>
                  <w:tcW w:w="770" w:type="pct"/>
                  <w:vAlign w:val="center"/>
                </w:tcPr>
                <w:p>
                  <w:pPr>
                    <w:pStyle w:val="11"/>
                    <w:bidi w:val="0"/>
                    <w:jc w:val="center"/>
                    <w:rPr>
                      <w:rFonts w:hint="default"/>
                      <w:lang w:val="en-US" w:eastAsia="zh-CN"/>
                    </w:rPr>
                  </w:pPr>
                  <w:r>
                    <w:rPr>
                      <w:rFonts w:hint="eastAsia"/>
                      <w:lang w:val="en-US" w:eastAsia="zh-CN"/>
                    </w:rPr>
                    <w:t>混胶废气</w:t>
                  </w:r>
                </w:p>
              </w:tc>
              <w:tc>
                <w:tcPr>
                  <w:tcW w:w="3281" w:type="pct"/>
                  <w:vMerge w:val="restart"/>
                  <w:vAlign w:val="center"/>
                </w:tcPr>
                <w:p>
                  <w:pPr>
                    <w:pStyle w:val="11"/>
                    <w:bidi w:val="0"/>
                    <w:jc w:val="both"/>
                    <w:rPr>
                      <w:rFonts w:hint="default"/>
                      <w:lang w:val="en-US" w:eastAsia="zh-CN"/>
                    </w:rPr>
                  </w:pPr>
                  <w:r>
                    <w:rPr>
                      <w:rFonts w:hint="default"/>
                      <w:lang w:val="en-US" w:eastAsia="zh-CN"/>
                    </w:rPr>
                    <w:t>1#车间</w:t>
                  </w:r>
                  <w:r>
                    <w:rPr>
                      <w:rFonts w:hint="eastAsia"/>
                      <w:lang w:val="en-US" w:eastAsia="zh-CN"/>
                    </w:rPr>
                    <w:t>混胶</w:t>
                  </w:r>
                  <w:r>
                    <w:rPr>
                      <w:rFonts w:hint="default"/>
                      <w:lang w:val="en-US" w:eastAsia="zh-CN"/>
                    </w:rPr>
                    <w:t>工序和1#、2#车间的</w:t>
                  </w:r>
                  <w:r>
                    <w:rPr>
                      <w:rFonts w:hint="eastAsia"/>
                      <w:lang w:val="en-US" w:eastAsia="zh-CN"/>
                    </w:rPr>
                    <w:t>成型</w:t>
                  </w:r>
                  <w:r>
                    <w:rPr>
                      <w:rFonts w:hint="default"/>
                      <w:lang w:val="en-US" w:eastAsia="zh-CN"/>
                    </w:rPr>
                    <w:t>工序均设置“二次封闭+集气罩”收集措施，混胶废气经袋式除尘器处理后，与绝缘子</w:t>
                  </w:r>
                  <w:r>
                    <w:rPr>
                      <w:rFonts w:hint="eastAsia"/>
                      <w:lang w:val="en-US" w:eastAsia="zh-CN"/>
                    </w:rPr>
                    <w:t>成型</w:t>
                  </w:r>
                  <w:r>
                    <w:rPr>
                      <w:rFonts w:hint="default"/>
                      <w:lang w:val="en-US" w:eastAsia="zh-CN"/>
                    </w:rPr>
                    <w:t>废气合并至“UV光氧+活性炭吸附”装置处理后通过1根15</w:t>
                  </w:r>
                  <w:r>
                    <w:rPr>
                      <w:rFonts w:hint="eastAsia"/>
                      <w:lang w:val="en-US" w:eastAsia="zh-CN"/>
                    </w:rPr>
                    <w:t>m</w:t>
                  </w:r>
                  <w:r>
                    <w:rPr>
                      <w:rFonts w:hint="default"/>
                      <w:lang w:val="en-US" w:eastAsia="zh-CN"/>
                    </w:rPr>
                    <w:t>高排气筒排放</w:t>
                  </w:r>
                </w:p>
              </w:tc>
              <w:tc>
                <w:tcPr>
                  <w:tcW w:w="432" w:type="pct"/>
                  <w:vAlign w:val="center"/>
                </w:tcPr>
                <w:p>
                  <w:pPr>
                    <w:pStyle w:val="11"/>
                    <w:bidi w:val="0"/>
                    <w:rPr>
                      <w:rFonts w:hint="default"/>
                      <w:color w:val="auto"/>
                      <w:lang w:val="en-US" w:eastAsia="zh-CN"/>
                    </w:rPr>
                  </w:pPr>
                  <w:r>
                    <w:rPr>
                      <w:rFonts w:hint="eastAsia"/>
                      <w:color w:val="auto"/>
                      <w:lang w:val="en-US" w:eastAsia="zh-CN"/>
                    </w:rPr>
                    <w:t>未建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8" w:type="pct"/>
                  <w:vMerge w:val="continue"/>
                  <w:vAlign w:val="center"/>
                </w:tcPr>
                <w:p>
                  <w:pPr>
                    <w:pStyle w:val="11"/>
                    <w:bidi w:val="0"/>
                    <w:jc w:val="center"/>
                  </w:pPr>
                </w:p>
              </w:tc>
              <w:tc>
                <w:tcPr>
                  <w:tcW w:w="258" w:type="pct"/>
                  <w:vMerge w:val="continue"/>
                  <w:vAlign w:val="center"/>
                </w:tcPr>
                <w:p>
                  <w:pPr>
                    <w:pStyle w:val="11"/>
                    <w:bidi w:val="0"/>
                    <w:jc w:val="center"/>
                  </w:pPr>
                </w:p>
              </w:tc>
              <w:tc>
                <w:tcPr>
                  <w:tcW w:w="770" w:type="pct"/>
                  <w:vAlign w:val="center"/>
                </w:tcPr>
                <w:p>
                  <w:pPr>
                    <w:pStyle w:val="11"/>
                    <w:bidi w:val="0"/>
                    <w:jc w:val="center"/>
                    <w:rPr>
                      <w:rFonts w:hint="eastAsia"/>
                      <w:lang w:val="en-US" w:eastAsia="zh-CN"/>
                    </w:rPr>
                  </w:pPr>
                  <w:r>
                    <w:rPr>
                      <w:rFonts w:hint="eastAsia"/>
                      <w:lang w:val="en-US" w:eastAsia="zh-CN"/>
                    </w:rPr>
                    <w:t>成型废气</w:t>
                  </w:r>
                </w:p>
              </w:tc>
              <w:tc>
                <w:tcPr>
                  <w:tcW w:w="3281" w:type="pct"/>
                  <w:vMerge w:val="continue"/>
                  <w:vAlign w:val="center"/>
                </w:tcPr>
                <w:p>
                  <w:pPr>
                    <w:pStyle w:val="11"/>
                    <w:bidi w:val="0"/>
                    <w:jc w:val="both"/>
                    <w:rPr>
                      <w:rFonts w:hint="default"/>
                      <w:lang w:val="en-US"/>
                    </w:rPr>
                  </w:pPr>
                </w:p>
              </w:tc>
              <w:tc>
                <w:tcPr>
                  <w:tcW w:w="432" w:type="pct"/>
                  <w:vAlign w:val="center"/>
                </w:tcPr>
                <w:p>
                  <w:pPr>
                    <w:pStyle w:val="11"/>
                    <w:bidi w:val="0"/>
                    <w:rPr>
                      <w:rFonts w:hint="default"/>
                      <w:color w:val="auto"/>
                      <w:lang w:val="en-US"/>
                    </w:rPr>
                  </w:pPr>
                  <w:r>
                    <w:rPr>
                      <w:rFonts w:hint="eastAsia"/>
                      <w:color w:val="auto"/>
                      <w:lang w:val="en-US" w:eastAsia="zh-CN"/>
                    </w:rPr>
                    <w:t>未建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8" w:type="pct"/>
                  <w:vMerge w:val="continue"/>
                  <w:vAlign w:val="center"/>
                </w:tcPr>
                <w:p>
                  <w:pPr>
                    <w:pStyle w:val="11"/>
                    <w:bidi w:val="0"/>
                    <w:jc w:val="center"/>
                  </w:pPr>
                </w:p>
              </w:tc>
              <w:tc>
                <w:tcPr>
                  <w:tcW w:w="1028" w:type="pct"/>
                  <w:gridSpan w:val="2"/>
                  <w:vAlign w:val="center"/>
                </w:tcPr>
                <w:p>
                  <w:pPr>
                    <w:pStyle w:val="11"/>
                    <w:bidi w:val="0"/>
                    <w:jc w:val="center"/>
                    <w:rPr>
                      <w:rFonts w:hint="eastAsia"/>
                      <w:lang w:val="en-US" w:eastAsia="zh-CN"/>
                    </w:rPr>
                  </w:pPr>
                  <w:r>
                    <w:t>噪声</w:t>
                  </w:r>
                </w:p>
              </w:tc>
              <w:tc>
                <w:tcPr>
                  <w:tcW w:w="3281" w:type="pct"/>
                  <w:vAlign w:val="center"/>
                </w:tcPr>
                <w:p>
                  <w:pPr>
                    <w:pStyle w:val="11"/>
                    <w:bidi w:val="0"/>
                    <w:jc w:val="center"/>
                  </w:pPr>
                  <w:r>
                    <w:rPr>
                      <w:rFonts w:hint="eastAsia"/>
                    </w:rPr>
                    <w:t>采取隔声、减震、消声等降噪措施</w:t>
                  </w:r>
                </w:p>
              </w:tc>
              <w:tc>
                <w:tcPr>
                  <w:tcW w:w="432" w:type="pct"/>
                  <w:vAlign w:val="center"/>
                </w:tcPr>
                <w:p>
                  <w:pPr>
                    <w:pStyle w:val="11"/>
                    <w:bidi w:val="0"/>
                    <w:ind w:firstLine="0" w:firstLineChars="0"/>
                    <w:rPr>
                      <w:rFonts w:hint="eastAsia"/>
                      <w:color w:val="auto"/>
                    </w:rPr>
                  </w:pPr>
                  <w:r>
                    <w:rPr>
                      <w:rFonts w:hint="eastAsia"/>
                      <w:color w:val="auto"/>
                      <w:lang w:val="en-US" w:eastAsia="zh-CN"/>
                    </w:rPr>
                    <w:t>未建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8" w:type="pct"/>
                  <w:vMerge w:val="continue"/>
                  <w:vAlign w:val="center"/>
                </w:tcPr>
                <w:p>
                  <w:pPr>
                    <w:pStyle w:val="11"/>
                    <w:bidi w:val="0"/>
                    <w:jc w:val="center"/>
                  </w:pPr>
                </w:p>
              </w:tc>
              <w:tc>
                <w:tcPr>
                  <w:tcW w:w="258" w:type="pct"/>
                  <w:vMerge w:val="restart"/>
                  <w:vAlign w:val="center"/>
                </w:tcPr>
                <w:p>
                  <w:pPr>
                    <w:pStyle w:val="11"/>
                    <w:bidi w:val="0"/>
                    <w:jc w:val="center"/>
                  </w:pPr>
                  <w:r>
                    <w:rPr>
                      <w:rFonts w:hint="eastAsia"/>
                      <w:lang w:val="en-US" w:eastAsia="zh-CN"/>
                    </w:rPr>
                    <w:t>一般</w:t>
                  </w:r>
                  <w:r>
                    <w:t>固废</w:t>
                  </w:r>
                </w:p>
              </w:tc>
              <w:tc>
                <w:tcPr>
                  <w:tcW w:w="770" w:type="pct"/>
                  <w:vAlign w:val="center"/>
                </w:tcPr>
                <w:p>
                  <w:pPr>
                    <w:pStyle w:val="11"/>
                    <w:bidi w:val="0"/>
                    <w:jc w:val="center"/>
                    <w:rPr>
                      <w:rFonts w:hint="default"/>
                      <w:lang w:val="en-US" w:eastAsia="zh-CN"/>
                    </w:rPr>
                  </w:pPr>
                  <w:r>
                    <w:rPr>
                      <w:rFonts w:hint="eastAsia"/>
                      <w:lang w:val="en-US" w:eastAsia="zh-CN"/>
                    </w:rPr>
                    <w:t>生活垃圾</w:t>
                  </w:r>
                </w:p>
              </w:tc>
              <w:tc>
                <w:tcPr>
                  <w:tcW w:w="3281" w:type="pct"/>
                  <w:vAlign w:val="center"/>
                </w:tcPr>
                <w:p>
                  <w:pPr>
                    <w:pStyle w:val="11"/>
                    <w:bidi w:val="0"/>
                    <w:jc w:val="center"/>
                  </w:pPr>
                  <w:r>
                    <w:rPr>
                      <w:rFonts w:hint="eastAsia"/>
                    </w:rPr>
                    <w:t>由环卫部门定期清运至垃圾中转站</w:t>
                  </w:r>
                </w:p>
              </w:tc>
              <w:tc>
                <w:tcPr>
                  <w:tcW w:w="432" w:type="pct"/>
                  <w:vAlign w:val="center"/>
                </w:tcPr>
                <w:p>
                  <w:pPr>
                    <w:pStyle w:val="11"/>
                    <w:bidi w:val="0"/>
                    <w:ind w:firstLine="0" w:firstLineChars="0"/>
                    <w:rPr>
                      <w:rFonts w:hint="eastAsia"/>
                      <w:color w:val="auto"/>
                    </w:rPr>
                  </w:pPr>
                  <w:r>
                    <w:rPr>
                      <w:rFonts w:hint="eastAsia"/>
                      <w:color w:val="auto"/>
                      <w:lang w:val="en-US" w:eastAsia="zh-CN"/>
                    </w:rPr>
                    <w:t>未建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8" w:type="pct"/>
                  <w:vMerge w:val="continue"/>
                  <w:vAlign w:val="center"/>
                </w:tcPr>
                <w:p>
                  <w:pPr>
                    <w:pStyle w:val="11"/>
                    <w:bidi w:val="0"/>
                    <w:jc w:val="center"/>
                  </w:pPr>
                </w:p>
              </w:tc>
              <w:tc>
                <w:tcPr>
                  <w:tcW w:w="258" w:type="pct"/>
                  <w:vMerge w:val="continue"/>
                  <w:vAlign w:val="center"/>
                </w:tcPr>
                <w:p>
                  <w:pPr>
                    <w:pStyle w:val="11"/>
                    <w:bidi w:val="0"/>
                    <w:jc w:val="center"/>
                  </w:pPr>
                </w:p>
              </w:tc>
              <w:tc>
                <w:tcPr>
                  <w:tcW w:w="770" w:type="pct"/>
                  <w:vAlign w:val="center"/>
                </w:tcPr>
                <w:p>
                  <w:pPr>
                    <w:pStyle w:val="11"/>
                    <w:bidi w:val="0"/>
                    <w:jc w:val="center"/>
                    <w:rPr>
                      <w:rFonts w:hint="default"/>
                      <w:lang w:val="en-US" w:eastAsia="zh-CN"/>
                    </w:rPr>
                  </w:pPr>
                  <w:r>
                    <w:rPr>
                      <w:rFonts w:hint="eastAsia"/>
                      <w:lang w:val="en-US" w:eastAsia="zh-CN"/>
                    </w:rPr>
                    <w:t>除尘卸灰</w:t>
                  </w:r>
                </w:p>
              </w:tc>
              <w:tc>
                <w:tcPr>
                  <w:tcW w:w="3281" w:type="pct"/>
                  <w:vAlign w:val="center"/>
                </w:tcPr>
                <w:p>
                  <w:pPr>
                    <w:pStyle w:val="11"/>
                    <w:bidi w:val="0"/>
                    <w:jc w:val="center"/>
                    <w:rPr>
                      <w:rFonts w:hint="eastAsia"/>
                      <w:lang w:val="en-US" w:eastAsia="zh-CN"/>
                    </w:rPr>
                  </w:pPr>
                  <w:r>
                    <w:rPr>
                      <w:rFonts w:hint="eastAsia"/>
                      <w:lang w:val="en-US" w:eastAsia="zh-CN"/>
                    </w:rPr>
                    <w:t>经收集后回用于生产</w:t>
                  </w:r>
                </w:p>
              </w:tc>
              <w:tc>
                <w:tcPr>
                  <w:tcW w:w="432" w:type="pct"/>
                  <w:vAlign w:val="center"/>
                </w:tcPr>
                <w:p>
                  <w:pPr>
                    <w:pStyle w:val="11"/>
                    <w:bidi w:val="0"/>
                    <w:ind w:firstLine="0" w:firstLineChars="0"/>
                    <w:rPr>
                      <w:rFonts w:hint="eastAsia"/>
                      <w:color w:val="auto"/>
                      <w:lang w:val="en-US" w:eastAsia="zh-CN"/>
                    </w:rPr>
                  </w:pPr>
                  <w:r>
                    <w:rPr>
                      <w:rFonts w:hint="eastAsia"/>
                      <w:color w:val="auto"/>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8" w:type="pct"/>
                  <w:vMerge w:val="continue"/>
                  <w:vAlign w:val="center"/>
                </w:tcPr>
                <w:p>
                  <w:pPr>
                    <w:pStyle w:val="11"/>
                    <w:bidi w:val="0"/>
                    <w:jc w:val="center"/>
                  </w:pPr>
                </w:p>
              </w:tc>
              <w:tc>
                <w:tcPr>
                  <w:tcW w:w="258" w:type="pct"/>
                  <w:vMerge w:val="continue"/>
                  <w:vAlign w:val="center"/>
                </w:tcPr>
                <w:p>
                  <w:pPr>
                    <w:pStyle w:val="11"/>
                    <w:bidi w:val="0"/>
                    <w:jc w:val="center"/>
                  </w:pPr>
                </w:p>
              </w:tc>
              <w:tc>
                <w:tcPr>
                  <w:tcW w:w="770" w:type="pct"/>
                  <w:vAlign w:val="center"/>
                </w:tcPr>
                <w:p>
                  <w:pPr>
                    <w:pStyle w:val="11"/>
                    <w:bidi w:val="0"/>
                    <w:ind w:firstLine="0" w:firstLineChars="0"/>
                    <w:jc w:val="center"/>
                    <w:rPr>
                      <w:rFonts w:hint="default"/>
                      <w:lang w:val="en-US" w:eastAsia="zh-CN"/>
                    </w:rPr>
                  </w:pPr>
                  <w:r>
                    <w:rPr>
                      <w:rFonts w:hint="eastAsia"/>
                      <w:lang w:val="en-US" w:eastAsia="zh-CN"/>
                    </w:rPr>
                    <w:t>金属废料</w:t>
                  </w:r>
                </w:p>
              </w:tc>
              <w:tc>
                <w:tcPr>
                  <w:tcW w:w="3281" w:type="pct"/>
                  <w:vMerge w:val="restart"/>
                  <w:vAlign w:val="center"/>
                </w:tcPr>
                <w:p>
                  <w:pPr>
                    <w:pStyle w:val="11"/>
                    <w:bidi w:val="0"/>
                    <w:jc w:val="center"/>
                  </w:pPr>
                  <w:r>
                    <w:t>收集后暂存于</w:t>
                  </w:r>
                  <w:r>
                    <w:rPr>
                      <w:rFonts w:hint="eastAsia"/>
                      <w:lang w:val="en-US" w:eastAsia="zh-CN"/>
                    </w:rPr>
                    <w:t>40m</w:t>
                  </w:r>
                  <w:r>
                    <w:rPr>
                      <w:rFonts w:hint="eastAsia"/>
                      <w:vertAlign w:val="superscript"/>
                      <w:lang w:val="en-US" w:eastAsia="zh-CN"/>
                    </w:rPr>
                    <w:t>2</w:t>
                  </w:r>
                  <w:r>
                    <w:t>一般固废暂存间，定期外售</w:t>
                  </w:r>
                </w:p>
              </w:tc>
              <w:tc>
                <w:tcPr>
                  <w:tcW w:w="432" w:type="pct"/>
                  <w:vMerge w:val="restart"/>
                  <w:vAlign w:val="center"/>
                </w:tcPr>
                <w:p>
                  <w:pPr>
                    <w:pStyle w:val="11"/>
                    <w:bidi w:val="0"/>
                    <w:ind w:firstLine="0" w:firstLineChars="0"/>
                    <w:rPr>
                      <w:color w:val="auto"/>
                    </w:rPr>
                  </w:pPr>
                  <w:r>
                    <w:rPr>
                      <w:rFonts w:hint="eastAsia"/>
                      <w:color w:val="auto"/>
                      <w:lang w:val="en-US" w:eastAsia="zh-CN"/>
                    </w:rPr>
                    <w:t>未建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8" w:type="pct"/>
                  <w:vMerge w:val="continue"/>
                  <w:vAlign w:val="center"/>
                </w:tcPr>
                <w:p>
                  <w:pPr>
                    <w:pStyle w:val="11"/>
                    <w:bidi w:val="0"/>
                    <w:jc w:val="center"/>
                  </w:pPr>
                </w:p>
              </w:tc>
              <w:tc>
                <w:tcPr>
                  <w:tcW w:w="258" w:type="pct"/>
                  <w:vMerge w:val="continue"/>
                  <w:vAlign w:val="center"/>
                </w:tcPr>
                <w:p>
                  <w:pPr>
                    <w:pStyle w:val="11"/>
                    <w:bidi w:val="0"/>
                    <w:jc w:val="center"/>
                  </w:pPr>
                </w:p>
              </w:tc>
              <w:tc>
                <w:tcPr>
                  <w:tcW w:w="770" w:type="pct"/>
                  <w:vAlign w:val="center"/>
                </w:tcPr>
                <w:p>
                  <w:pPr>
                    <w:pStyle w:val="11"/>
                    <w:bidi w:val="0"/>
                    <w:ind w:firstLine="0" w:firstLineChars="0"/>
                    <w:jc w:val="center"/>
                    <w:rPr>
                      <w:rFonts w:hint="default"/>
                      <w:lang w:val="en-US" w:eastAsia="zh-CN"/>
                    </w:rPr>
                  </w:pPr>
                  <w:r>
                    <w:rPr>
                      <w:rFonts w:hint="eastAsia"/>
                      <w:lang w:val="en-US" w:eastAsia="zh-CN"/>
                    </w:rPr>
                    <w:t>橡胶废料</w:t>
                  </w:r>
                </w:p>
              </w:tc>
              <w:tc>
                <w:tcPr>
                  <w:tcW w:w="3281" w:type="pct"/>
                  <w:vMerge w:val="continue"/>
                  <w:vAlign w:val="center"/>
                </w:tcPr>
                <w:p>
                  <w:pPr>
                    <w:pStyle w:val="11"/>
                    <w:bidi w:val="0"/>
                    <w:jc w:val="center"/>
                  </w:pPr>
                </w:p>
              </w:tc>
              <w:tc>
                <w:tcPr>
                  <w:tcW w:w="432" w:type="pct"/>
                  <w:vMerge w:val="continue"/>
                  <w:vAlign w:val="center"/>
                </w:tcPr>
                <w:p>
                  <w:pPr>
                    <w:pStyle w:val="11"/>
                    <w:bidi w:val="0"/>
                    <w:ind w:firstLine="0" w:firstLineChars="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8" w:type="pct"/>
                  <w:vMerge w:val="continue"/>
                  <w:vAlign w:val="center"/>
                </w:tcPr>
                <w:p>
                  <w:pPr>
                    <w:pStyle w:val="11"/>
                    <w:bidi w:val="0"/>
                    <w:jc w:val="center"/>
                  </w:pPr>
                </w:p>
              </w:tc>
              <w:tc>
                <w:tcPr>
                  <w:tcW w:w="258" w:type="pct"/>
                  <w:vMerge w:val="continue"/>
                  <w:vAlign w:val="center"/>
                </w:tcPr>
                <w:p>
                  <w:pPr>
                    <w:pStyle w:val="11"/>
                    <w:bidi w:val="0"/>
                    <w:jc w:val="center"/>
                  </w:pPr>
                </w:p>
              </w:tc>
              <w:tc>
                <w:tcPr>
                  <w:tcW w:w="770" w:type="pct"/>
                  <w:vAlign w:val="center"/>
                </w:tcPr>
                <w:p>
                  <w:pPr>
                    <w:pStyle w:val="11"/>
                    <w:bidi w:val="0"/>
                    <w:ind w:firstLine="0" w:firstLineChars="0"/>
                    <w:jc w:val="center"/>
                    <w:rPr>
                      <w:rFonts w:hint="default"/>
                      <w:lang w:val="en-US" w:eastAsia="zh-CN"/>
                    </w:rPr>
                  </w:pPr>
                  <w:r>
                    <w:rPr>
                      <w:rFonts w:hint="eastAsia"/>
                      <w:lang w:val="en-US" w:eastAsia="zh-CN"/>
                    </w:rPr>
                    <w:t>包装废料</w:t>
                  </w:r>
                </w:p>
              </w:tc>
              <w:tc>
                <w:tcPr>
                  <w:tcW w:w="3281" w:type="pct"/>
                  <w:vMerge w:val="continue"/>
                  <w:vAlign w:val="center"/>
                </w:tcPr>
                <w:p>
                  <w:pPr>
                    <w:pStyle w:val="11"/>
                    <w:bidi w:val="0"/>
                    <w:jc w:val="center"/>
                  </w:pPr>
                </w:p>
              </w:tc>
              <w:tc>
                <w:tcPr>
                  <w:tcW w:w="432" w:type="pct"/>
                  <w:vMerge w:val="continue"/>
                  <w:vAlign w:val="center"/>
                </w:tcPr>
                <w:p>
                  <w:pPr>
                    <w:pStyle w:val="11"/>
                    <w:bidi w:val="0"/>
                    <w:ind w:firstLine="0" w:firstLineChars="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8" w:type="pct"/>
                  <w:vMerge w:val="continue"/>
                  <w:vAlign w:val="center"/>
                </w:tcPr>
                <w:p>
                  <w:pPr>
                    <w:pStyle w:val="11"/>
                    <w:bidi w:val="0"/>
                    <w:jc w:val="center"/>
                  </w:pPr>
                </w:p>
              </w:tc>
              <w:tc>
                <w:tcPr>
                  <w:tcW w:w="258" w:type="pct"/>
                  <w:vMerge w:val="continue"/>
                  <w:vAlign w:val="center"/>
                </w:tcPr>
                <w:p>
                  <w:pPr>
                    <w:pStyle w:val="11"/>
                    <w:bidi w:val="0"/>
                    <w:jc w:val="center"/>
                  </w:pPr>
                </w:p>
              </w:tc>
              <w:tc>
                <w:tcPr>
                  <w:tcW w:w="770" w:type="pct"/>
                  <w:vAlign w:val="center"/>
                </w:tcPr>
                <w:p>
                  <w:pPr>
                    <w:pStyle w:val="11"/>
                    <w:bidi w:val="0"/>
                    <w:ind w:firstLine="0" w:firstLineChars="0"/>
                    <w:jc w:val="center"/>
                    <w:rPr>
                      <w:rFonts w:hint="eastAsia"/>
                      <w:lang w:val="en-US" w:eastAsia="zh-CN"/>
                    </w:rPr>
                  </w:pPr>
                  <w:r>
                    <w:rPr>
                      <w:rFonts w:hint="eastAsia"/>
                      <w:lang w:val="en-US" w:eastAsia="zh-CN"/>
                    </w:rPr>
                    <w:t>废UV灯管</w:t>
                  </w:r>
                </w:p>
              </w:tc>
              <w:tc>
                <w:tcPr>
                  <w:tcW w:w="3281" w:type="pct"/>
                  <w:vAlign w:val="center"/>
                </w:tcPr>
                <w:p>
                  <w:pPr>
                    <w:pStyle w:val="11"/>
                    <w:bidi w:val="0"/>
                    <w:jc w:val="center"/>
                  </w:pPr>
                  <w:r>
                    <w:t>由设备厂家</w:t>
                  </w:r>
                  <w:r>
                    <w:rPr>
                      <w:rFonts w:hint="eastAsia"/>
                      <w:lang w:val="en-US" w:eastAsia="zh-CN"/>
                    </w:rPr>
                    <w:t>定期更换后直接带走，厂区不暂存</w:t>
                  </w:r>
                </w:p>
              </w:tc>
              <w:tc>
                <w:tcPr>
                  <w:tcW w:w="432" w:type="pct"/>
                  <w:vAlign w:val="center"/>
                </w:tcPr>
                <w:p>
                  <w:pPr>
                    <w:pStyle w:val="11"/>
                    <w:bidi w:val="0"/>
                    <w:ind w:firstLine="0" w:firstLineChars="0"/>
                    <w:rPr>
                      <w:color w:val="auto"/>
                    </w:rPr>
                  </w:pPr>
                  <w:r>
                    <w:rPr>
                      <w:rFonts w:hint="eastAsia"/>
                      <w:color w:val="auto"/>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8" w:type="pct"/>
                  <w:vMerge w:val="continue"/>
                  <w:vAlign w:val="center"/>
                </w:tcPr>
                <w:p>
                  <w:pPr>
                    <w:pStyle w:val="11"/>
                    <w:bidi w:val="0"/>
                    <w:jc w:val="center"/>
                  </w:pPr>
                </w:p>
              </w:tc>
              <w:tc>
                <w:tcPr>
                  <w:tcW w:w="258" w:type="pct"/>
                  <w:vMerge w:val="restart"/>
                  <w:vAlign w:val="center"/>
                </w:tcPr>
                <w:p>
                  <w:pPr>
                    <w:pStyle w:val="11"/>
                    <w:bidi w:val="0"/>
                    <w:jc w:val="center"/>
                    <w:rPr>
                      <w:rFonts w:hint="eastAsia"/>
                      <w:lang w:val="en-US" w:eastAsia="zh-CN"/>
                    </w:rPr>
                  </w:pPr>
                  <w:r>
                    <w:rPr>
                      <w:rFonts w:hint="eastAsia"/>
                      <w:lang w:val="en-US" w:eastAsia="zh-CN"/>
                    </w:rPr>
                    <w:t>危废</w:t>
                  </w:r>
                </w:p>
              </w:tc>
              <w:tc>
                <w:tcPr>
                  <w:tcW w:w="770" w:type="pct"/>
                  <w:vAlign w:val="center"/>
                </w:tcPr>
                <w:p>
                  <w:pPr>
                    <w:pStyle w:val="11"/>
                    <w:bidi w:val="0"/>
                    <w:jc w:val="center"/>
                    <w:rPr>
                      <w:rFonts w:hint="default"/>
                      <w:lang w:val="en-US" w:eastAsia="zh-CN"/>
                    </w:rPr>
                  </w:pPr>
                  <w:r>
                    <w:rPr>
                      <w:rFonts w:hint="eastAsia"/>
                      <w:lang w:val="en-US" w:eastAsia="zh-CN"/>
                    </w:rPr>
                    <w:t>废液压油</w:t>
                  </w:r>
                </w:p>
              </w:tc>
              <w:tc>
                <w:tcPr>
                  <w:tcW w:w="3281" w:type="pct"/>
                  <w:vMerge w:val="restart"/>
                  <w:vAlign w:val="center"/>
                </w:tcPr>
                <w:p>
                  <w:pPr>
                    <w:pStyle w:val="11"/>
                    <w:bidi w:val="0"/>
                    <w:jc w:val="center"/>
                  </w:pPr>
                  <w:r>
                    <w:rPr>
                      <w:rFonts w:hint="eastAsia"/>
                      <w:lang w:val="en-US" w:eastAsia="zh-CN"/>
                    </w:rPr>
                    <w:t>20m</w:t>
                  </w:r>
                  <w:r>
                    <w:rPr>
                      <w:rFonts w:hint="eastAsia"/>
                      <w:vertAlign w:val="superscript"/>
                      <w:lang w:val="en-US" w:eastAsia="zh-CN"/>
                    </w:rPr>
                    <w:t>2</w:t>
                  </w:r>
                  <w:r>
                    <w:t>危险废物暂存间暂存，定期交由有资质单位处置</w:t>
                  </w:r>
                </w:p>
              </w:tc>
              <w:tc>
                <w:tcPr>
                  <w:tcW w:w="432" w:type="pct"/>
                  <w:vMerge w:val="restart"/>
                  <w:vAlign w:val="center"/>
                </w:tcPr>
                <w:p>
                  <w:pPr>
                    <w:pStyle w:val="11"/>
                    <w:bidi w:val="0"/>
                    <w:ind w:firstLine="0" w:firstLineChars="0"/>
                    <w:rPr>
                      <w:color w:val="auto"/>
                    </w:rPr>
                  </w:pPr>
                  <w:r>
                    <w:rPr>
                      <w:rFonts w:hint="eastAsia"/>
                      <w:color w:val="auto"/>
                      <w:lang w:val="en-US" w:eastAsia="zh-CN"/>
                    </w:rPr>
                    <w:t>未建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8" w:type="pct"/>
                  <w:vMerge w:val="continue"/>
                  <w:vAlign w:val="center"/>
                </w:tcPr>
                <w:p>
                  <w:pPr>
                    <w:pStyle w:val="11"/>
                    <w:bidi w:val="0"/>
                    <w:jc w:val="center"/>
                  </w:pPr>
                </w:p>
              </w:tc>
              <w:tc>
                <w:tcPr>
                  <w:tcW w:w="258" w:type="pct"/>
                  <w:vMerge w:val="continue"/>
                  <w:vAlign w:val="center"/>
                </w:tcPr>
                <w:p>
                  <w:pPr>
                    <w:pStyle w:val="11"/>
                    <w:bidi w:val="0"/>
                    <w:jc w:val="center"/>
                  </w:pPr>
                </w:p>
              </w:tc>
              <w:tc>
                <w:tcPr>
                  <w:tcW w:w="770" w:type="pct"/>
                  <w:vAlign w:val="center"/>
                </w:tcPr>
                <w:p>
                  <w:pPr>
                    <w:pStyle w:val="11"/>
                    <w:bidi w:val="0"/>
                    <w:jc w:val="center"/>
                    <w:rPr>
                      <w:rFonts w:hint="default"/>
                      <w:lang w:val="en-US" w:eastAsia="zh-CN"/>
                    </w:rPr>
                  </w:pPr>
                  <w:r>
                    <w:rPr>
                      <w:rFonts w:hint="eastAsia"/>
                      <w:lang w:val="en-US" w:eastAsia="zh-CN"/>
                    </w:rPr>
                    <w:t>废活性炭</w:t>
                  </w:r>
                </w:p>
              </w:tc>
              <w:tc>
                <w:tcPr>
                  <w:tcW w:w="3281" w:type="pct"/>
                  <w:vMerge w:val="continue"/>
                  <w:vAlign w:val="center"/>
                </w:tcPr>
                <w:p>
                  <w:pPr>
                    <w:pStyle w:val="11"/>
                    <w:bidi w:val="0"/>
                    <w:jc w:val="center"/>
                  </w:pPr>
                </w:p>
              </w:tc>
              <w:tc>
                <w:tcPr>
                  <w:tcW w:w="432" w:type="pct"/>
                  <w:vMerge w:val="continue"/>
                  <w:vAlign w:val="center"/>
                </w:tcPr>
                <w:p>
                  <w:pPr>
                    <w:pStyle w:val="11"/>
                    <w:bidi w:val="0"/>
                    <w:ind w:firstLine="0" w:firstLineChars="0"/>
                  </w:pPr>
                </w:p>
              </w:tc>
            </w:tr>
          </w:tbl>
          <w:p>
            <w:pPr>
              <w:pStyle w:val="4"/>
              <w:bidi w:val="0"/>
            </w:pPr>
            <w:r>
              <w:rPr>
                <w:rFonts w:hint="eastAsia"/>
                <w:lang w:val="en-US" w:eastAsia="zh-CN"/>
              </w:rPr>
              <w:t>2、</w:t>
            </w:r>
            <w:r>
              <w:t>产品方案</w:t>
            </w:r>
          </w:p>
          <w:p>
            <w:pPr>
              <w:autoSpaceDE w:val="0"/>
              <w:autoSpaceDN w:val="0"/>
              <w:spacing w:line="360" w:lineRule="auto"/>
              <w:ind w:firstLine="480" w:firstLineChars="200"/>
            </w:pPr>
            <w:r>
              <w:t>本项目产品方案见表2-2。</w:t>
            </w:r>
          </w:p>
          <w:p>
            <w:pPr>
              <w:pStyle w:val="12"/>
              <w:widowControl w:val="0"/>
              <w:bidi w:val="0"/>
            </w:pPr>
            <w:r>
              <w:t xml:space="preserve">表2-2 </w:t>
            </w:r>
            <w:r>
              <w:rPr>
                <w:rFonts w:hint="eastAsia"/>
                <w:lang w:val="en-US" w:eastAsia="zh-CN"/>
              </w:rPr>
              <w:t xml:space="preserve"> </w:t>
            </w:r>
            <w:r>
              <w:t xml:space="preserve"> 本项目生产方案一览表</w:t>
            </w:r>
          </w:p>
          <w:tbl>
            <w:tblPr>
              <w:tblStyle w:val="8"/>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550"/>
              <w:gridCol w:w="1502"/>
              <w:gridCol w:w="2556"/>
              <w:gridCol w:w="1647"/>
              <w:gridCol w:w="19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334" w:type="pct"/>
                  <w:noWrap w:val="0"/>
                  <w:vAlign w:val="center"/>
                </w:tcPr>
                <w:p>
                  <w:pPr>
                    <w:pStyle w:val="11"/>
                    <w:bidi w:val="0"/>
                  </w:pPr>
                  <w:r>
                    <w:t>序号</w:t>
                  </w:r>
                </w:p>
              </w:tc>
              <w:tc>
                <w:tcPr>
                  <w:tcW w:w="2459" w:type="pct"/>
                  <w:gridSpan w:val="2"/>
                  <w:noWrap w:val="0"/>
                  <w:vAlign w:val="center"/>
                </w:tcPr>
                <w:p>
                  <w:pPr>
                    <w:pStyle w:val="11"/>
                    <w:bidi w:val="0"/>
                  </w:pPr>
                  <w:r>
                    <w:t>产品名称</w:t>
                  </w:r>
                </w:p>
              </w:tc>
              <w:tc>
                <w:tcPr>
                  <w:tcW w:w="998" w:type="pct"/>
                  <w:noWrap w:val="0"/>
                  <w:vAlign w:val="center"/>
                </w:tcPr>
                <w:p>
                  <w:pPr>
                    <w:pStyle w:val="11"/>
                    <w:bidi w:val="0"/>
                  </w:pPr>
                  <w:r>
                    <w:t>产量</w:t>
                  </w:r>
                </w:p>
              </w:tc>
              <w:tc>
                <w:tcPr>
                  <w:tcW w:w="1208" w:type="pct"/>
                  <w:noWrap w:val="0"/>
                  <w:vAlign w:val="center"/>
                </w:tcPr>
                <w:p>
                  <w:pPr>
                    <w:pStyle w:val="11"/>
                    <w:bidi w:val="0"/>
                  </w:pPr>
                  <w:r>
                    <w:rPr>
                      <w:rFonts w:hint="eastAsia"/>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334" w:type="pct"/>
                  <w:noWrap w:val="0"/>
                  <w:vAlign w:val="center"/>
                </w:tcPr>
                <w:p>
                  <w:pPr>
                    <w:pStyle w:val="11"/>
                    <w:bidi w:val="0"/>
                    <w:rPr>
                      <w:rFonts w:hint="eastAsia"/>
                      <w:lang w:val="en-US" w:eastAsia="zh-CN"/>
                    </w:rPr>
                  </w:pPr>
                  <w:r>
                    <w:rPr>
                      <w:rFonts w:hint="eastAsia"/>
                      <w:lang w:val="en-US" w:eastAsia="zh-CN"/>
                    </w:rPr>
                    <w:t>1</w:t>
                  </w:r>
                </w:p>
              </w:tc>
              <w:tc>
                <w:tcPr>
                  <w:tcW w:w="910" w:type="pct"/>
                  <w:vMerge w:val="restart"/>
                  <w:noWrap w:val="0"/>
                  <w:vAlign w:val="center"/>
                </w:tcPr>
                <w:p>
                  <w:pPr>
                    <w:pStyle w:val="11"/>
                    <w:bidi w:val="0"/>
                  </w:pPr>
                  <w:r>
                    <w:rPr>
                      <w:rFonts w:hint="eastAsia"/>
                      <w:lang w:val="en-US" w:eastAsia="zh-CN"/>
                    </w:rPr>
                    <w:t>高低压交直流复合绝缘子</w:t>
                  </w:r>
                </w:p>
              </w:tc>
              <w:tc>
                <w:tcPr>
                  <w:tcW w:w="1548" w:type="pct"/>
                  <w:noWrap w:val="0"/>
                  <w:vAlign w:val="center"/>
                </w:tcPr>
                <w:p>
                  <w:pPr>
                    <w:pStyle w:val="11"/>
                    <w:bidi w:val="0"/>
                    <w:rPr>
                      <w:rFonts w:hint="default"/>
                      <w:lang w:val="en-US" w:eastAsia="zh-CN"/>
                    </w:rPr>
                  </w:pPr>
                  <w:r>
                    <w:rPr>
                      <w:rFonts w:hint="eastAsia"/>
                      <w:lang w:val="en-US" w:eastAsia="zh-CN"/>
                    </w:rPr>
                    <w:t>盘型悬式复合绝缘子</w:t>
                  </w:r>
                </w:p>
              </w:tc>
              <w:tc>
                <w:tcPr>
                  <w:tcW w:w="998" w:type="pct"/>
                  <w:noWrap w:val="0"/>
                  <w:vAlign w:val="center"/>
                </w:tcPr>
                <w:p>
                  <w:pPr>
                    <w:pStyle w:val="11"/>
                    <w:bidi w:val="0"/>
                  </w:pPr>
                  <w:r>
                    <w:rPr>
                      <w:rFonts w:hint="eastAsia"/>
                      <w:lang w:val="en-US" w:eastAsia="zh-CN"/>
                    </w:rPr>
                    <w:t>12</w:t>
                  </w:r>
                  <w:r>
                    <w:t>万</w:t>
                  </w:r>
                  <w:r>
                    <w:rPr>
                      <w:rFonts w:hint="eastAsia"/>
                      <w:lang w:val="en-US" w:eastAsia="zh-CN"/>
                    </w:rPr>
                    <w:t>片/a</w:t>
                  </w:r>
                </w:p>
              </w:tc>
              <w:tc>
                <w:tcPr>
                  <w:tcW w:w="1208" w:type="pct"/>
                  <w:noWrap w:val="0"/>
                  <w:vAlign w:val="center"/>
                </w:tcPr>
                <w:p>
                  <w:pPr>
                    <w:pStyle w:val="11"/>
                    <w:bidi w:val="0"/>
                  </w:pPr>
                  <w:r>
                    <w:rPr>
                      <w:rFonts w:hint="eastAsia"/>
                    </w:rPr>
                    <w:t>单个重量为</w:t>
                  </w:r>
                  <w:r>
                    <w:rPr>
                      <w:rFonts w:hint="eastAsia"/>
                      <w:lang w:val="en-US" w:eastAsia="zh-CN"/>
                    </w:rPr>
                    <w:t>8k</w:t>
                  </w:r>
                  <w:r>
                    <w:rPr>
                      <w:rFonts w:hint="eastAsia"/>
                    </w:rPr>
                    <w:t>g</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334" w:type="pct"/>
                  <w:noWrap w:val="0"/>
                  <w:vAlign w:val="center"/>
                </w:tcPr>
                <w:p>
                  <w:pPr>
                    <w:pStyle w:val="11"/>
                    <w:bidi w:val="0"/>
                    <w:rPr>
                      <w:rFonts w:hint="eastAsia"/>
                      <w:lang w:val="en-US" w:eastAsia="zh-CN"/>
                    </w:rPr>
                  </w:pPr>
                  <w:r>
                    <w:rPr>
                      <w:rFonts w:hint="eastAsia"/>
                      <w:lang w:val="en-US" w:eastAsia="zh-CN"/>
                    </w:rPr>
                    <w:t>2</w:t>
                  </w:r>
                </w:p>
              </w:tc>
              <w:tc>
                <w:tcPr>
                  <w:tcW w:w="910" w:type="pct"/>
                  <w:vMerge w:val="continue"/>
                  <w:noWrap w:val="0"/>
                  <w:vAlign w:val="center"/>
                </w:tcPr>
                <w:p>
                  <w:pPr>
                    <w:pStyle w:val="11"/>
                    <w:bidi w:val="0"/>
                    <w:rPr>
                      <w:rFonts w:hint="eastAsia"/>
                      <w:lang w:val="en-US" w:eastAsia="zh-CN"/>
                    </w:rPr>
                  </w:pPr>
                </w:p>
              </w:tc>
              <w:tc>
                <w:tcPr>
                  <w:tcW w:w="1548" w:type="pct"/>
                  <w:noWrap w:val="0"/>
                  <w:vAlign w:val="center"/>
                </w:tcPr>
                <w:p>
                  <w:pPr>
                    <w:pStyle w:val="11"/>
                    <w:bidi w:val="0"/>
                  </w:pPr>
                  <w:r>
                    <w:rPr>
                      <w:rFonts w:hint="eastAsia"/>
                      <w:lang w:val="en-US" w:eastAsia="zh-CN"/>
                    </w:rPr>
                    <w:t>棒型悬式复合绝缘子</w:t>
                  </w:r>
                </w:p>
              </w:tc>
              <w:tc>
                <w:tcPr>
                  <w:tcW w:w="998" w:type="pct"/>
                  <w:noWrap w:val="0"/>
                  <w:vAlign w:val="center"/>
                </w:tcPr>
                <w:p>
                  <w:pPr>
                    <w:pStyle w:val="11"/>
                    <w:bidi w:val="0"/>
                  </w:pPr>
                  <w:r>
                    <w:rPr>
                      <w:rFonts w:hint="eastAsia"/>
                      <w:lang w:val="en-US" w:eastAsia="zh-CN"/>
                    </w:rPr>
                    <w:t>4</w:t>
                  </w:r>
                  <w:r>
                    <w:t>万</w:t>
                  </w:r>
                  <w:r>
                    <w:rPr>
                      <w:rFonts w:hint="eastAsia"/>
                      <w:lang w:val="en-US" w:eastAsia="zh-CN"/>
                    </w:rPr>
                    <w:t>片/a</w:t>
                  </w:r>
                </w:p>
              </w:tc>
              <w:tc>
                <w:tcPr>
                  <w:tcW w:w="1208" w:type="pct"/>
                  <w:noWrap w:val="0"/>
                  <w:vAlign w:val="center"/>
                </w:tcPr>
                <w:p>
                  <w:pPr>
                    <w:pStyle w:val="11"/>
                    <w:bidi w:val="0"/>
                    <w:rPr>
                      <w:rFonts w:hint="eastAsia"/>
                    </w:rPr>
                  </w:pPr>
                  <w:r>
                    <w:rPr>
                      <w:rFonts w:hint="eastAsia"/>
                    </w:rPr>
                    <w:t>单个重量为</w:t>
                  </w:r>
                  <w:r>
                    <w:rPr>
                      <w:rFonts w:hint="eastAsia"/>
                      <w:lang w:val="en-US" w:eastAsia="zh-CN"/>
                    </w:rPr>
                    <w:t>4.5k</w:t>
                  </w:r>
                  <w:r>
                    <w:rPr>
                      <w:rFonts w:hint="eastAsia"/>
                    </w:rPr>
                    <w:t>g</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334" w:type="pct"/>
                  <w:noWrap w:val="0"/>
                  <w:vAlign w:val="center"/>
                </w:tcPr>
                <w:p>
                  <w:pPr>
                    <w:pStyle w:val="11"/>
                    <w:bidi w:val="0"/>
                    <w:rPr>
                      <w:rFonts w:hint="default"/>
                      <w:lang w:val="en-US" w:eastAsia="zh-CN"/>
                    </w:rPr>
                  </w:pPr>
                  <w:r>
                    <w:rPr>
                      <w:rFonts w:hint="eastAsia"/>
                      <w:lang w:val="en-US" w:eastAsia="zh-CN"/>
                    </w:rPr>
                    <w:t>3</w:t>
                  </w:r>
                </w:p>
              </w:tc>
              <w:tc>
                <w:tcPr>
                  <w:tcW w:w="910" w:type="pct"/>
                  <w:vMerge w:val="continue"/>
                  <w:noWrap w:val="0"/>
                  <w:vAlign w:val="center"/>
                </w:tcPr>
                <w:p>
                  <w:pPr>
                    <w:pStyle w:val="11"/>
                    <w:bidi w:val="0"/>
                    <w:rPr>
                      <w:rFonts w:hint="eastAsia"/>
                      <w:lang w:val="en-US" w:eastAsia="zh-CN"/>
                    </w:rPr>
                  </w:pPr>
                </w:p>
              </w:tc>
              <w:tc>
                <w:tcPr>
                  <w:tcW w:w="1548" w:type="pct"/>
                  <w:noWrap w:val="0"/>
                  <w:vAlign w:val="center"/>
                </w:tcPr>
                <w:p>
                  <w:pPr>
                    <w:pStyle w:val="11"/>
                    <w:bidi w:val="0"/>
                    <w:rPr>
                      <w:rFonts w:hint="default"/>
                      <w:lang w:val="en-US" w:eastAsia="zh-CN"/>
                    </w:rPr>
                  </w:pPr>
                  <w:r>
                    <w:rPr>
                      <w:rFonts w:hint="eastAsia"/>
                      <w:lang w:val="en-US" w:eastAsia="zh-CN"/>
                    </w:rPr>
                    <w:t>氧化锌避雷器</w:t>
                  </w:r>
                </w:p>
              </w:tc>
              <w:tc>
                <w:tcPr>
                  <w:tcW w:w="998" w:type="pct"/>
                  <w:noWrap w:val="0"/>
                  <w:vAlign w:val="center"/>
                </w:tcPr>
                <w:p>
                  <w:pPr>
                    <w:pStyle w:val="11"/>
                    <w:bidi w:val="0"/>
                  </w:pPr>
                  <w:r>
                    <w:rPr>
                      <w:rFonts w:hint="eastAsia"/>
                      <w:lang w:val="en-US" w:eastAsia="zh-CN"/>
                    </w:rPr>
                    <w:t>4</w:t>
                  </w:r>
                  <w:r>
                    <w:t>万</w:t>
                  </w:r>
                  <w:r>
                    <w:rPr>
                      <w:rFonts w:hint="eastAsia"/>
                      <w:lang w:val="en-US" w:eastAsia="zh-CN"/>
                    </w:rPr>
                    <w:t>片/a</w:t>
                  </w:r>
                </w:p>
              </w:tc>
              <w:tc>
                <w:tcPr>
                  <w:tcW w:w="1208" w:type="pct"/>
                  <w:noWrap w:val="0"/>
                  <w:vAlign w:val="center"/>
                </w:tcPr>
                <w:p>
                  <w:pPr>
                    <w:pStyle w:val="11"/>
                    <w:bidi w:val="0"/>
                    <w:rPr>
                      <w:rFonts w:hint="eastAsia"/>
                    </w:rPr>
                  </w:pPr>
                  <w:r>
                    <w:rPr>
                      <w:rFonts w:hint="eastAsia"/>
                    </w:rPr>
                    <w:t>单个重量为</w:t>
                  </w:r>
                  <w:r>
                    <w:rPr>
                      <w:rFonts w:hint="eastAsia"/>
                      <w:lang w:val="en-US" w:eastAsia="zh-CN"/>
                    </w:rPr>
                    <w:t>1.35k</w:t>
                  </w:r>
                  <w:r>
                    <w:rPr>
                      <w:rFonts w:hint="eastAsia"/>
                    </w:rPr>
                    <w:t>g</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334" w:type="pct"/>
                  <w:noWrap w:val="0"/>
                  <w:vAlign w:val="center"/>
                </w:tcPr>
                <w:p>
                  <w:pPr>
                    <w:pStyle w:val="11"/>
                    <w:bidi w:val="0"/>
                    <w:rPr>
                      <w:rFonts w:hint="default"/>
                      <w:lang w:val="en-US" w:eastAsia="zh-CN"/>
                    </w:rPr>
                  </w:pPr>
                  <w:r>
                    <w:rPr>
                      <w:rFonts w:hint="eastAsia"/>
                      <w:lang w:val="en-US" w:eastAsia="zh-CN"/>
                    </w:rPr>
                    <w:t>4</w:t>
                  </w:r>
                </w:p>
              </w:tc>
              <w:tc>
                <w:tcPr>
                  <w:tcW w:w="910" w:type="pct"/>
                  <w:vMerge w:val="restart"/>
                  <w:noWrap w:val="0"/>
                  <w:vAlign w:val="center"/>
                </w:tcPr>
                <w:p>
                  <w:pPr>
                    <w:pStyle w:val="11"/>
                    <w:bidi w:val="0"/>
                  </w:pPr>
                  <w:r>
                    <w:rPr>
                      <w:rFonts w:hint="eastAsia"/>
                      <w:lang w:val="en-US" w:eastAsia="zh-CN"/>
                    </w:rPr>
                    <w:t>高低压电力金具</w:t>
                  </w:r>
                </w:p>
              </w:tc>
              <w:tc>
                <w:tcPr>
                  <w:tcW w:w="1548" w:type="pct"/>
                  <w:noWrap w:val="0"/>
                  <w:vAlign w:val="center"/>
                </w:tcPr>
                <w:p>
                  <w:pPr>
                    <w:pStyle w:val="11"/>
                    <w:bidi w:val="0"/>
                    <w:rPr>
                      <w:rFonts w:hint="default"/>
                      <w:lang w:val="en-US" w:eastAsia="zh-CN"/>
                    </w:rPr>
                  </w:pPr>
                  <w:r>
                    <w:rPr>
                      <w:rFonts w:hint="eastAsia"/>
                      <w:lang w:val="en-US" w:eastAsia="zh-CN"/>
                    </w:rPr>
                    <w:t>铝合金电力金具</w:t>
                  </w:r>
                </w:p>
              </w:tc>
              <w:tc>
                <w:tcPr>
                  <w:tcW w:w="998" w:type="pct"/>
                  <w:noWrap w:val="0"/>
                  <w:vAlign w:val="center"/>
                </w:tcPr>
                <w:p>
                  <w:pPr>
                    <w:pStyle w:val="11"/>
                    <w:bidi w:val="0"/>
                    <w:rPr>
                      <w:rFonts w:hint="default"/>
                      <w:lang w:val="en-US" w:eastAsia="zh-CN"/>
                    </w:rPr>
                  </w:pPr>
                  <w:r>
                    <w:rPr>
                      <w:rFonts w:hint="eastAsia"/>
                      <w:lang w:val="en-US" w:eastAsia="zh-CN"/>
                    </w:rPr>
                    <w:t>1500t/a</w:t>
                  </w:r>
                </w:p>
              </w:tc>
              <w:tc>
                <w:tcPr>
                  <w:tcW w:w="1208" w:type="pct"/>
                  <w:noWrap w:val="0"/>
                  <w:vAlign w:val="center"/>
                </w:tcPr>
                <w:p>
                  <w:pPr>
                    <w:pStyle w:val="11"/>
                    <w:bidi w:val="0"/>
                    <w:rPr>
                      <w:rFonts w:hint="eastAsia"/>
                      <w:lang w:val="en-US" w:eastAsia="zh-CN"/>
                    </w:rPr>
                  </w:pPr>
                  <w:r>
                    <w:rPr>
                      <w:rFonts w:hint="eastAsia"/>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334" w:type="pct"/>
                  <w:noWrap w:val="0"/>
                  <w:vAlign w:val="center"/>
                </w:tcPr>
                <w:p>
                  <w:pPr>
                    <w:pStyle w:val="11"/>
                    <w:bidi w:val="0"/>
                    <w:rPr>
                      <w:rFonts w:hint="default"/>
                      <w:lang w:val="en-US" w:eastAsia="zh-CN"/>
                    </w:rPr>
                  </w:pPr>
                  <w:r>
                    <w:rPr>
                      <w:rFonts w:hint="eastAsia"/>
                      <w:lang w:val="en-US" w:eastAsia="zh-CN"/>
                    </w:rPr>
                    <w:t>5</w:t>
                  </w:r>
                </w:p>
              </w:tc>
              <w:tc>
                <w:tcPr>
                  <w:tcW w:w="910" w:type="pct"/>
                  <w:vMerge w:val="continue"/>
                  <w:noWrap w:val="0"/>
                  <w:vAlign w:val="center"/>
                </w:tcPr>
                <w:p>
                  <w:pPr>
                    <w:pStyle w:val="11"/>
                    <w:bidi w:val="0"/>
                    <w:rPr>
                      <w:rFonts w:hint="eastAsia"/>
                      <w:lang w:val="en-US" w:eastAsia="zh-CN"/>
                    </w:rPr>
                  </w:pPr>
                </w:p>
              </w:tc>
              <w:tc>
                <w:tcPr>
                  <w:tcW w:w="1548" w:type="pct"/>
                  <w:noWrap w:val="0"/>
                  <w:vAlign w:val="center"/>
                </w:tcPr>
                <w:p>
                  <w:pPr>
                    <w:pStyle w:val="11"/>
                    <w:bidi w:val="0"/>
                    <w:rPr>
                      <w:rFonts w:hint="default"/>
                      <w:lang w:val="en-US" w:eastAsia="zh-CN"/>
                    </w:rPr>
                  </w:pPr>
                  <w:r>
                    <w:rPr>
                      <w:rFonts w:hint="eastAsia"/>
                      <w:lang w:val="en-US" w:eastAsia="zh-CN"/>
                    </w:rPr>
                    <w:t>钢制电力金具</w:t>
                  </w:r>
                </w:p>
              </w:tc>
              <w:tc>
                <w:tcPr>
                  <w:tcW w:w="998" w:type="pct"/>
                  <w:noWrap w:val="0"/>
                  <w:vAlign w:val="center"/>
                </w:tcPr>
                <w:p>
                  <w:pPr>
                    <w:pStyle w:val="11"/>
                    <w:bidi w:val="0"/>
                    <w:rPr>
                      <w:rFonts w:hint="eastAsia"/>
                      <w:lang w:val="en-US" w:eastAsia="zh-CN"/>
                    </w:rPr>
                  </w:pPr>
                  <w:r>
                    <w:rPr>
                      <w:rFonts w:hint="eastAsia"/>
                      <w:lang w:val="en-US" w:eastAsia="zh-CN"/>
                    </w:rPr>
                    <w:t>1000t/a</w:t>
                  </w:r>
                </w:p>
              </w:tc>
              <w:tc>
                <w:tcPr>
                  <w:tcW w:w="1208" w:type="pct"/>
                  <w:noWrap w:val="0"/>
                  <w:vAlign w:val="center"/>
                </w:tcPr>
                <w:p>
                  <w:pPr>
                    <w:pStyle w:val="11"/>
                    <w:bidi w:val="0"/>
                    <w:rPr>
                      <w:rFonts w:hint="eastAsia"/>
                      <w:lang w:val="en-US" w:eastAsia="zh-CN"/>
                    </w:rPr>
                  </w:pPr>
                  <w:r>
                    <w:rPr>
                      <w:rFonts w:hint="eastAsia"/>
                      <w:lang w:val="en-US" w:eastAsia="zh-CN"/>
                    </w:rPr>
                    <w:t>/</w:t>
                  </w:r>
                </w:p>
              </w:tc>
            </w:tr>
          </w:tbl>
          <w:p>
            <w:pPr>
              <w:pStyle w:val="4"/>
              <w:bidi w:val="0"/>
            </w:pPr>
            <w:r>
              <w:rPr>
                <w:rFonts w:hint="eastAsia"/>
                <w:lang w:val="en-US" w:eastAsia="zh-CN"/>
              </w:rPr>
              <w:t>3、</w:t>
            </w:r>
            <w:r>
              <w:t>生产设备</w:t>
            </w:r>
          </w:p>
          <w:p>
            <w:pPr>
              <w:autoSpaceDE w:val="0"/>
              <w:autoSpaceDN w:val="0"/>
              <w:spacing w:line="360" w:lineRule="auto"/>
              <w:ind w:firstLine="480" w:firstLineChars="200"/>
            </w:pPr>
            <w:r>
              <w:t>本项目主要生产设备见表2-3。</w:t>
            </w:r>
          </w:p>
          <w:p>
            <w:pPr>
              <w:pStyle w:val="12"/>
              <w:widowControl w:val="0"/>
              <w:bidi w:val="0"/>
            </w:pPr>
            <w:r>
              <w:t xml:space="preserve">表2-3 </w:t>
            </w:r>
            <w:r>
              <w:rPr>
                <w:rFonts w:hint="eastAsia"/>
                <w:lang w:val="en-US" w:eastAsia="zh-CN"/>
              </w:rPr>
              <w:t xml:space="preserve"> </w:t>
            </w:r>
            <w:r>
              <w:t xml:space="preserve"> 本项目生产设备一览表</w:t>
            </w:r>
          </w:p>
          <w:tbl>
            <w:tblPr>
              <w:tblStyle w:val="8"/>
              <w:tblW w:w="497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521"/>
              <w:gridCol w:w="2564"/>
              <w:gridCol w:w="669"/>
              <w:gridCol w:w="669"/>
              <w:gridCol w:w="2015"/>
              <w:gridCol w:w="17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17" w:type="pct"/>
                  <w:noWrap w:val="0"/>
                  <w:vAlign w:val="center"/>
                </w:tcPr>
                <w:p>
                  <w:pPr>
                    <w:pStyle w:val="11"/>
                    <w:bidi w:val="0"/>
                  </w:pPr>
                  <w:r>
                    <w:t>序号</w:t>
                  </w:r>
                </w:p>
              </w:tc>
              <w:tc>
                <w:tcPr>
                  <w:tcW w:w="1560" w:type="pct"/>
                  <w:noWrap w:val="0"/>
                  <w:vAlign w:val="center"/>
                </w:tcPr>
                <w:p>
                  <w:pPr>
                    <w:pStyle w:val="11"/>
                    <w:bidi w:val="0"/>
                  </w:pPr>
                  <w:r>
                    <w:t>设备名称</w:t>
                  </w:r>
                </w:p>
              </w:tc>
              <w:tc>
                <w:tcPr>
                  <w:tcW w:w="407" w:type="pct"/>
                  <w:noWrap w:val="0"/>
                  <w:vAlign w:val="center"/>
                </w:tcPr>
                <w:p>
                  <w:pPr>
                    <w:pStyle w:val="11"/>
                    <w:bidi w:val="0"/>
                  </w:pPr>
                  <w:r>
                    <w:t>单位</w:t>
                  </w:r>
                </w:p>
              </w:tc>
              <w:tc>
                <w:tcPr>
                  <w:tcW w:w="407" w:type="pct"/>
                  <w:noWrap w:val="0"/>
                  <w:vAlign w:val="center"/>
                </w:tcPr>
                <w:p>
                  <w:pPr>
                    <w:pStyle w:val="11"/>
                    <w:bidi w:val="0"/>
                  </w:pPr>
                  <w:r>
                    <w:t>数量</w:t>
                  </w:r>
                </w:p>
              </w:tc>
              <w:tc>
                <w:tcPr>
                  <w:tcW w:w="1226" w:type="pct"/>
                  <w:noWrap w:val="0"/>
                  <w:vAlign w:val="center"/>
                </w:tcPr>
                <w:p>
                  <w:pPr>
                    <w:pStyle w:val="11"/>
                    <w:bidi w:val="0"/>
                  </w:pPr>
                  <w:r>
                    <w:rPr>
                      <w:rFonts w:hint="eastAsia"/>
                    </w:rPr>
                    <w:t>型号</w:t>
                  </w:r>
                </w:p>
              </w:tc>
              <w:tc>
                <w:tcPr>
                  <w:tcW w:w="1081" w:type="pct"/>
                  <w:noWrap w:val="0"/>
                  <w:vAlign w:val="center"/>
                </w:tcPr>
                <w:p>
                  <w:pPr>
                    <w:pStyle w:val="11"/>
                    <w:bidi w:val="0"/>
                    <w:rPr>
                      <w:rFonts w:hint="eastAsia"/>
                    </w:rPr>
                  </w:pPr>
                  <w:r>
                    <w:rPr>
                      <w:rFonts w:hint="eastAsia"/>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5000" w:type="pct"/>
                  <w:gridSpan w:val="6"/>
                  <w:noWrap w:val="0"/>
                  <w:vAlign w:val="center"/>
                </w:tcPr>
                <w:p>
                  <w:pPr>
                    <w:pStyle w:val="11"/>
                    <w:bidi w:val="0"/>
                    <w:rPr>
                      <w:rFonts w:hint="default"/>
                      <w:lang w:val="en-US" w:eastAsia="zh-CN"/>
                    </w:rPr>
                  </w:pPr>
                  <w:r>
                    <w:rPr>
                      <w:rFonts w:hint="eastAsia"/>
                      <w:lang w:val="en-US" w:eastAsia="zh-CN"/>
                    </w:rPr>
                    <w:t>一、高低压电力金具生产线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17" w:type="pct"/>
                  <w:noWrap w:val="0"/>
                  <w:vAlign w:val="center"/>
                </w:tcPr>
                <w:p>
                  <w:pPr>
                    <w:pStyle w:val="11"/>
                    <w:bidi w:val="0"/>
                    <w:rPr>
                      <w:rFonts w:hint="default"/>
                      <w:lang w:val="en-US" w:eastAsia="zh-CN"/>
                    </w:rPr>
                  </w:pPr>
                  <w:r>
                    <w:rPr>
                      <w:rFonts w:hint="eastAsia"/>
                      <w:lang w:val="en-US" w:eastAsia="zh-CN"/>
                    </w:rPr>
                    <w:t>1</w:t>
                  </w:r>
                </w:p>
              </w:tc>
              <w:tc>
                <w:tcPr>
                  <w:tcW w:w="1560" w:type="pct"/>
                  <w:noWrap w:val="0"/>
                  <w:vAlign w:val="top"/>
                </w:tcPr>
                <w:p>
                  <w:pPr>
                    <w:pStyle w:val="11"/>
                    <w:bidi w:val="0"/>
                    <w:rPr>
                      <w:rFonts w:hint="default"/>
                      <w:lang w:val="en-US" w:eastAsia="zh-CN"/>
                    </w:rPr>
                  </w:pPr>
                  <w:r>
                    <w:rPr>
                      <w:rFonts w:hint="eastAsia"/>
                      <w:lang w:val="en-US" w:eastAsia="zh-CN"/>
                    </w:rPr>
                    <w:t>锻造机</w:t>
                  </w:r>
                </w:p>
              </w:tc>
              <w:tc>
                <w:tcPr>
                  <w:tcW w:w="407" w:type="pct"/>
                  <w:noWrap w:val="0"/>
                  <w:vAlign w:val="top"/>
                </w:tcPr>
                <w:p>
                  <w:pPr>
                    <w:pStyle w:val="11"/>
                    <w:bidi w:val="0"/>
                    <w:rPr>
                      <w:rFonts w:hint="default"/>
                      <w:lang w:val="en-US" w:eastAsia="zh-CN"/>
                    </w:rPr>
                  </w:pPr>
                  <w:r>
                    <w:rPr>
                      <w:rFonts w:hint="eastAsia"/>
                      <w:lang w:val="en-US" w:eastAsia="zh-CN"/>
                    </w:rPr>
                    <w:t>台</w:t>
                  </w:r>
                </w:p>
              </w:tc>
              <w:tc>
                <w:tcPr>
                  <w:tcW w:w="407" w:type="pct"/>
                  <w:noWrap w:val="0"/>
                  <w:vAlign w:val="center"/>
                </w:tcPr>
                <w:p>
                  <w:pPr>
                    <w:pStyle w:val="11"/>
                    <w:bidi w:val="0"/>
                  </w:pPr>
                  <w:r>
                    <w:rPr>
                      <w:rFonts w:hint="eastAsia"/>
                      <w:lang w:val="en-US" w:eastAsia="zh-CN"/>
                    </w:rPr>
                    <w:t>4</w:t>
                  </w:r>
                </w:p>
              </w:tc>
              <w:tc>
                <w:tcPr>
                  <w:tcW w:w="1226" w:type="pct"/>
                  <w:noWrap w:val="0"/>
                  <w:vAlign w:val="center"/>
                </w:tcPr>
                <w:p>
                  <w:pPr>
                    <w:pStyle w:val="11"/>
                    <w:bidi w:val="0"/>
                    <w:rPr>
                      <w:rFonts w:hint="default"/>
                      <w:lang w:val="en-US" w:eastAsia="zh-CN"/>
                    </w:rPr>
                  </w:pPr>
                  <w:r>
                    <w:rPr>
                      <w:rFonts w:hint="eastAsia"/>
                      <w:lang w:val="en-US" w:eastAsia="zh-CN"/>
                    </w:rPr>
                    <w:t>/</w:t>
                  </w:r>
                </w:p>
              </w:tc>
              <w:tc>
                <w:tcPr>
                  <w:tcW w:w="1081" w:type="pct"/>
                  <w:noWrap w:val="0"/>
                  <w:vAlign w:val="center"/>
                </w:tcPr>
                <w:p>
                  <w:pPr>
                    <w:pStyle w:val="11"/>
                    <w:bidi w:val="0"/>
                    <w:rPr>
                      <w:rFonts w:hint="default"/>
                      <w:lang w:val="en-US" w:eastAsia="zh-CN"/>
                    </w:rPr>
                  </w:pPr>
                  <w:r>
                    <w:rPr>
                      <w:rFonts w:hint="eastAsia"/>
                      <w:lang w:val="en-US" w:eastAsia="zh-CN"/>
                    </w:rPr>
                    <w:t>铝合金锻造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17" w:type="pct"/>
                  <w:noWrap w:val="0"/>
                  <w:vAlign w:val="center"/>
                </w:tcPr>
                <w:p>
                  <w:pPr>
                    <w:pStyle w:val="11"/>
                    <w:bidi w:val="0"/>
                    <w:rPr>
                      <w:rFonts w:hint="default"/>
                      <w:lang w:val="en-US" w:eastAsia="zh-CN"/>
                    </w:rPr>
                  </w:pPr>
                  <w:r>
                    <w:rPr>
                      <w:rFonts w:hint="eastAsia"/>
                      <w:lang w:val="en-US" w:eastAsia="zh-CN"/>
                    </w:rPr>
                    <w:t>2</w:t>
                  </w:r>
                </w:p>
              </w:tc>
              <w:tc>
                <w:tcPr>
                  <w:tcW w:w="1560" w:type="pct"/>
                  <w:noWrap w:val="0"/>
                  <w:vAlign w:val="top"/>
                </w:tcPr>
                <w:p>
                  <w:pPr>
                    <w:pStyle w:val="11"/>
                    <w:bidi w:val="0"/>
                    <w:ind w:firstLine="0" w:firstLineChars="0"/>
                    <w:rPr>
                      <w:rFonts w:hint="default"/>
                      <w:lang w:val="en-US" w:eastAsia="zh-CN"/>
                    </w:rPr>
                  </w:pPr>
                  <w:r>
                    <w:rPr>
                      <w:rFonts w:hint="eastAsia"/>
                      <w:lang w:val="en-US" w:eastAsia="zh-CN"/>
                    </w:rPr>
                    <w:t>数控车床</w:t>
                  </w:r>
                </w:p>
              </w:tc>
              <w:tc>
                <w:tcPr>
                  <w:tcW w:w="407" w:type="pct"/>
                  <w:noWrap w:val="0"/>
                  <w:vAlign w:val="top"/>
                </w:tcPr>
                <w:p>
                  <w:pPr>
                    <w:pStyle w:val="11"/>
                    <w:bidi w:val="0"/>
                    <w:ind w:firstLine="0" w:firstLineChars="0"/>
                    <w:rPr>
                      <w:rFonts w:hint="default"/>
                      <w:lang w:val="en-US" w:eastAsia="zh-CN"/>
                    </w:rPr>
                  </w:pPr>
                  <w:r>
                    <w:rPr>
                      <w:rFonts w:hint="eastAsia"/>
                      <w:lang w:val="en-US" w:eastAsia="zh-CN"/>
                    </w:rPr>
                    <w:t>台</w:t>
                  </w:r>
                </w:p>
              </w:tc>
              <w:tc>
                <w:tcPr>
                  <w:tcW w:w="407" w:type="pct"/>
                  <w:noWrap w:val="0"/>
                  <w:vAlign w:val="center"/>
                </w:tcPr>
                <w:p>
                  <w:pPr>
                    <w:pStyle w:val="11"/>
                    <w:bidi w:val="0"/>
                    <w:ind w:firstLine="0" w:firstLineChars="0"/>
                    <w:rPr>
                      <w:lang w:val="en-US" w:eastAsia="zh-CN"/>
                    </w:rPr>
                  </w:pPr>
                  <w:r>
                    <w:rPr>
                      <w:rFonts w:hint="eastAsia"/>
                      <w:lang w:val="en-US" w:eastAsia="zh-CN"/>
                    </w:rPr>
                    <w:t>4</w:t>
                  </w:r>
                </w:p>
              </w:tc>
              <w:tc>
                <w:tcPr>
                  <w:tcW w:w="1226" w:type="pct"/>
                  <w:noWrap w:val="0"/>
                  <w:vAlign w:val="center"/>
                </w:tcPr>
                <w:p>
                  <w:pPr>
                    <w:pStyle w:val="11"/>
                    <w:bidi w:val="0"/>
                    <w:rPr>
                      <w:rFonts w:hint="eastAsia"/>
                      <w:lang w:val="en-US" w:eastAsia="zh-CN"/>
                    </w:rPr>
                  </w:pPr>
                  <w:r>
                    <w:rPr>
                      <w:rFonts w:hint="eastAsia"/>
                      <w:lang w:val="en-US" w:eastAsia="zh-CN"/>
                    </w:rPr>
                    <w:t>/</w:t>
                  </w:r>
                </w:p>
              </w:tc>
              <w:tc>
                <w:tcPr>
                  <w:tcW w:w="1081" w:type="pct"/>
                  <w:noWrap w:val="0"/>
                  <w:vAlign w:val="center"/>
                </w:tcPr>
                <w:p>
                  <w:pPr>
                    <w:pStyle w:val="11"/>
                    <w:bidi w:val="0"/>
                    <w:ind w:firstLine="0" w:firstLineChars="0"/>
                    <w:rPr>
                      <w:rFonts w:hint="default"/>
                      <w:lang w:val="en-US" w:eastAsia="zh-CN"/>
                    </w:rPr>
                  </w:pPr>
                  <w:r>
                    <w:rPr>
                      <w:rFonts w:hint="eastAsia"/>
                      <w:lang w:val="en-US" w:eastAsia="zh-CN"/>
                    </w:rPr>
                    <w:t>机加工设备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17" w:type="pct"/>
                  <w:noWrap w:val="0"/>
                  <w:vAlign w:val="center"/>
                </w:tcPr>
                <w:p>
                  <w:pPr>
                    <w:pStyle w:val="11"/>
                    <w:bidi w:val="0"/>
                    <w:rPr>
                      <w:rFonts w:hint="default"/>
                      <w:lang w:val="en-US" w:eastAsia="zh-CN"/>
                    </w:rPr>
                  </w:pPr>
                  <w:r>
                    <w:rPr>
                      <w:rFonts w:hint="eastAsia"/>
                      <w:lang w:val="en-US" w:eastAsia="zh-CN"/>
                    </w:rPr>
                    <w:t>3</w:t>
                  </w:r>
                </w:p>
              </w:tc>
              <w:tc>
                <w:tcPr>
                  <w:tcW w:w="1560" w:type="pct"/>
                  <w:noWrap w:val="0"/>
                  <w:vAlign w:val="top"/>
                </w:tcPr>
                <w:p>
                  <w:pPr>
                    <w:pStyle w:val="11"/>
                    <w:bidi w:val="0"/>
                    <w:ind w:firstLine="0" w:firstLineChars="0"/>
                    <w:rPr>
                      <w:rFonts w:hint="default"/>
                      <w:lang w:val="en-US" w:eastAsia="zh-CN"/>
                    </w:rPr>
                  </w:pPr>
                  <w:r>
                    <w:rPr>
                      <w:rFonts w:hint="eastAsia"/>
                      <w:lang w:val="en-US" w:eastAsia="zh-CN"/>
                    </w:rPr>
                    <w:t>加工中心</w:t>
                  </w:r>
                </w:p>
              </w:tc>
              <w:tc>
                <w:tcPr>
                  <w:tcW w:w="407" w:type="pct"/>
                  <w:noWrap w:val="0"/>
                  <w:vAlign w:val="top"/>
                </w:tcPr>
                <w:p>
                  <w:pPr>
                    <w:pStyle w:val="11"/>
                    <w:bidi w:val="0"/>
                    <w:ind w:firstLine="0" w:firstLineChars="0"/>
                    <w:rPr>
                      <w:rFonts w:hint="default"/>
                      <w:lang w:val="en-US" w:eastAsia="zh-CN"/>
                    </w:rPr>
                  </w:pPr>
                  <w:r>
                    <w:rPr>
                      <w:rFonts w:hint="eastAsia"/>
                      <w:lang w:val="en-US" w:eastAsia="zh-CN"/>
                    </w:rPr>
                    <w:t>台</w:t>
                  </w:r>
                </w:p>
              </w:tc>
              <w:tc>
                <w:tcPr>
                  <w:tcW w:w="407" w:type="pct"/>
                  <w:noWrap w:val="0"/>
                  <w:vAlign w:val="center"/>
                </w:tcPr>
                <w:p>
                  <w:pPr>
                    <w:pStyle w:val="11"/>
                    <w:bidi w:val="0"/>
                    <w:ind w:firstLine="0" w:firstLineChars="0"/>
                    <w:rPr>
                      <w:lang w:val="en-US" w:eastAsia="zh-CN"/>
                    </w:rPr>
                  </w:pPr>
                  <w:r>
                    <w:rPr>
                      <w:rFonts w:hint="eastAsia"/>
                      <w:lang w:val="en-US" w:eastAsia="zh-CN"/>
                    </w:rPr>
                    <w:t>10</w:t>
                  </w:r>
                </w:p>
              </w:tc>
              <w:tc>
                <w:tcPr>
                  <w:tcW w:w="1226" w:type="pct"/>
                  <w:noWrap w:val="0"/>
                  <w:vAlign w:val="center"/>
                </w:tcPr>
                <w:p>
                  <w:pPr>
                    <w:pStyle w:val="11"/>
                    <w:bidi w:val="0"/>
                    <w:rPr>
                      <w:rFonts w:hint="eastAsia"/>
                      <w:lang w:val="en-US" w:eastAsia="zh-CN"/>
                    </w:rPr>
                  </w:pPr>
                  <w:r>
                    <w:rPr>
                      <w:rFonts w:hint="eastAsia"/>
                      <w:lang w:val="en-US" w:eastAsia="zh-CN"/>
                    </w:rPr>
                    <w:t>/</w:t>
                  </w:r>
                </w:p>
              </w:tc>
              <w:tc>
                <w:tcPr>
                  <w:tcW w:w="1081" w:type="pct"/>
                  <w:noWrap w:val="0"/>
                  <w:vAlign w:val="center"/>
                </w:tcPr>
                <w:p>
                  <w:pPr>
                    <w:pStyle w:val="11"/>
                    <w:bidi w:val="0"/>
                    <w:ind w:firstLine="0" w:firstLineChars="0"/>
                    <w:rPr>
                      <w:rFonts w:hint="default"/>
                      <w:lang w:val="en-US" w:eastAsia="zh-CN"/>
                    </w:rPr>
                  </w:pPr>
                  <w:r>
                    <w:rPr>
                      <w:rFonts w:hint="eastAsia"/>
                      <w:lang w:val="en-US" w:eastAsia="zh-CN"/>
                    </w:rPr>
                    <w:t>机加工设备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17" w:type="pct"/>
                  <w:noWrap w:val="0"/>
                  <w:vAlign w:val="center"/>
                </w:tcPr>
                <w:p>
                  <w:pPr>
                    <w:pStyle w:val="11"/>
                    <w:bidi w:val="0"/>
                    <w:rPr>
                      <w:rFonts w:hint="default"/>
                      <w:lang w:val="en-US" w:eastAsia="zh-CN"/>
                    </w:rPr>
                  </w:pPr>
                  <w:r>
                    <w:rPr>
                      <w:rFonts w:hint="eastAsia"/>
                      <w:lang w:val="en-US" w:eastAsia="zh-CN"/>
                    </w:rPr>
                    <w:t>4</w:t>
                  </w:r>
                </w:p>
              </w:tc>
              <w:tc>
                <w:tcPr>
                  <w:tcW w:w="1560" w:type="pct"/>
                  <w:noWrap w:val="0"/>
                  <w:vAlign w:val="top"/>
                </w:tcPr>
                <w:p>
                  <w:pPr>
                    <w:pStyle w:val="11"/>
                    <w:bidi w:val="0"/>
                    <w:ind w:firstLine="0" w:firstLineChars="0"/>
                    <w:rPr>
                      <w:rFonts w:hint="default"/>
                      <w:lang w:val="en-US" w:eastAsia="zh-CN"/>
                    </w:rPr>
                  </w:pPr>
                  <w:r>
                    <w:rPr>
                      <w:rFonts w:hint="eastAsia"/>
                      <w:lang w:val="en-US" w:eastAsia="zh-CN"/>
                    </w:rPr>
                    <w:t>折弯机</w:t>
                  </w:r>
                </w:p>
              </w:tc>
              <w:tc>
                <w:tcPr>
                  <w:tcW w:w="407" w:type="pct"/>
                  <w:noWrap w:val="0"/>
                  <w:vAlign w:val="top"/>
                </w:tcPr>
                <w:p>
                  <w:pPr>
                    <w:pStyle w:val="11"/>
                    <w:bidi w:val="0"/>
                    <w:ind w:firstLine="0" w:firstLineChars="0"/>
                    <w:rPr>
                      <w:rFonts w:hint="eastAsia"/>
                      <w:lang w:val="en-US" w:eastAsia="zh-CN"/>
                    </w:rPr>
                  </w:pPr>
                  <w:r>
                    <w:rPr>
                      <w:rFonts w:hint="eastAsia"/>
                      <w:lang w:val="en-US" w:eastAsia="zh-CN"/>
                    </w:rPr>
                    <w:t>台</w:t>
                  </w:r>
                </w:p>
              </w:tc>
              <w:tc>
                <w:tcPr>
                  <w:tcW w:w="407" w:type="pct"/>
                  <w:noWrap w:val="0"/>
                  <w:vAlign w:val="center"/>
                </w:tcPr>
                <w:p>
                  <w:pPr>
                    <w:pStyle w:val="11"/>
                    <w:bidi w:val="0"/>
                    <w:ind w:firstLine="0" w:firstLineChars="0"/>
                    <w:rPr>
                      <w:rFonts w:hint="eastAsia"/>
                      <w:lang w:val="en-US" w:eastAsia="zh-CN"/>
                    </w:rPr>
                  </w:pPr>
                  <w:r>
                    <w:rPr>
                      <w:rFonts w:hint="eastAsia"/>
                      <w:lang w:val="en-US" w:eastAsia="zh-CN"/>
                    </w:rPr>
                    <w:t>4</w:t>
                  </w:r>
                </w:p>
              </w:tc>
              <w:tc>
                <w:tcPr>
                  <w:tcW w:w="1226" w:type="pct"/>
                  <w:noWrap w:val="0"/>
                  <w:vAlign w:val="center"/>
                </w:tcPr>
                <w:p>
                  <w:pPr>
                    <w:pStyle w:val="11"/>
                    <w:bidi w:val="0"/>
                    <w:ind w:firstLine="0" w:firstLineChars="0"/>
                    <w:rPr>
                      <w:rFonts w:hint="eastAsia"/>
                      <w:lang w:val="en-US" w:eastAsia="zh-CN"/>
                    </w:rPr>
                  </w:pPr>
                  <w:r>
                    <w:rPr>
                      <w:rFonts w:hint="eastAsia"/>
                      <w:lang w:val="en-US" w:eastAsia="zh-CN"/>
                    </w:rPr>
                    <w:t>/</w:t>
                  </w:r>
                </w:p>
              </w:tc>
              <w:tc>
                <w:tcPr>
                  <w:tcW w:w="1081" w:type="pct"/>
                  <w:noWrap w:val="0"/>
                  <w:vAlign w:val="center"/>
                </w:tcPr>
                <w:p>
                  <w:pPr>
                    <w:pStyle w:val="11"/>
                    <w:bidi w:val="0"/>
                    <w:ind w:firstLine="0" w:firstLineChars="0"/>
                    <w:rPr>
                      <w:rFonts w:hint="default"/>
                      <w:lang w:val="en-US" w:eastAsia="zh-CN"/>
                    </w:rPr>
                  </w:pPr>
                  <w:r>
                    <w:rPr>
                      <w:rFonts w:hint="eastAsia"/>
                      <w:lang w:val="en-US" w:eastAsia="zh-CN"/>
                    </w:rPr>
                    <w:t>钢条折弯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5000" w:type="pct"/>
                  <w:gridSpan w:val="6"/>
                  <w:noWrap w:val="0"/>
                  <w:vAlign w:val="center"/>
                </w:tcPr>
                <w:p>
                  <w:pPr>
                    <w:pStyle w:val="11"/>
                    <w:bidi w:val="0"/>
                    <w:rPr>
                      <w:rFonts w:hint="default"/>
                      <w:lang w:val="en-US" w:eastAsia="zh-CN"/>
                    </w:rPr>
                  </w:pPr>
                  <w:r>
                    <w:rPr>
                      <w:rFonts w:hint="eastAsia"/>
                      <w:lang w:val="en-US" w:eastAsia="zh-CN"/>
                    </w:rPr>
                    <w:t>二、高低压交直流复合绝缘子生产线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17" w:type="pct"/>
                  <w:noWrap w:val="0"/>
                  <w:vAlign w:val="center"/>
                </w:tcPr>
                <w:p>
                  <w:pPr>
                    <w:pStyle w:val="11"/>
                    <w:bidi w:val="0"/>
                    <w:rPr>
                      <w:rFonts w:hint="default"/>
                      <w:lang w:val="en-US" w:eastAsia="zh-CN"/>
                    </w:rPr>
                  </w:pPr>
                  <w:r>
                    <w:rPr>
                      <w:rFonts w:hint="eastAsia"/>
                      <w:lang w:val="en-US" w:eastAsia="zh-CN"/>
                    </w:rPr>
                    <w:t>5</w:t>
                  </w:r>
                </w:p>
              </w:tc>
              <w:tc>
                <w:tcPr>
                  <w:tcW w:w="1560" w:type="pct"/>
                  <w:noWrap w:val="0"/>
                  <w:vAlign w:val="center"/>
                </w:tcPr>
                <w:p>
                  <w:pPr>
                    <w:pStyle w:val="11"/>
                    <w:bidi w:val="0"/>
                    <w:rPr>
                      <w:rFonts w:hint="default"/>
                      <w:lang w:val="en-US" w:eastAsia="zh-CN"/>
                    </w:rPr>
                  </w:pPr>
                  <w:r>
                    <w:rPr>
                      <w:rFonts w:hint="eastAsia"/>
                      <w:lang w:val="en-US" w:eastAsia="zh-CN"/>
                    </w:rPr>
                    <w:t>捏合机</w:t>
                  </w:r>
                </w:p>
              </w:tc>
              <w:tc>
                <w:tcPr>
                  <w:tcW w:w="407" w:type="pct"/>
                  <w:noWrap w:val="0"/>
                  <w:vAlign w:val="top"/>
                </w:tcPr>
                <w:p>
                  <w:pPr>
                    <w:pStyle w:val="11"/>
                    <w:bidi w:val="0"/>
                    <w:rPr>
                      <w:rFonts w:hint="default"/>
                      <w:lang w:val="en-US" w:eastAsia="zh-CN"/>
                    </w:rPr>
                  </w:pPr>
                  <w:r>
                    <w:rPr>
                      <w:rFonts w:hint="eastAsia"/>
                      <w:lang w:val="en-US" w:eastAsia="zh-CN"/>
                    </w:rPr>
                    <w:t>台</w:t>
                  </w:r>
                </w:p>
              </w:tc>
              <w:tc>
                <w:tcPr>
                  <w:tcW w:w="407" w:type="pct"/>
                  <w:noWrap w:val="0"/>
                  <w:vAlign w:val="center"/>
                </w:tcPr>
                <w:p>
                  <w:pPr>
                    <w:pStyle w:val="11"/>
                    <w:bidi w:val="0"/>
                    <w:rPr>
                      <w:rFonts w:hint="default"/>
                      <w:lang w:val="en-US" w:eastAsia="zh-CN"/>
                    </w:rPr>
                  </w:pPr>
                  <w:r>
                    <w:rPr>
                      <w:rFonts w:hint="eastAsia"/>
                      <w:lang w:val="en-US" w:eastAsia="zh-CN"/>
                    </w:rPr>
                    <w:t>3</w:t>
                  </w:r>
                </w:p>
              </w:tc>
              <w:tc>
                <w:tcPr>
                  <w:tcW w:w="1226" w:type="pct"/>
                  <w:noWrap w:val="0"/>
                  <w:vAlign w:val="center"/>
                </w:tcPr>
                <w:p>
                  <w:pPr>
                    <w:pStyle w:val="11"/>
                    <w:bidi w:val="0"/>
                    <w:rPr>
                      <w:rFonts w:hint="eastAsia"/>
                      <w:lang w:val="en-US" w:eastAsia="zh-CN"/>
                    </w:rPr>
                  </w:pPr>
                  <w:r>
                    <w:rPr>
                      <w:rFonts w:hint="eastAsia"/>
                      <w:lang w:val="en-US" w:eastAsia="zh-CN"/>
                    </w:rPr>
                    <w:t>/</w:t>
                  </w:r>
                </w:p>
              </w:tc>
              <w:tc>
                <w:tcPr>
                  <w:tcW w:w="1081" w:type="pct"/>
                  <w:noWrap w:val="0"/>
                  <w:vAlign w:val="center"/>
                </w:tcPr>
                <w:p>
                  <w:pPr>
                    <w:pStyle w:val="11"/>
                    <w:bidi w:val="0"/>
                    <w:rPr>
                      <w:rFonts w:hint="default"/>
                      <w:lang w:val="en-US" w:eastAsia="zh-CN"/>
                    </w:rPr>
                  </w:pPr>
                  <w:r>
                    <w:rPr>
                      <w:rFonts w:hint="eastAsia"/>
                      <w:lang w:val="en-US" w:eastAsia="zh-CN"/>
                    </w:rPr>
                    <w:t>混胶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17" w:type="pct"/>
                  <w:noWrap w:val="0"/>
                  <w:vAlign w:val="center"/>
                </w:tcPr>
                <w:p>
                  <w:pPr>
                    <w:pStyle w:val="11"/>
                    <w:bidi w:val="0"/>
                    <w:rPr>
                      <w:rFonts w:hint="default"/>
                      <w:lang w:val="en-US" w:eastAsia="zh-CN"/>
                    </w:rPr>
                  </w:pPr>
                  <w:r>
                    <w:rPr>
                      <w:rFonts w:hint="eastAsia"/>
                      <w:lang w:val="en-US" w:eastAsia="zh-CN"/>
                    </w:rPr>
                    <w:t>6</w:t>
                  </w:r>
                </w:p>
              </w:tc>
              <w:tc>
                <w:tcPr>
                  <w:tcW w:w="1560" w:type="pct"/>
                  <w:noWrap w:val="0"/>
                  <w:vAlign w:val="center"/>
                </w:tcPr>
                <w:p>
                  <w:pPr>
                    <w:pStyle w:val="11"/>
                    <w:bidi w:val="0"/>
                    <w:rPr>
                      <w:rFonts w:hint="default"/>
                      <w:lang w:val="en-US" w:eastAsia="zh-CN"/>
                    </w:rPr>
                  </w:pPr>
                  <w:r>
                    <w:rPr>
                      <w:rFonts w:hint="eastAsia"/>
                      <w:lang w:val="en-US" w:eastAsia="zh-CN"/>
                    </w:rPr>
                    <w:t>过滤机</w:t>
                  </w:r>
                </w:p>
              </w:tc>
              <w:tc>
                <w:tcPr>
                  <w:tcW w:w="407" w:type="pct"/>
                  <w:noWrap w:val="0"/>
                  <w:vAlign w:val="top"/>
                </w:tcPr>
                <w:p>
                  <w:pPr>
                    <w:pStyle w:val="11"/>
                    <w:bidi w:val="0"/>
                    <w:rPr>
                      <w:rFonts w:hint="default"/>
                      <w:lang w:val="en-US" w:eastAsia="zh-CN"/>
                    </w:rPr>
                  </w:pPr>
                  <w:r>
                    <w:rPr>
                      <w:rFonts w:hint="eastAsia"/>
                      <w:lang w:val="en-US" w:eastAsia="zh-CN"/>
                    </w:rPr>
                    <w:t>台</w:t>
                  </w:r>
                </w:p>
              </w:tc>
              <w:tc>
                <w:tcPr>
                  <w:tcW w:w="407" w:type="pct"/>
                  <w:noWrap w:val="0"/>
                  <w:vAlign w:val="center"/>
                </w:tcPr>
                <w:p>
                  <w:pPr>
                    <w:pStyle w:val="11"/>
                    <w:bidi w:val="0"/>
                    <w:rPr>
                      <w:rFonts w:hint="default"/>
                      <w:lang w:val="en-US" w:eastAsia="zh-CN"/>
                    </w:rPr>
                  </w:pPr>
                  <w:r>
                    <w:rPr>
                      <w:rFonts w:hint="eastAsia"/>
                      <w:lang w:val="en-US" w:eastAsia="zh-CN"/>
                    </w:rPr>
                    <w:t>2</w:t>
                  </w:r>
                </w:p>
              </w:tc>
              <w:tc>
                <w:tcPr>
                  <w:tcW w:w="1226" w:type="pct"/>
                  <w:noWrap w:val="0"/>
                  <w:vAlign w:val="center"/>
                </w:tcPr>
                <w:p>
                  <w:pPr>
                    <w:pStyle w:val="11"/>
                    <w:bidi w:val="0"/>
                    <w:rPr>
                      <w:rFonts w:hint="eastAsia"/>
                      <w:lang w:val="en-US" w:eastAsia="zh-CN"/>
                    </w:rPr>
                  </w:pPr>
                  <w:r>
                    <w:rPr>
                      <w:rFonts w:hint="eastAsia"/>
                      <w:lang w:val="en-US" w:eastAsia="zh-CN"/>
                    </w:rPr>
                    <w:t>/</w:t>
                  </w:r>
                </w:p>
              </w:tc>
              <w:tc>
                <w:tcPr>
                  <w:tcW w:w="1081" w:type="pct"/>
                  <w:noWrap w:val="0"/>
                  <w:vAlign w:val="center"/>
                </w:tcPr>
                <w:p>
                  <w:pPr>
                    <w:pStyle w:val="11"/>
                    <w:bidi w:val="0"/>
                    <w:rPr>
                      <w:rFonts w:hint="eastAsia"/>
                    </w:rPr>
                  </w:pPr>
                  <w:r>
                    <w:rPr>
                      <w:rFonts w:hint="eastAsia"/>
                      <w:lang w:val="en-US" w:eastAsia="zh-CN"/>
                    </w:rPr>
                    <w:t>混胶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17" w:type="pct"/>
                  <w:noWrap w:val="0"/>
                  <w:vAlign w:val="center"/>
                </w:tcPr>
                <w:p>
                  <w:pPr>
                    <w:pStyle w:val="11"/>
                    <w:bidi w:val="0"/>
                    <w:ind w:firstLine="0" w:firstLineChars="0"/>
                    <w:rPr>
                      <w:rFonts w:hint="default"/>
                      <w:lang w:val="en-US" w:eastAsia="zh-CN"/>
                    </w:rPr>
                  </w:pPr>
                  <w:r>
                    <w:rPr>
                      <w:rFonts w:hint="eastAsia"/>
                      <w:lang w:val="en-US" w:eastAsia="zh-CN"/>
                    </w:rPr>
                    <w:t>7</w:t>
                  </w:r>
                </w:p>
              </w:tc>
              <w:tc>
                <w:tcPr>
                  <w:tcW w:w="1560" w:type="pct"/>
                  <w:noWrap w:val="0"/>
                  <w:vAlign w:val="center"/>
                </w:tcPr>
                <w:p>
                  <w:pPr>
                    <w:pStyle w:val="11"/>
                    <w:bidi w:val="0"/>
                    <w:ind w:firstLine="0" w:firstLineChars="0"/>
                    <w:rPr>
                      <w:rFonts w:hint="default"/>
                      <w:lang w:val="en-US" w:eastAsia="zh-CN"/>
                    </w:rPr>
                  </w:pPr>
                  <w:r>
                    <w:rPr>
                      <w:rFonts w:hint="eastAsia"/>
                      <w:lang w:val="en-US" w:eastAsia="zh-CN"/>
                    </w:rPr>
                    <w:t>开炼机</w:t>
                  </w:r>
                </w:p>
              </w:tc>
              <w:tc>
                <w:tcPr>
                  <w:tcW w:w="407" w:type="pct"/>
                  <w:noWrap w:val="0"/>
                  <w:vAlign w:val="top"/>
                </w:tcPr>
                <w:p>
                  <w:pPr>
                    <w:pStyle w:val="11"/>
                    <w:bidi w:val="0"/>
                    <w:ind w:firstLine="0" w:firstLineChars="0"/>
                    <w:rPr>
                      <w:rFonts w:hint="default"/>
                      <w:lang w:val="en-US" w:eastAsia="zh-CN"/>
                    </w:rPr>
                  </w:pPr>
                  <w:r>
                    <w:rPr>
                      <w:rFonts w:hint="eastAsia"/>
                      <w:lang w:val="en-US" w:eastAsia="zh-CN"/>
                    </w:rPr>
                    <w:t>台</w:t>
                  </w:r>
                </w:p>
              </w:tc>
              <w:tc>
                <w:tcPr>
                  <w:tcW w:w="407" w:type="pct"/>
                  <w:noWrap w:val="0"/>
                  <w:vAlign w:val="center"/>
                </w:tcPr>
                <w:p>
                  <w:pPr>
                    <w:pStyle w:val="11"/>
                    <w:bidi w:val="0"/>
                    <w:ind w:firstLine="0" w:firstLineChars="0"/>
                    <w:rPr>
                      <w:rFonts w:hint="default"/>
                      <w:lang w:val="en-US" w:eastAsia="zh-CN"/>
                    </w:rPr>
                  </w:pPr>
                  <w:r>
                    <w:rPr>
                      <w:rFonts w:hint="eastAsia"/>
                      <w:lang w:val="en-US" w:eastAsia="zh-CN"/>
                    </w:rPr>
                    <w:t>3</w:t>
                  </w:r>
                </w:p>
              </w:tc>
              <w:tc>
                <w:tcPr>
                  <w:tcW w:w="1226" w:type="pct"/>
                  <w:noWrap w:val="0"/>
                  <w:vAlign w:val="center"/>
                </w:tcPr>
                <w:p>
                  <w:pPr>
                    <w:pStyle w:val="11"/>
                    <w:bidi w:val="0"/>
                    <w:ind w:firstLine="0" w:firstLineChars="0"/>
                    <w:rPr>
                      <w:rFonts w:hint="default"/>
                      <w:lang w:val="en-US" w:eastAsia="zh-CN"/>
                    </w:rPr>
                  </w:pPr>
                  <w:r>
                    <w:rPr>
                      <w:rFonts w:hint="eastAsia"/>
                      <w:lang w:val="en-US" w:eastAsia="zh-CN"/>
                    </w:rPr>
                    <w:t>/</w:t>
                  </w:r>
                </w:p>
              </w:tc>
              <w:tc>
                <w:tcPr>
                  <w:tcW w:w="1081" w:type="pct"/>
                  <w:noWrap w:val="0"/>
                  <w:vAlign w:val="center"/>
                </w:tcPr>
                <w:p>
                  <w:pPr>
                    <w:pStyle w:val="11"/>
                    <w:bidi w:val="0"/>
                    <w:ind w:firstLine="0" w:firstLineChars="0"/>
                    <w:rPr>
                      <w:rFonts w:hint="eastAsia"/>
                      <w:lang w:val="en-US" w:eastAsia="zh-CN"/>
                    </w:rPr>
                  </w:pPr>
                  <w:r>
                    <w:rPr>
                      <w:rFonts w:hint="eastAsia"/>
                      <w:lang w:val="en-US" w:eastAsia="zh-CN"/>
                    </w:rPr>
                    <w:t>混胶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17" w:type="pct"/>
                  <w:noWrap w:val="0"/>
                  <w:vAlign w:val="center"/>
                </w:tcPr>
                <w:p>
                  <w:pPr>
                    <w:pStyle w:val="11"/>
                    <w:bidi w:val="0"/>
                    <w:ind w:firstLine="0" w:firstLineChars="0"/>
                    <w:rPr>
                      <w:rFonts w:hint="default"/>
                      <w:lang w:val="en-US" w:eastAsia="zh-CN"/>
                    </w:rPr>
                  </w:pPr>
                  <w:r>
                    <w:rPr>
                      <w:rFonts w:hint="eastAsia"/>
                      <w:lang w:val="en-US" w:eastAsia="zh-CN"/>
                    </w:rPr>
                    <w:t>8</w:t>
                  </w:r>
                </w:p>
              </w:tc>
              <w:tc>
                <w:tcPr>
                  <w:tcW w:w="1560" w:type="pct"/>
                  <w:noWrap w:val="0"/>
                  <w:vAlign w:val="top"/>
                </w:tcPr>
                <w:p>
                  <w:pPr>
                    <w:pStyle w:val="11"/>
                    <w:bidi w:val="0"/>
                    <w:ind w:firstLine="0" w:firstLineChars="0"/>
                    <w:rPr>
                      <w:rFonts w:hint="default"/>
                      <w:lang w:val="en-US" w:eastAsia="zh-CN"/>
                    </w:rPr>
                  </w:pPr>
                  <w:r>
                    <w:rPr>
                      <w:rFonts w:hint="eastAsia"/>
                      <w:lang w:val="en-US" w:eastAsia="zh-CN"/>
                    </w:rPr>
                    <w:t>模压成型机</w:t>
                  </w:r>
                </w:p>
              </w:tc>
              <w:tc>
                <w:tcPr>
                  <w:tcW w:w="407" w:type="pct"/>
                  <w:noWrap w:val="0"/>
                  <w:vAlign w:val="top"/>
                </w:tcPr>
                <w:p>
                  <w:pPr>
                    <w:pStyle w:val="11"/>
                    <w:bidi w:val="0"/>
                    <w:ind w:firstLine="0" w:firstLineChars="0"/>
                    <w:rPr>
                      <w:rFonts w:hint="default"/>
                      <w:lang w:val="en-US" w:eastAsia="zh-CN"/>
                    </w:rPr>
                  </w:pPr>
                  <w:r>
                    <w:rPr>
                      <w:rFonts w:hint="eastAsia"/>
                      <w:lang w:val="en-US" w:eastAsia="zh-CN"/>
                    </w:rPr>
                    <w:t>台</w:t>
                  </w:r>
                </w:p>
              </w:tc>
              <w:tc>
                <w:tcPr>
                  <w:tcW w:w="407" w:type="pct"/>
                  <w:noWrap w:val="0"/>
                  <w:vAlign w:val="center"/>
                </w:tcPr>
                <w:p>
                  <w:pPr>
                    <w:pStyle w:val="11"/>
                    <w:bidi w:val="0"/>
                    <w:ind w:firstLine="0" w:firstLineChars="0"/>
                    <w:rPr>
                      <w:rFonts w:hint="default"/>
                      <w:lang w:val="en-US" w:eastAsia="zh-CN"/>
                    </w:rPr>
                  </w:pPr>
                  <w:r>
                    <w:rPr>
                      <w:rFonts w:hint="eastAsia"/>
                      <w:lang w:val="en-US" w:eastAsia="zh-CN"/>
                    </w:rPr>
                    <w:t>15</w:t>
                  </w:r>
                </w:p>
              </w:tc>
              <w:tc>
                <w:tcPr>
                  <w:tcW w:w="1226" w:type="pct"/>
                  <w:noWrap w:val="0"/>
                  <w:vAlign w:val="center"/>
                </w:tcPr>
                <w:p>
                  <w:pPr>
                    <w:pStyle w:val="11"/>
                    <w:bidi w:val="0"/>
                    <w:ind w:firstLine="0" w:firstLineChars="0"/>
                    <w:rPr>
                      <w:lang w:val="en-US" w:eastAsia="zh-CN"/>
                    </w:rPr>
                  </w:pPr>
                  <w:r>
                    <w:rPr>
                      <w:rFonts w:hint="eastAsia"/>
                      <w:lang w:val="en-US" w:eastAsia="zh-CN"/>
                    </w:rPr>
                    <w:t>100T</w:t>
                  </w:r>
                </w:p>
              </w:tc>
              <w:tc>
                <w:tcPr>
                  <w:tcW w:w="1081" w:type="pct"/>
                  <w:noWrap w:val="0"/>
                  <w:vAlign w:val="center"/>
                </w:tcPr>
                <w:p>
                  <w:pPr>
                    <w:pStyle w:val="11"/>
                    <w:bidi w:val="0"/>
                    <w:ind w:firstLine="0" w:firstLineChars="0"/>
                    <w:rPr>
                      <w:rFonts w:hint="eastAsia"/>
                      <w:lang w:val="en-US" w:eastAsia="zh-CN"/>
                    </w:rPr>
                  </w:pPr>
                  <w:r>
                    <w:rPr>
                      <w:rFonts w:hint="eastAsia"/>
                      <w:lang w:val="en-US" w:eastAsia="zh-CN"/>
                    </w:rPr>
                    <w:t>绝缘子成型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17" w:type="pct"/>
                  <w:noWrap w:val="0"/>
                  <w:vAlign w:val="center"/>
                </w:tcPr>
                <w:p>
                  <w:pPr>
                    <w:pStyle w:val="11"/>
                    <w:bidi w:val="0"/>
                    <w:ind w:firstLine="0" w:firstLineChars="0"/>
                    <w:rPr>
                      <w:rFonts w:hint="default"/>
                      <w:lang w:val="en-US" w:eastAsia="zh-CN"/>
                    </w:rPr>
                  </w:pPr>
                  <w:r>
                    <w:rPr>
                      <w:rFonts w:hint="eastAsia"/>
                      <w:lang w:val="en-US" w:eastAsia="zh-CN"/>
                    </w:rPr>
                    <w:t>9</w:t>
                  </w:r>
                </w:p>
              </w:tc>
              <w:tc>
                <w:tcPr>
                  <w:tcW w:w="1560" w:type="pct"/>
                  <w:noWrap w:val="0"/>
                  <w:vAlign w:val="top"/>
                </w:tcPr>
                <w:p>
                  <w:pPr>
                    <w:pStyle w:val="11"/>
                    <w:bidi w:val="0"/>
                    <w:ind w:firstLine="0" w:firstLineChars="0"/>
                    <w:rPr>
                      <w:rFonts w:hint="default"/>
                      <w:lang w:val="en-US" w:eastAsia="zh-CN"/>
                    </w:rPr>
                  </w:pPr>
                  <w:r>
                    <w:rPr>
                      <w:rFonts w:hint="eastAsia"/>
                      <w:lang w:val="en-US" w:eastAsia="zh-CN"/>
                    </w:rPr>
                    <w:t>橡胶注射机</w:t>
                  </w:r>
                </w:p>
              </w:tc>
              <w:tc>
                <w:tcPr>
                  <w:tcW w:w="407" w:type="pct"/>
                  <w:noWrap w:val="0"/>
                  <w:vAlign w:val="top"/>
                </w:tcPr>
                <w:p>
                  <w:pPr>
                    <w:pStyle w:val="11"/>
                    <w:bidi w:val="0"/>
                    <w:ind w:firstLine="0" w:firstLineChars="0"/>
                    <w:rPr>
                      <w:rFonts w:hint="default"/>
                      <w:lang w:val="en-US" w:eastAsia="zh-CN"/>
                    </w:rPr>
                  </w:pPr>
                  <w:r>
                    <w:rPr>
                      <w:rFonts w:hint="eastAsia"/>
                      <w:lang w:val="en-US" w:eastAsia="zh-CN"/>
                    </w:rPr>
                    <w:t>台</w:t>
                  </w:r>
                </w:p>
              </w:tc>
              <w:tc>
                <w:tcPr>
                  <w:tcW w:w="407" w:type="pct"/>
                  <w:noWrap w:val="0"/>
                  <w:vAlign w:val="center"/>
                </w:tcPr>
                <w:p>
                  <w:pPr>
                    <w:pStyle w:val="11"/>
                    <w:bidi w:val="0"/>
                    <w:ind w:firstLine="0" w:firstLineChars="0"/>
                    <w:rPr>
                      <w:lang w:val="en-US" w:eastAsia="zh-CN"/>
                    </w:rPr>
                  </w:pPr>
                  <w:r>
                    <w:rPr>
                      <w:rFonts w:hint="eastAsia"/>
                      <w:lang w:val="en-US" w:eastAsia="zh-CN"/>
                    </w:rPr>
                    <w:t>8</w:t>
                  </w:r>
                </w:p>
              </w:tc>
              <w:tc>
                <w:tcPr>
                  <w:tcW w:w="1226" w:type="pct"/>
                  <w:noWrap w:val="0"/>
                  <w:vAlign w:val="center"/>
                </w:tcPr>
                <w:p>
                  <w:pPr>
                    <w:pStyle w:val="11"/>
                    <w:bidi w:val="0"/>
                    <w:ind w:firstLine="0" w:firstLineChars="0"/>
                    <w:rPr>
                      <w:rFonts w:hint="default"/>
                      <w:lang w:val="en-US" w:eastAsia="zh-CN"/>
                    </w:rPr>
                  </w:pPr>
                  <w:r>
                    <w:rPr>
                      <w:rFonts w:hint="eastAsia"/>
                      <w:lang w:val="en-US" w:eastAsia="zh-CN"/>
                    </w:rPr>
                    <w:t>500T、360T、300T</w:t>
                  </w:r>
                </w:p>
              </w:tc>
              <w:tc>
                <w:tcPr>
                  <w:tcW w:w="1081" w:type="pct"/>
                  <w:noWrap w:val="0"/>
                  <w:vAlign w:val="center"/>
                </w:tcPr>
                <w:p>
                  <w:pPr>
                    <w:pStyle w:val="11"/>
                    <w:bidi w:val="0"/>
                    <w:ind w:firstLine="0" w:firstLineChars="0"/>
                    <w:rPr>
                      <w:rFonts w:hint="default"/>
                      <w:lang w:val="en-US" w:eastAsia="zh-CN"/>
                    </w:rPr>
                  </w:pPr>
                  <w:r>
                    <w:rPr>
                      <w:rFonts w:hint="eastAsia"/>
                      <w:lang w:val="en-US" w:eastAsia="zh-CN"/>
                    </w:rPr>
                    <w:t>硅橡胶填充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17" w:type="pct"/>
                  <w:noWrap w:val="0"/>
                  <w:vAlign w:val="center"/>
                </w:tcPr>
                <w:p>
                  <w:pPr>
                    <w:pStyle w:val="11"/>
                    <w:bidi w:val="0"/>
                    <w:ind w:firstLine="0" w:firstLineChars="0"/>
                    <w:rPr>
                      <w:rFonts w:hint="default"/>
                      <w:lang w:val="en-US" w:eastAsia="zh-CN"/>
                    </w:rPr>
                  </w:pPr>
                  <w:r>
                    <w:rPr>
                      <w:rFonts w:hint="eastAsia"/>
                      <w:lang w:val="en-US" w:eastAsia="zh-CN"/>
                    </w:rPr>
                    <w:t>10</w:t>
                  </w:r>
                </w:p>
              </w:tc>
              <w:tc>
                <w:tcPr>
                  <w:tcW w:w="1560" w:type="pct"/>
                  <w:noWrap w:val="0"/>
                  <w:vAlign w:val="top"/>
                </w:tcPr>
                <w:p>
                  <w:pPr>
                    <w:pStyle w:val="11"/>
                    <w:bidi w:val="0"/>
                    <w:ind w:firstLine="0" w:firstLineChars="0"/>
                    <w:rPr>
                      <w:rFonts w:hint="default"/>
                      <w:lang w:val="en-US" w:eastAsia="zh-CN"/>
                    </w:rPr>
                  </w:pPr>
                  <w:r>
                    <w:rPr>
                      <w:rFonts w:hint="eastAsia"/>
                      <w:lang w:val="en-US" w:eastAsia="zh-CN"/>
                    </w:rPr>
                    <w:t>拉力试验机</w:t>
                  </w:r>
                </w:p>
              </w:tc>
              <w:tc>
                <w:tcPr>
                  <w:tcW w:w="407" w:type="pct"/>
                  <w:noWrap w:val="0"/>
                  <w:vAlign w:val="top"/>
                </w:tcPr>
                <w:p>
                  <w:pPr>
                    <w:pStyle w:val="11"/>
                    <w:bidi w:val="0"/>
                    <w:ind w:firstLine="0" w:firstLineChars="0"/>
                    <w:rPr>
                      <w:rFonts w:hint="default"/>
                      <w:lang w:val="en-US" w:eastAsia="zh-CN"/>
                    </w:rPr>
                  </w:pPr>
                  <w:r>
                    <w:rPr>
                      <w:rFonts w:hint="eastAsia"/>
                      <w:lang w:val="en-US" w:eastAsia="zh-CN"/>
                    </w:rPr>
                    <w:t>台</w:t>
                  </w:r>
                </w:p>
              </w:tc>
              <w:tc>
                <w:tcPr>
                  <w:tcW w:w="407" w:type="pct"/>
                  <w:noWrap w:val="0"/>
                  <w:vAlign w:val="center"/>
                </w:tcPr>
                <w:p>
                  <w:pPr>
                    <w:pStyle w:val="11"/>
                    <w:bidi w:val="0"/>
                    <w:ind w:firstLine="0" w:firstLineChars="0"/>
                    <w:rPr>
                      <w:lang w:val="en-US" w:eastAsia="zh-CN"/>
                    </w:rPr>
                  </w:pPr>
                  <w:r>
                    <w:rPr>
                      <w:rFonts w:hint="eastAsia"/>
                      <w:lang w:val="en-US" w:eastAsia="zh-CN"/>
                    </w:rPr>
                    <w:t>6</w:t>
                  </w:r>
                </w:p>
              </w:tc>
              <w:tc>
                <w:tcPr>
                  <w:tcW w:w="1226" w:type="pct"/>
                  <w:noWrap w:val="0"/>
                  <w:vAlign w:val="center"/>
                </w:tcPr>
                <w:p>
                  <w:pPr>
                    <w:pStyle w:val="11"/>
                    <w:bidi w:val="0"/>
                    <w:ind w:firstLine="0" w:firstLineChars="0"/>
                    <w:rPr>
                      <w:rFonts w:hint="default"/>
                      <w:lang w:val="en-US" w:eastAsia="zh-CN"/>
                    </w:rPr>
                  </w:pPr>
                  <w:r>
                    <w:rPr>
                      <w:rFonts w:hint="eastAsia"/>
                      <w:lang w:val="en-US" w:eastAsia="zh-CN"/>
                    </w:rPr>
                    <w:t>20000KN</w:t>
                  </w:r>
                </w:p>
              </w:tc>
              <w:tc>
                <w:tcPr>
                  <w:tcW w:w="1081" w:type="pct"/>
                  <w:noWrap w:val="0"/>
                  <w:vAlign w:val="center"/>
                </w:tcPr>
                <w:p>
                  <w:pPr>
                    <w:pStyle w:val="11"/>
                    <w:bidi w:val="0"/>
                    <w:ind w:firstLine="0" w:firstLineChars="0"/>
                    <w:rPr>
                      <w:rFonts w:hint="eastAsia"/>
                      <w:lang w:val="en-US" w:eastAsia="zh-CN"/>
                    </w:rPr>
                  </w:pPr>
                  <w:r>
                    <w:rPr>
                      <w:rFonts w:hint="eastAsia"/>
                      <w:lang w:val="en-US" w:eastAsia="zh-CN"/>
                    </w:rPr>
                    <w:t>绝缘子检验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17" w:type="pct"/>
                  <w:noWrap w:val="0"/>
                  <w:vAlign w:val="center"/>
                </w:tcPr>
                <w:p>
                  <w:pPr>
                    <w:pStyle w:val="11"/>
                    <w:bidi w:val="0"/>
                    <w:ind w:firstLine="0" w:firstLineChars="0"/>
                    <w:rPr>
                      <w:rFonts w:hint="default"/>
                      <w:lang w:val="en-US" w:eastAsia="zh-CN"/>
                    </w:rPr>
                  </w:pPr>
                  <w:r>
                    <w:rPr>
                      <w:rFonts w:hint="eastAsia"/>
                      <w:lang w:val="en-US" w:eastAsia="zh-CN"/>
                    </w:rPr>
                    <w:t>11</w:t>
                  </w:r>
                </w:p>
              </w:tc>
              <w:tc>
                <w:tcPr>
                  <w:tcW w:w="1560" w:type="pct"/>
                  <w:noWrap w:val="0"/>
                  <w:vAlign w:val="top"/>
                </w:tcPr>
                <w:p>
                  <w:pPr>
                    <w:pStyle w:val="11"/>
                    <w:bidi w:val="0"/>
                    <w:ind w:firstLine="0" w:firstLineChars="0"/>
                    <w:rPr>
                      <w:rFonts w:hint="default"/>
                      <w:lang w:val="en-US" w:eastAsia="zh-CN"/>
                    </w:rPr>
                  </w:pPr>
                  <w:r>
                    <w:rPr>
                      <w:rFonts w:hint="eastAsia"/>
                      <w:lang w:val="en-US" w:eastAsia="zh-CN"/>
                    </w:rPr>
                    <w:t>耐压试验机</w:t>
                  </w:r>
                </w:p>
              </w:tc>
              <w:tc>
                <w:tcPr>
                  <w:tcW w:w="407" w:type="pct"/>
                  <w:noWrap w:val="0"/>
                  <w:vAlign w:val="top"/>
                </w:tcPr>
                <w:p>
                  <w:pPr>
                    <w:pStyle w:val="11"/>
                    <w:bidi w:val="0"/>
                    <w:ind w:firstLine="0" w:firstLineChars="0"/>
                    <w:rPr>
                      <w:rFonts w:hint="default"/>
                      <w:lang w:val="en-US" w:eastAsia="zh-CN"/>
                    </w:rPr>
                  </w:pPr>
                  <w:r>
                    <w:rPr>
                      <w:rFonts w:hint="eastAsia"/>
                      <w:lang w:val="en-US" w:eastAsia="zh-CN"/>
                    </w:rPr>
                    <w:t>台</w:t>
                  </w:r>
                </w:p>
              </w:tc>
              <w:tc>
                <w:tcPr>
                  <w:tcW w:w="407" w:type="pct"/>
                  <w:noWrap w:val="0"/>
                  <w:vAlign w:val="center"/>
                </w:tcPr>
                <w:p>
                  <w:pPr>
                    <w:pStyle w:val="11"/>
                    <w:bidi w:val="0"/>
                    <w:ind w:firstLine="0" w:firstLineChars="0"/>
                    <w:rPr>
                      <w:lang w:val="en-US" w:eastAsia="zh-CN"/>
                    </w:rPr>
                  </w:pPr>
                  <w:r>
                    <w:rPr>
                      <w:rFonts w:hint="eastAsia"/>
                      <w:lang w:val="en-US" w:eastAsia="zh-CN"/>
                    </w:rPr>
                    <w:t>4</w:t>
                  </w:r>
                </w:p>
              </w:tc>
              <w:tc>
                <w:tcPr>
                  <w:tcW w:w="1226" w:type="pct"/>
                  <w:noWrap w:val="0"/>
                  <w:vAlign w:val="center"/>
                </w:tcPr>
                <w:p>
                  <w:pPr>
                    <w:pStyle w:val="11"/>
                    <w:bidi w:val="0"/>
                    <w:ind w:firstLine="0" w:firstLineChars="0"/>
                    <w:rPr>
                      <w:rFonts w:hint="default"/>
                      <w:lang w:val="en-US" w:eastAsia="zh-CN"/>
                    </w:rPr>
                  </w:pPr>
                  <w:r>
                    <w:rPr>
                      <w:rFonts w:hint="eastAsia"/>
                      <w:lang w:val="en-US" w:eastAsia="zh-CN"/>
                    </w:rPr>
                    <w:t>10kVA</w:t>
                  </w:r>
                </w:p>
              </w:tc>
              <w:tc>
                <w:tcPr>
                  <w:tcW w:w="1081" w:type="pct"/>
                  <w:noWrap w:val="0"/>
                  <w:vAlign w:val="center"/>
                </w:tcPr>
                <w:p>
                  <w:pPr>
                    <w:pStyle w:val="11"/>
                    <w:bidi w:val="0"/>
                    <w:ind w:firstLine="0" w:firstLineChars="0"/>
                    <w:rPr>
                      <w:rFonts w:hint="eastAsia"/>
                      <w:lang w:val="en-US" w:eastAsia="zh-CN"/>
                    </w:rPr>
                  </w:pPr>
                  <w:r>
                    <w:rPr>
                      <w:rFonts w:hint="eastAsia"/>
                      <w:lang w:val="en-US" w:eastAsia="zh-CN"/>
                    </w:rPr>
                    <w:t>绝缘子检验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17" w:type="pct"/>
                  <w:noWrap w:val="0"/>
                  <w:vAlign w:val="center"/>
                </w:tcPr>
                <w:p>
                  <w:pPr>
                    <w:pStyle w:val="11"/>
                    <w:bidi w:val="0"/>
                    <w:ind w:firstLine="0" w:firstLineChars="0"/>
                    <w:rPr>
                      <w:rFonts w:hint="default"/>
                      <w:lang w:val="en-US" w:eastAsia="zh-CN"/>
                    </w:rPr>
                  </w:pPr>
                  <w:r>
                    <w:rPr>
                      <w:rFonts w:hint="eastAsia"/>
                      <w:lang w:val="en-US" w:eastAsia="zh-CN"/>
                    </w:rPr>
                    <w:t>12</w:t>
                  </w:r>
                </w:p>
              </w:tc>
              <w:tc>
                <w:tcPr>
                  <w:tcW w:w="1560" w:type="pct"/>
                  <w:noWrap w:val="0"/>
                  <w:vAlign w:val="top"/>
                </w:tcPr>
                <w:p>
                  <w:pPr>
                    <w:pStyle w:val="11"/>
                    <w:bidi w:val="0"/>
                    <w:ind w:firstLine="0" w:firstLineChars="0"/>
                    <w:rPr>
                      <w:rFonts w:hint="default"/>
                      <w:lang w:val="en-US" w:eastAsia="zh-CN"/>
                    </w:rPr>
                  </w:pPr>
                  <w:r>
                    <w:rPr>
                      <w:rFonts w:hint="eastAsia"/>
                      <w:lang w:val="en-US" w:eastAsia="zh-CN"/>
                    </w:rPr>
                    <w:t>烤箱</w:t>
                  </w:r>
                </w:p>
              </w:tc>
              <w:tc>
                <w:tcPr>
                  <w:tcW w:w="407" w:type="pct"/>
                  <w:noWrap w:val="0"/>
                  <w:vAlign w:val="top"/>
                </w:tcPr>
                <w:p>
                  <w:pPr>
                    <w:pStyle w:val="11"/>
                    <w:bidi w:val="0"/>
                    <w:ind w:firstLine="0" w:firstLineChars="0"/>
                    <w:rPr>
                      <w:rFonts w:hint="default"/>
                      <w:lang w:val="en-US" w:eastAsia="zh-CN"/>
                    </w:rPr>
                  </w:pPr>
                  <w:r>
                    <w:rPr>
                      <w:rFonts w:hint="eastAsia"/>
                      <w:lang w:val="en-US" w:eastAsia="zh-CN"/>
                    </w:rPr>
                    <w:t>台</w:t>
                  </w:r>
                </w:p>
              </w:tc>
              <w:tc>
                <w:tcPr>
                  <w:tcW w:w="407" w:type="pct"/>
                  <w:noWrap w:val="0"/>
                  <w:vAlign w:val="center"/>
                </w:tcPr>
                <w:p>
                  <w:pPr>
                    <w:pStyle w:val="11"/>
                    <w:bidi w:val="0"/>
                    <w:ind w:firstLine="0" w:firstLineChars="0"/>
                    <w:rPr>
                      <w:lang w:val="en-US" w:eastAsia="zh-CN"/>
                    </w:rPr>
                  </w:pPr>
                  <w:r>
                    <w:rPr>
                      <w:rFonts w:hint="eastAsia"/>
                      <w:lang w:val="en-US" w:eastAsia="zh-CN"/>
                    </w:rPr>
                    <w:t>34</w:t>
                  </w:r>
                </w:p>
              </w:tc>
              <w:tc>
                <w:tcPr>
                  <w:tcW w:w="1226" w:type="pct"/>
                  <w:noWrap w:val="0"/>
                  <w:vAlign w:val="center"/>
                </w:tcPr>
                <w:p>
                  <w:pPr>
                    <w:pStyle w:val="11"/>
                    <w:bidi w:val="0"/>
                    <w:ind w:firstLine="0" w:firstLineChars="0"/>
                    <w:rPr>
                      <w:rFonts w:hint="default"/>
                      <w:lang w:val="en-US" w:eastAsia="zh-CN"/>
                    </w:rPr>
                  </w:pPr>
                  <w:r>
                    <w:rPr>
                      <w:rFonts w:hint="eastAsia"/>
                      <w:lang w:val="en-US" w:eastAsia="zh-CN"/>
                    </w:rPr>
                    <w:t>7000W</w:t>
                  </w:r>
                </w:p>
              </w:tc>
              <w:tc>
                <w:tcPr>
                  <w:tcW w:w="1081" w:type="pct"/>
                  <w:noWrap w:val="0"/>
                  <w:vAlign w:val="center"/>
                </w:tcPr>
                <w:p>
                  <w:pPr>
                    <w:pStyle w:val="11"/>
                    <w:bidi w:val="0"/>
                    <w:ind w:firstLine="0" w:firstLineChars="0"/>
                    <w:rPr>
                      <w:rFonts w:hint="default"/>
                      <w:lang w:val="en-US" w:eastAsia="zh-CN"/>
                    </w:rPr>
                  </w:pPr>
                  <w:r>
                    <w:rPr>
                      <w:rFonts w:hint="eastAsia"/>
                      <w:lang w:val="en-US" w:eastAsia="zh-CN"/>
                    </w:rPr>
                    <w:t>瓷芯预热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17" w:type="pct"/>
                  <w:noWrap w:val="0"/>
                  <w:vAlign w:val="center"/>
                </w:tcPr>
                <w:p>
                  <w:pPr>
                    <w:pStyle w:val="11"/>
                    <w:bidi w:val="0"/>
                    <w:ind w:firstLine="0" w:firstLineChars="0"/>
                    <w:rPr>
                      <w:rFonts w:hint="default"/>
                      <w:lang w:val="en-US" w:eastAsia="zh-CN"/>
                    </w:rPr>
                  </w:pPr>
                  <w:r>
                    <w:rPr>
                      <w:rFonts w:hint="eastAsia"/>
                      <w:lang w:val="en-US" w:eastAsia="zh-CN"/>
                    </w:rPr>
                    <w:t>13</w:t>
                  </w:r>
                </w:p>
              </w:tc>
              <w:tc>
                <w:tcPr>
                  <w:tcW w:w="1560" w:type="pct"/>
                  <w:noWrap w:val="0"/>
                  <w:vAlign w:val="top"/>
                </w:tcPr>
                <w:p>
                  <w:pPr>
                    <w:pStyle w:val="11"/>
                    <w:bidi w:val="0"/>
                    <w:ind w:firstLine="0" w:firstLineChars="0"/>
                    <w:rPr>
                      <w:rFonts w:hint="default"/>
                      <w:lang w:val="en-US" w:eastAsia="zh-CN"/>
                    </w:rPr>
                  </w:pPr>
                  <w:r>
                    <w:rPr>
                      <w:rFonts w:hint="eastAsia"/>
                      <w:lang w:val="en-US" w:eastAsia="zh-CN"/>
                    </w:rPr>
                    <w:t>压接机</w:t>
                  </w:r>
                </w:p>
              </w:tc>
              <w:tc>
                <w:tcPr>
                  <w:tcW w:w="407" w:type="pct"/>
                  <w:noWrap w:val="0"/>
                  <w:vAlign w:val="top"/>
                </w:tcPr>
                <w:p>
                  <w:pPr>
                    <w:pStyle w:val="11"/>
                    <w:bidi w:val="0"/>
                    <w:ind w:firstLine="0" w:firstLineChars="0"/>
                    <w:rPr>
                      <w:rFonts w:hint="default"/>
                      <w:lang w:val="en-US" w:eastAsia="zh-CN"/>
                    </w:rPr>
                  </w:pPr>
                  <w:r>
                    <w:rPr>
                      <w:rFonts w:hint="eastAsia"/>
                      <w:lang w:val="en-US" w:eastAsia="zh-CN"/>
                    </w:rPr>
                    <w:t>台</w:t>
                  </w:r>
                </w:p>
              </w:tc>
              <w:tc>
                <w:tcPr>
                  <w:tcW w:w="407" w:type="pct"/>
                  <w:noWrap w:val="0"/>
                  <w:vAlign w:val="center"/>
                </w:tcPr>
                <w:p>
                  <w:pPr>
                    <w:pStyle w:val="11"/>
                    <w:bidi w:val="0"/>
                    <w:ind w:firstLine="0" w:firstLineChars="0"/>
                    <w:rPr>
                      <w:lang w:val="en-US" w:eastAsia="zh-CN"/>
                    </w:rPr>
                  </w:pPr>
                  <w:r>
                    <w:rPr>
                      <w:rFonts w:hint="eastAsia"/>
                      <w:lang w:val="en-US" w:eastAsia="zh-CN"/>
                    </w:rPr>
                    <w:t>3</w:t>
                  </w:r>
                </w:p>
              </w:tc>
              <w:tc>
                <w:tcPr>
                  <w:tcW w:w="1226" w:type="pct"/>
                  <w:noWrap w:val="0"/>
                  <w:vAlign w:val="center"/>
                </w:tcPr>
                <w:p>
                  <w:pPr>
                    <w:pStyle w:val="11"/>
                    <w:bidi w:val="0"/>
                    <w:ind w:firstLine="0" w:firstLineChars="0"/>
                    <w:rPr>
                      <w:rFonts w:hint="default"/>
                      <w:lang w:val="en-US" w:eastAsia="zh-CN"/>
                    </w:rPr>
                  </w:pPr>
                  <w:r>
                    <w:rPr>
                      <w:rFonts w:hint="eastAsia"/>
                      <w:lang w:val="en-US" w:eastAsia="zh-CN"/>
                    </w:rPr>
                    <w:t>/</w:t>
                  </w:r>
                </w:p>
              </w:tc>
              <w:tc>
                <w:tcPr>
                  <w:tcW w:w="1081" w:type="pct"/>
                  <w:noWrap w:val="0"/>
                  <w:vAlign w:val="center"/>
                </w:tcPr>
                <w:p>
                  <w:pPr>
                    <w:pStyle w:val="11"/>
                    <w:bidi w:val="0"/>
                    <w:ind w:firstLine="0" w:firstLineChars="0"/>
                    <w:rPr>
                      <w:rFonts w:hint="eastAsia"/>
                      <w:lang w:val="en-US" w:eastAsia="zh-CN"/>
                    </w:rPr>
                  </w:pPr>
                  <w:r>
                    <w:rPr>
                      <w:rFonts w:hint="eastAsia"/>
                      <w:lang w:val="en-US" w:eastAsia="zh-CN"/>
                    </w:rPr>
                    <w:t>绝缘子压接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5000" w:type="pct"/>
                  <w:gridSpan w:val="6"/>
                  <w:noWrap w:val="0"/>
                  <w:vAlign w:val="center"/>
                </w:tcPr>
                <w:p>
                  <w:pPr>
                    <w:pStyle w:val="11"/>
                    <w:bidi w:val="0"/>
                    <w:rPr>
                      <w:rFonts w:hint="eastAsia"/>
                    </w:rPr>
                  </w:pPr>
                  <w:r>
                    <w:rPr>
                      <w:rFonts w:hint="eastAsia"/>
                      <w:lang w:val="en-US" w:eastAsia="zh-CN"/>
                    </w:rPr>
                    <w:t>三、</w:t>
                  </w:r>
                  <w:r>
                    <w:rPr>
                      <w:rFonts w:hint="eastAsia"/>
                    </w:rPr>
                    <w:t>高低压实验中心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17" w:type="pct"/>
                  <w:noWrap w:val="0"/>
                  <w:vAlign w:val="center"/>
                </w:tcPr>
                <w:p>
                  <w:pPr>
                    <w:pStyle w:val="11"/>
                    <w:bidi w:val="0"/>
                    <w:rPr>
                      <w:rFonts w:hint="default"/>
                      <w:lang w:val="en-US" w:eastAsia="zh-CN"/>
                    </w:rPr>
                  </w:pPr>
                  <w:r>
                    <w:rPr>
                      <w:rFonts w:hint="eastAsia"/>
                      <w:lang w:val="en-US" w:eastAsia="zh-CN"/>
                    </w:rPr>
                    <w:t>14</w:t>
                  </w:r>
                </w:p>
              </w:tc>
              <w:tc>
                <w:tcPr>
                  <w:tcW w:w="1560" w:type="pct"/>
                  <w:noWrap w:val="0"/>
                  <w:vAlign w:val="center"/>
                </w:tcPr>
                <w:p>
                  <w:pPr>
                    <w:pStyle w:val="11"/>
                    <w:bidi w:val="0"/>
                    <w:rPr>
                      <w:rFonts w:hint="default"/>
                      <w:lang w:val="en-US" w:eastAsia="zh-CN"/>
                    </w:rPr>
                  </w:pPr>
                  <w:r>
                    <w:rPr>
                      <w:rFonts w:hint="eastAsia"/>
                      <w:lang w:val="en-US" w:eastAsia="zh-CN"/>
                    </w:rPr>
                    <w:t>雷电冲击实验装置</w:t>
                  </w:r>
                </w:p>
              </w:tc>
              <w:tc>
                <w:tcPr>
                  <w:tcW w:w="407" w:type="pct"/>
                  <w:noWrap w:val="0"/>
                  <w:vAlign w:val="center"/>
                </w:tcPr>
                <w:p>
                  <w:pPr>
                    <w:pStyle w:val="11"/>
                    <w:bidi w:val="0"/>
                    <w:rPr>
                      <w:rFonts w:hint="default"/>
                      <w:lang w:val="en-US" w:eastAsia="zh-CN"/>
                    </w:rPr>
                  </w:pPr>
                  <w:r>
                    <w:rPr>
                      <w:rFonts w:hint="eastAsia"/>
                      <w:lang w:val="en-US" w:eastAsia="zh-CN"/>
                    </w:rPr>
                    <w:t>台</w:t>
                  </w:r>
                </w:p>
              </w:tc>
              <w:tc>
                <w:tcPr>
                  <w:tcW w:w="407" w:type="pct"/>
                  <w:noWrap w:val="0"/>
                  <w:vAlign w:val="center"/>
                </w:tcPr>
                <w:p>
                  <w:pPr>
                    <w:pStyle w:val="11"/>
                    <w:bidi w:val="0"/>
                    <w:rPr>
                      <w:rFonts w:hint="default"/>
                      <w:lang w:val="en-US" w:eastAsia="zh-CN"/>
                    </w:rPr>
                  </w:pPr>
                  <w:r>
                    <w:rPr>
                      <w:rFonts w:hint="eastAsia"/>
                      <w:lang w:val="en-US" w:eastAsia="zh-CN"/>
                    </w:rPr>
                    <w:t>2</w:t>
                  </w:r>
                </w:p>
              </w:tc>
              <w:tc>
                <w:tcPr>
                  <w:tcW w:w="1226" w:type="pct"/>
                  <w:noWrap w:val="0"/>
                  <w:vAlign w:val="center"/>
                </w:tcPr>
                <w:p>
                  <w:pPr>
                    <w:pStyle w:val="11"/>
                    <w:bidi w:val="0"/>
                    <w:ind w:firstLine="0" w:firstLineChars="0"/>
                  </w:pPr>
                  <w:r>
                    <w:rPr>
                      <w:rFonts w:hint="eastAsia"/>
                      <w:lang w:val="en-US" w:eastAsia="zh-CN"/>
                    </w:rPr>
                    <w:t>/</w:t>
                  </w:r>
                </w:p>
              </w:tc>
              <w:tc>
                <w:tcPr>
                  <w:tcW w:w="1081" w:type="pct"/>
                  <w:noWrap w:val="0"/>
                  <w:vAlign w:val="center"/>
                </w:tcPr>
                <w:p>
                  <w:pPr>
                    <w:pStyle w:val="11"/>
                    <w:bidi w:val="0"/>
                    <w:rPr>
                      <w:rFonts w:hint="default"/>
                      <w:lang w:val="en-US" w:eastAsia="zh-CN"/>
                    </w:rPr>
                  </w:pPr>
                  <w:r>
                    <w:rPr>
                      <w:rFonts w:hint="eastAsia"/>
                      <w:lang w:val="en-US" w:eastAsia="zh-CN"/>
                    </w:rPr>
                    <w:t>产品研发检测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17" w:type="pct"/>
                  <w:noWrap w:val="0"/>
                  <w:vAlign w:val="center"/>
                </w:tcPr>
                <w:p>
                  <w:pPr>
                    <w:pStyle w:val="11"/>
                    <w:bidi w:val="0"/>
                    <w:ind w:firstLine="0" w:firstLineChars="0"/>
                    <w:rPr>
                      <w:rFonts w:hint="default"/>
                      <w:lang w:val="en-US" w:eastAsia="zh-CN"/>
                    </w:rPr>
                  </w:pPr>
                  <w:r>
                    <w:rPr>
                      <w:rFonts w:hint="eastAsia"/>
                      <w:lang w:val="en-US" w:eastAsia="zh-CN"/>
                    </w:rPr>
                    <w:t>15</w:t>
                  </w:r>
                </w:p>
              </w:tc>
              <w:tc>
                <w:tcPr>
                  <w:tcW w:w="1560" w:type="pct"/>
                  <w:noWrap w:val="0"/>
                  <w:vAlign w:val="center"/>
                </w:tcPr>
                <w:p>
                  <w:pPr>
                    <w:pStyle w:val="11"/>
                    <w:bidi w:val="0"/>
                    <w:rPr>
                      <w:rFonts w:hint="default"/>
                      <w:lang w:val="en-US" w:eastAsia="zh-CN"/>
                    </w:rPr>
                  </w:pPr>
                  <w:r>
                    <w:rPr>
                      <w:rFonts w:hint="eastAsia"/>
                      <w:lang w:val="en-US" w:eastAsia="zh-CN"/>
                    </w:rPr>
                    <w:t>工频实验装置</w:t>
                  </w:r>
                </w:p>
              </w:tc>
              <w:tc>
                <w:tcPr>
                  <w:tcW w:w="407" w:type="pct"/>
                  <w:noWrap w:val="0"/>
                  <w:vAlign w:val="center"/>
                </w:tcPr>
                <w:p>
                  <w:pPr>
                    <w:pStyle w:val="11"/>
                    <w:bidi w:val="0"/>
                    <w:rPr>
                      <w:rFonts w:hint="default"/>
                      <w:lang w:val="en-US" w:eastAsia="zh-CN"/>
                    </w:rPr>
                  </w:pPr>
                  <w:r>
                    <w:rPr>
                      <w:rFonts w:hint="eastAsia"/>
                      <w:lang w:val="en-US" w:eastAsia="zh-CN"/>
                    </w:rPr>
                    <w:t>台</w:t>
                  </w:r>
                </w:p>
              </w:tc>
              <w:tc>
                <w:tcPr>
                  <w:tcW w:w="407" w:type="pct"/>
                  <w:noWrap w:val="0"/>
                  <w:vAlign w:val="center"/>
                </w:tcPr>
                <w:p>
                  <w:pPr>
                    <w:pStyle w:val="11"/>
                    <w:bidi w:val="0"/>
                    <w:rPr>
                      <w:rFonts w:hint="default"/>
                      <w:lang w:val="en-US" w:eastAsia="zh-CN"/>
                    </w:rPr>
                  </w:pPr>
                  <w:r>
                    <w:rPr>
                      <w:rFonts w:hint="eastAsia"/>
                      <w:lang w:val="en-US" w:eastAsia="zh-CN"/>
                    </w:rPr>
                    <w:t>2</w:t>
                  </w:r>
                </w:p>
              </w:tc>
              <w:tc>
                <w:tcPr>
                  <w:tcW w:w="1226" w:type="pct"/>
                  <w:noWrap w:val="0"/>
                  <w:vAlign w:val="center"/>
                </w:tcPr>
                <w:p>
                  <w:pPr>
                    <w:pStyle w:val="11"/>
                    <w:bidi w:val="0"/>
                    <w:ind w:firstLine="0" w:firstLineChars="0"/>
                  </w:pPr>
                  <w:r>
                    <w:rPr>
                      <w:rFonts w:hint="eastAsia"/>
                      <w:lang w:val="en-US" w:eastAsia="zh-CN"/>
                    </w:rPr>
                    <w:t>/</w:t>
                  </w:r>
                </w:p>
              </w:tc>
              <w:tc>
                <w:tcPr>
                  <w:tcW w:w="1081" w:type="pct"/>
                  <w:noWrap w:val="0"/>
                  <w:vAlign w:val="center"/>
                </w:tcPr>
                <w:p>
                  <w:pPr>
                    <w:pStyle w:val="11"/>
                    <w:bidi w:val="0"/>
                    <w:rPr>
                      <w:rFonts w:hint="eastAsia"/>
                    </w:rPr>
                  </w:pPr>
                  <w:r>
                    <w:rPr>
                      <w:rFonts w:hint="eastAsia"/>
                      <w:lang w:val="en-US" w:eastAsia="zh-CN"/>
                    </w:rPr>
                    <w:t>产品研发检测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17" w:type="pct"/>
                  <w:noWrap w:val="0"/>
                  <w:vAlign w:val="center"/>
                </w:tcPr>
                <w:p>
                  <w:pPr>
                    <w:pStyle w:val="11"/>
                    <w:bidi w:val="0"/>
                    <w:ind w:firstLine="0" w:firstLineChars="0"/>
                    <w:rPr>
                      <w:rFonts w:hint="default"/>
                      <w:lang w:val="en-US" w:eastAsia="zh-CN"/>
                    </w:rPr>
                  </w:pPr>
                  <w:r>
                    <w:rPr>
                      <w:rFonts w:hint="eastAsia"/>
                      <w:lang w:val="en-US" w:eastAsia="zh-CN"/>
                    </w:rPr>
                    <w:t>16</w:t>
                  </w:r>
                </w:p>
              </w:tc>
              <w:tc>
                <w:tcPr>
                  <w:tcW w:w="1560" w:type="pct"/>
                  <w:noWrap w:val="0"/>
                  <w:vAlign w:val="center"/>
                </w:tcPr>
                <w:p>
                  <w:pPr>
                    <w:pStyle w:val="11"/>
                    <w:bidi w:val="0"/>
                    <w:rPr>
                      <w:rFonts w:hint="default"/>
                      <w:lang w:val="en-US" w:eastAsia="zh-CN"/>
                    </w:rPr>
                  </w:pPr>
                  <w:r>
                    <w:rPr>
                      <w:rFonts w:hint="default"/>
                      <w:lang w:val="en-US" w:eastAsia="zh-CN"/>
                    </w:rPr>
                    <w:t>塑料水平垂直燃烧试验机</w:t>
                  </w:r>
                </w:p>
              </w:tc>
              <w:tc>
                <w:tcPr>
                  <w:tcW w:w="407" w:type="pct"/>
                  <w:noWrap w:val="0"/>
                  <w:vAlign w:val="center"/>
                </w:tcPr>
                <w:p>
                  <w:pPr>
                    <w:pStyle w:val="11"/>
                    <w:bidi w:val="0"/>
                    <w:rPr>
                      <w:rFonts w:hint="default"/>
                      <w:lang w:val="en-US" w:eastAsia="zh-CN"/>
                    </w:rPr>
                  </w:pPr>
                  <w:r>
                    <w:rPr>
                      <w:rFonts w:hint="eastAsia"/>
                      <w:lang w:val="en-US" w:eastAsia="zh-CN"/>
                    </w:rPr>
                    <w:t>台</w:t>
                  </w:r>
                </w:p>
              </w:tc>
              <w:tc>
                <w:tcPr>
                  <w:tcW w:w="407" w:type="pct"/>
                  <w:noWrap w:val="0"/>
                  <w:vAlign w:val="center"/>
                </w:tcPr>
                <w:p>
                  <w:pPr>
                    <w:pStyle w:val="11"/>
                    <w:bidi w:val="0"/>
                    <w:rPr>
                      <w:rFonts w:hint="default"/>
                      <w:lang w:val="en-US" w:eastAsia="zh-CN"/>
                    </w:rPr>
                  </w:pPr>
                  <w:r>
                    <w:rPr>
                      <w:rFonts w:hint="eastAsia"/>
                      <w:lang w:val="en-US" w:eastAsia="zh-CN"/>
                    </w:rPr>
                    <w:t>2</w:t>
                  </w:r>
                </w:p>
              </w:tc>
              <w:tc>
                <w:tcPr>
                  <w:tcW w:w="1226" w:type="pct"/>
                  <w:noWrap w:val="0"/>
                  <w:vAlign w:val="center"/>
                </w:tcPr>
                <w:p>
                  <w:pPr>
                    <w:pStyle w:val="11"/>
                    <w:bidi w:val="0"/>
                    <w:ind w:firstLine="0" w:firstLineChars="0"/>
                  </w:pPr>
                  <w:r>
                    <w:rPr>
                      <w:rFonts w:hint="eastAsia"/>
                      <w:lang w:val="en-US" w:eastAsia="zh-CN"/>
                    </w:rPr>
                    <w:t>/</w:t>
                  </w:r>
                </w:p>
              </w:tc>
              <w:tc>
                <w:tcPr>
                  <w:tcW w:w="1081" w:type="pct"/>
                  <w:noWrap w:val="0"/>
                  <w:vAlign w:val="center"/>
                </w:tcPr>
                <w:p>
                  <w:pPr>
                    <w:pStyle w:val="11"/>
                    <w:bidi w:val="0"/>
                  </w:pPr>
                  <w:r>
                    <w:rPr>
                      <w:rFonts w:hint="eastAsia"/>
                      <w:lang w:val="en-US" w:eastAsia="zh-CN"/>
                    </w:rPr>
                    <w:t>产品研发检测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17" w:type="pct"/>
                  <w:noWrap w:val="0"/>
                  <w:vAlign w:val="center"/>
                </w:tcPr>
                <w:p>
                  <w:pPr>
                    <w:pStyle w:val="11"/>
                    <w:bidi w:val="0"/>
                    <w:ind w:firstLine="0" w:firstLineChars="0"/>
                    <w:rPr>
                      <w:rFonts w:hint="default"/>
                      <w:lang w:val="en-US" w:eastAsia="zh-CN"/>
                    </w:rPr>
                  </w:pPr>
                  <w:r>
                    <w:rPr>
                      <w:rFonts w:hint="eastAsia"/>
                      <w:lang w:val="en-US" w:eastAsia="zh-CN"/>
                    </w:rPr>
                    <w:t>17</w:t>
                  </w:r>
                </w:p>
              </w:tc>
              <w:tc>
                <w:tcPr>
                  <w:tcW w:w="1560" w:type="pct"/>
                  <w:noWrap w:val="0"/>
                  <w:vAlign w:val="center"/>
                </w:tcPr>
                <w:p>
                  <w:pPr>
                    <w:pStyle w:val="11"/>
                    <w:bidi w:val="0"/>
                    <w:rPr>
                      <w:rFonts w:hint="default"/>
                      <w:lang w:val="en-US" w:eastAsia="zh-CN"/>
                    </w:rPr>
                  </w:pPr>
                  <w:r>
                    <w:rPr>
                      <w:rFonts w:hint="default"/>
                      <w:lang w:val="en-US" w:eastAsia="zh-CN"/>
                    </w:rPr>
                    <w:t>微电脑拉力伸长率试验机</w:t>
                  </w:r>
                </w:p>
              </w:tc>
              <w:tc>
                <w:tcPr>
                  <w:tcW w:w="407" w:type="pct"/>
                  <w:noWrap w:val="0"/>
                  <w:vAlign w:val="center"/>
                </w:tcPr>
                <w:p>
                  <w:pPr>
                    <w:pStyle w:val="11"/>
                    <w:bidi w:val="0"/>
                    <w:rPr>
                      <w:rFonts w:hint="default"/>
                      <w:lang w:val="en-US" w:eastAsia="zh-CN"/>
                    </w:rPr>
                  </w:pPr>
                  <w:r>
                    <w:rPr>
                      <w:rFonts w:hint="eastAsia"/>
                      <w:lang w:val="en-US" w:eastAsia="zh-CN"/>
                    </w:rPr>
                    <w:t>台</w:t>
                  </w:r>
                </w:p>
              </w:tc>
              <w:tc>
                <w:tcPr>
                  <w:tcW w:w="407" w:type="pct"/>
                  <w:noWrap w:val="0"/>
                  <w:vAlign w:val="center"/>
                </w:tcPr>
                <w:p>
                  <w:pPr>
                    <w:pStyle w:val="11"/>
                    <w:bidi w:val="0"/>
                    <w:rPr>
                      <w:rFonts w:hint="default"/>
                      <w:lang w:val="en-US" w:eastAsia="zh-CN"/>
                    </w:rPr>
                  </w:pPr>
                  <w:r>
                    <w:rPr>
                      <w:rFonts w:hint="eastAsia"/>
                      <w:lang w:val="en-US" w:eastAsia="zh-CN"/>
                    </w:rPr>
                    <w:t>2</w:t>
                  </w:r>
                </w:p>
              </w:tc>
              <w:tc>
                <w:tcPr>
                  <w:tcW w:w="1226" w:type="pct"/>
                  <w:noWrap w:val="0"/>
                  <w:vAlign w:val="center"/>
                </w:tcPr>
                <w:p>
                  <w:pPr>
                    <w:pStyle w:val="11"/>
                    <w:bidi w:val="0"/>
                    <w:ind w:firstLine="0" w:firstLineChars="0"/>
                  </w:pPr>
                  <w:r>
                    <w:rPr>
                      <w:rFonts w:hint="eastAsia"/>
                      <w:lang w:val="en-US" w:eastAsia="zh-CN"/>
                    </w:rPr>
                    <w:t>/</w:t>
                  </w:r>
                </w:p>
              </w:tc>
              <w:tc>
                <w:tcPr>
                  <w:tcW w:w="1081" w:type="pct"/>
                  <w:noWrap w:val="0"/>
                  <w:vAlign w:val="center"/>
                </w:tcPr>
                <w:p>
                  <w:pPr>
                    <w:pStyle w:val="11"/>
                    <w:bidi w:val="0"/>
                  </w:pPr>
                  <w:r>
                    <w:rPr>
                      <w:rFonts w:hint="eastAsia"/>
                      <w:lang w:val="en-US" w:eastAsia="zh-CN"/>
                    </w:rPr>
                    <w:t>产品研发检测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17" w:type="pct"/>
                  <w:noWrap w:val="0"/>
                  <w:vAlign w:val="center"/>
                </w:tcPr>
                <w:p>
                  <w:pPr>
                    <w:pStyle w:val="11"/>
                    <w:bidi w:val="0"/>
                    <w:ind w:firstLine="0" w:firstLineChars="0"/>
                    <w:rPr>
                      <w:rFonts w:hint="default"/>
                      <w:lang w:val="en-US" w:eastAsia="zh-CN"/>
                    </w:rPr>
                  </w:pPr>
                  <w:r>
                    <w:rPr>
                      <w:rFonts w:hint="eastAsia"/>
                      <w:lang w:val="en-US" w:eastAsia="zh-CN"/>
                    </w:rPr>
                    <w:t>18</w:t>
                  </w:r>
                </w:p>
              </w:tc>
              <w:tc>
                <w:tcPr>
                  <w:tcW w:w="1560" w:type="pct"/>
                  <w:noWrap w:val="0"/>
                  <w:vAlign w:val="center"/>
                </w:tcPr>
                <w:p>
                  <w:pPr>
                    <w:pStyle w:val="11"/>
                    <w:bidi w:val="0"/>
                    <w:rPr>
                      <w:rFonts w:hint="default"/>
                      <w:lang w:val="en-US" w:eastAsia="zh-CN"/>
                    </w:rPr>
                  </w:pPr>
                  <w:r>
                    <w:rPr>
                      <w:rFonts w:hint="default"/>
                      <w:lang w:val="en-US" w:eastAsia="zh-CN"/>
                    </w:rPr>
                    <w:t>高压漏电起痕试验机</w:t>
                  </w:r>
                </w:p>
              </w:tc>
              <w:tc>
                <w:tcPr>
                  <w:tcW w:w="407" w:type="pct"/>
                  <w:noWrap w:val="0"/>
                  <w:vAlign w:val="center"/>
                </w:tcPr>
                <w:p>
                  <w:pPr>
                    <w:pStyle w:val="11"/>
                    <w:bidi w:val="0"/>
                    <w:rPr>
                      <w:rFonts w:hint="default"/>
                      <w:lang w:val="en-US" w:eastAsia="zh-CN"/>
                    </w:rPr>
                  </w:pPr>
                  <w:r>
                    <w:rPr>
                      <w:rFonts w:hint="eastAsia"/>
                      <w:lang w:val="en-US" w:eastAsia="zh-CN"/>
                    </w:rPr>
                    <w:t>台</w:t>
                  </w:r>
                </w:p>
              </w:tc>
              <w:tc>
                <w:tcPr>
                  <w:tcW w:w="407" w:type="pct"/>
                  <w:noWrap w:val="0"/>
                  <w:vAlign w:val="center"/>
                </w:tcPr>
                <w:p>
                  <w:pPr>
                    <w:pStyle w:val="11"/>
                    <w:bidi w:val="0"/>
                    <w:rPr>
                      <w:rFonts w:hint="default"/>
                      <w:lang w:val="en-US" w:eastAsia="zh-CN"/>
                    </w:rPr>
                  </w:pPr>
                  <w:r>
                    <w:rPr>
                      <w:rFonts w:hint="eastAsia"/>
                      <w:lang w:val="en-US" w:eastAsia="zh-CN"/>
                    </w:rPr>
                    <w:t>2</w:t>
                  </w:r>
                </w:p>
              </w:tc>
              <w:tc>
                <w:tcPr>
                  <w:tcW w:w="1226" w:type="pct"/>
                  <w:noWrap w:val="0"/>
                  <w:vAlign w:val="center"/>
                </w:tcPr>
                <w:p>
                  <w:pPr>
                    <w:pStyle w:val="11"/>
                    <w:bidi w:val="0"/>
                    <w:ind w:firstLine="0" w:firstLineChars="0"/>
                  </w:pPr>
                  <w:r>
                    <w:rPr>
                      <w:rFonts w:hint="eastAsia"/>
                      <w:lang w:val="en-US" w:eastAsia="zh-CN"/>
                    </w:rPr>
                    <w:t>/</w:t>
                  </w:r>
                </w:p>
              </w:tc>
              <w:tc>
                <w:tcPr>
                  <w:tcW w:w="1081" w:type="pct"/>
                  <w:noWrap w:val="0"/>
                  <w:vAlign w:val="center"/>
                </w:tcPr>
                <w:p>
                  <w:pPr>
                    <w:pStyle w:val="11"/>
                    <w:bidi w:val="0"/>
                    <w:rPr>
                      <w:rFonts w:hint="eastAsia"/>
                    </w:rPr>
                  </w:pPr>
                  <w:r>
                    <w:rPr>
                      <w:rFonts w:hint="eastAsia"/>
                      <w:lang w:val="en-US" w:eastAsia="zh-CN"/>
                    </w:rPr>
                    <w:t>产品研发检测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17" w:type="pct"/>
                  <w:noWrap w:val="0"/>
                  <w:vAlign w:val="center"/>
                </w:tcPr>
                <w:p>
                  <w:pPr>
                    <w:pStyle w:val="11"/>
                    <w:bidi w:val="0"/>
                    <w:ind w:firstLine="0" w:firstLineChars="0"/>
                    <w:rPr>
                      <w:rFonts w:hint="default"/>
                      <w:lang w:val="en-US" w:eastAsia="zh-CN"/>
                    </w:rPr>
                  </w:pPr>
                  <w:r>
                    <w:rPr>
                      <w:rFonts w:hint="eastAsia"/>
                      <w:lang w:val="en-US" w:eastAsia="zh-CN"/>
                    </w:rPr>
                    <w:t>19</w:t>
                  </w:r>
                </w:p>
              </w:tc>
              <w:tc>
                <w:tcPr>
                  <w:tcW w:w="1560" w:type="pct"/>
                  <w:noWrap w:val="0"/>
                  <w:vAlign w:val="center"/>
                </w:tcPr>
                <w:p>
                  <w:pPr>
                    <w:pStyle w:val="11"/>
                    <w:bidi w:val="0"/>
                    <w:rPr>
                      <w:rFonts w:hint="eastAsia"/>
                      <w:lang w:val="en-US" w:eastAsia="zh-CN"/>
                    </w:rPr>
                  </w:pPr>
                  <w:r>
                    <w:rPr>
                      <w:rFonts w:hint="default"/>
                      <w:lang w:val="en-US" w:eastAsia="zh-CN"/>
                    </w:rPr>
                    <w:t>哑铃冲片机</w:t>
                  </w:r>
                </w:p>
              </w:tc>
              <w:tc>
                <w:tcPr>
                  <w:tcW w:w="407" w:type="pct"/>
                  <w:noWrap w:val="0"/>
                  <w:vAlign w:val="center"/>
                </w:tcPr>
                <w:p>
                  <w:pPr>
                    <w:pStyle w:val="11"/>
                    <w:bidi w:val="0"/>
                    <w:rPr>
                      <w:rFonts w:hint="default"/>
                      <w:lang w:val="en-US" w:eastAsia="zh-CN"/>
                    </w:rPr>
                  </w:pPr>
                  <w:r>
                    <w:rPr>
                      <w:rFonts w:hint="eastAsia"/>
                      <w:lang w:val="en-US" w:eastAsia="zh-CN"/>
                    </w:rPr>
                    <w:t>台</w:t>
                  </w:r>
                </w:p>
              </w:tc>
              <w:tc>
                <w:tcPr>
                  <w:tcW w:w="407" w:type="pct"/>
                  <w:noWrap w:val="0"/>
                  <w:vAlign w:val="center"/>
                </w:tcPr>
                <w:p>
                  <w:pPr>
                    <w:pStyle w:val="11"/>
                    <w:bidi w:val="0"/>
                    <w:rPr>
                      <w:rFonts w:hint="default"/>
                      <w:lang w:val="en-US" w:eastAsia="zh-CN"/>
                    </w:rPr>
                  </w:pPr>
                  <w:r>
                    <w:rPr>
                      <w:rFonts w:hint="eastAsia"/>
                      <w:lang w:val="en-US" w:eastAsia="zh-CN"/>
                    </w:rPr>
                    <w:t>2</w:t>
                  </w:r>
                </w:p>
              </w:tc>
              <w:tc>
                <w:tcPr>
                  <w:tcW w:w="1226" w:type="pct"/>
                  <w:noWrap w:val="0"/>
                  <w:vAlign w:val="center"/>
                </w:tcPr>
                <w:p>
                  <w:pPr>
                    <w:pStyle w:val="11"/>
                    <w:bidi w:val="0"/>
                    <w:ind w:firstLine="0" w:firstLineChars="0"/>
                  </w:pPr>
                  <w:r>
                    <w:rPr>
                      <w:rFonts w:hint="eastAsia"/>
                      <w:lang w:val="en-US" w:eastAsia="zh-CN"/>
                    </w:rPr>
                    <w:t>/</w:t>
                  </w:r>
                </w:p>
              </w:tc>
              <w:tc>
                <w:tcPr>
                  <w:tcW w:w="1081" w:type="pct"/>
                  <w:noWrap w:val="0"/>
                  <w:vAlign w:val="center"/>
                </w:tcPr>
                <w:p>
                  <w:pPr>
                    <w:pStyle w:val="11"/>
                    <w:bidi w:val="0"/>
                    <w:rPr>
                      <w:rFonts w:hint="eastAsia"/>
                    </w:rPr>
                  </w:pPr>
                  <w:r>
                    <w:rPr>
                      <w:rFonts w:hint="eastAsia"/>
                      <w:lang w:val="en-US" w:eastAsia="zh-CN"/>
                    </w:rPr>
                    <w:t>产品研发检测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17" w:type="pct"/>
                  <w:noWrap w:val="0"/>
                  <w:vAlign w:val="center"/>
                </w:tcPr>
                <w:p>
                  <w:pPr>
                    <w:pStyle w:val="11"/>
                    <w:bidi w:val="0"/>
                    <w:ind w:firstLine="0" w:firstLineChars="0"/>
                    <w:rPr>
                      <w:rFonts w:hint="default"/>
                      <w:lang w:val="en-US" w:eastAsia="zh-CN"/>
                    </w:rPr>
                  </w:pPr>
                  <w:r>
                    <w:rPr>
                      <w:rFonts w:hint="eastAsia"/>
                      <w:lang w:val="en-US" w:eastAsia="zh-CN"/>
                    </w:rPr>
                    <w:t>20</w:t>
                  </w:r>
                </w:p>
              </w:tc>
              <w:tc>
                <w:tcPr>
                  <w:tcW w:w="1560" w:type="pct"/>
                  <w:noWrap w:val="0"/>
                  <w:vAlign w:val="center"/>
                </w:tcPr>
                <w:p>
                  <w:pPr>
                    <w:pStyle w:val="11"/>
                    <w:bidi w:val="0"/>
                    <w:rPr>
                      <w:rFonts w:hint="default"/>
                      <w:lang w:val="en-US" w:eastAsia="zh-CN"/>
                    </w:rPr>
                  </w:pPr>
                  <w:r>
                    <w:rPr>
                      <w:rFonts w:hint="default"/>
                      <w:lang w:val="en-US" w:eastAsia="zh-CN"/>
                    </w:rPr>
                    <w:t>芯棒泄漏电流试验装置</w:t>
                  </w:r>
                </w:p>
              </w:tc>
              <w:tc>
                <w:tcPr>
                  <w:tcW w:w="407" w:type="pct"/>
                  <w:noWrap w:val="0"/>
                  <w:vAlign w:val="center"/>
                </w:tcPr>
                <w:p>
                  <w:pPr>
                    <w:pStyle w:val="11"/>
                    <w:bidi w:val="0"/>
                    <w:rPr>
                      <w:rFonts w:hint="default"/>
                      <w:lang w:val="en-US" w:eastAsia="zh-CN"/>
                    </w:rPr>
                  </w:pPr>
                  <w:r>
                    <w:rPr>
                      <w:rFonts w:hint="eastAsia"/>
                      <w:lang w:val="en-US" w:eastAsia="zh-CN"/>
                    </w:rPr>
                    <w:t>台</w:t>
                  </w:r>
                </w:p>
              </w:tc>
              <w:tc>
                <w:tcPr>
                  <w:tcW w:w="407" w:type="pct"/>
                  <w:noWrap w:val="0"/>
                  <w:vAlign w:val="center"/>
                </w:tcPr>
                <w:p>
                  <w:pPr>
                    <w:pStyle w:val="11"/>
                    <w:bidi w:val="0"/>
                    <w:rPr>
                      <w:rFonts w:hint="default"/>
                      <w:lang w:val="en-US" w:eastAsia="zh-CN"/>
                    </w:rPr>
                  </w:pPr>
                  <w:r>
                    <w:rPr>
                      <w:rFonts w:hint="eastAsia"/>
                      <w:lang w:val="en-US" w:eastAsia="zh-CN"/>
                    </w:rPr>
                    <w:t>2</w:t>
                  </w:r>
                </w:p>
              </w:tc>
              <w:tc>
                <w:tcPr>
                  <w:tcW w:w="1226" w:type="pct"/>
                  <w:noWrap w:val="0"/>
                  <w:vAlign w:val="center"/>
                </w:tcPr>
                <w:p>
                  <w:pPr>
                    <w:pStyle w:val="11"/>
                    <w:bidi w:val="0"/>
                    <w:ind w:firstLine="0" w:firstLineChars="0"/>
                  </w:pPr>
                  <w:r>
                    <w:rPr>
                      <w:rFonts w:hint="eastAsia"/>
                      <w:lang w:val="en-US" w:eastAsia="zh-CN"/>
                    </w:rPr>
                    <w:t>/</w:t>
                  </w:r>
                </w:p>
              </w:tc>
              <w:tc>
                <w:tcPr>
                  <w:tcW w:w="1081" w:type="pct"/>
                  <w:noWrap w:val="0"/>
                  <w:vAlign w:val="center"/>
                </w:tcPr>
                <w:p>
                  <w:pPr>
                    <w:pStyle w:val="11"/>
                    <w:bidi w:val="0"/>
                  </w:pPr>
                  <w:r>
                    <w:rPr>
                      <w:rFonts w:hint="eastAsia"/>
                      <w:lang w:val="en-US" w:eastAsia="zh-CN"/>
                    </w:rPr>
                    <w:t>产品研发检测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522" w:type="dxa"/>
                  <w:vAlign w:val="center"/>
                </w:tcPr>
                <w:p>
                  <w:pPr>
                    <w:pStyle w:val="11"/>
                    <w:bidi w:val="0"/>
                    <w:ind w:firstLine="0" w:firstLineChars="0"/>
                    <w:rPr>
                      <w:rFonts w:hint="default"/>
                      <w:lang w:val="en-US" w:eastAsia="zh-CN"/>
                    </w:rPr>
                  </w:pPr>
                  <w:r>
                    <w:rPr>
                      <w:rFonts w:hint="eastAsia"/>
                      <w:lang w:val="en-US" w:eastAsia="zh-CN"/>
                    </w:rPr>
                    <w:t>21</w:t>
                  </w:r>
                </w:p>
              </w:tc>
              <w:tc>
                <w:tcPr>
                  <w:tcW w:w="1560" w:type="pct"/>
                  <w:vAlign w:val="center"/>
                </w:tcPr>
                <w:p>
                  <w:pPr>
                    <w:pStyle w:val="11"/>
                    <w:bidi w:val="0"/>
                    <w:rPr>
                      <w:rFonts w:hint="default"/>
                      <w:lang w:val="en-US" w:eastAsia="zh-CN"/>
                    </w:rPr>
                  </w:pPr>
                  <w:r>
                    <w:rPr>
                      <w:rFonts w:hint="default"/>
                      <w:lang w:val="en-US" w:eastAsia="zh-CN"/>
                    </w:rPr>
                    <w:t>绝缘油介电强度测试仪</w:t>
                  </w:r>
                </w:p>
              </w:tc>
              <w:tc>
                <w:tcPr>
                  <w:tcW w:w="407" w:type="pct"/>
                  <w:vAlign w:val="center"/>
                </w:tcPr>
                <w:p>
                  <w:pPr>
                    <w:pStyle w:val="11"/>
                    <w:bidi w:val="0"/>
                    <w:rPr>
                      <w:rFonts w:hint="default"/>
                      <w:lang w:val="en-US" w:eastAsia="zh-CN"/>
                    </w:rPr>
                  </w:pPr>
                  <w:r>
                    <w:rPr>
                      <w:rFonts w:hint="eastAsia"/>
                      <w:lang w:val="en-US" w:eastAsia="zh-CN"/>
                    </w:rPr>
                    <w:t>台</w:t>
                  </w:r>
                </w:p>
              </w:tc>
              <w:tc>
                <w:tcPr>
                  <w:tcW w:w="407" w:type="pct"/>
                  <w:vAlign w:val="center"/>
                </w:tcPr>
                <w:p>
                  <w:pPr>
                    <w:pStyle w:val="11"/>
                    <w:bidi w:val="0"/>
                    <w:rPr>
                      <w:rFonts w:hint="default"/>
                      <w:lang w:val="en-US" w:eastAsia="zh-CN"/>
                    </w:rPr>
                  </w:pPr>
                  <w:r>
                    <w:rPr>
                      <w:rFonts w:hint="eastAsia"/>
                      <w:lang w:val="en-US" w:eastAsia="zh-CN"/>
                    </w:rPr>
                    <w:t>2</w:t>
                  </w:r>
                </w:p>
              </w:tc>
              <w:tc>
                <w:tcPr>
                  <w:tcW w:w="1226" w:type="pct"/>
                  <w:vAlign w:val="center"/>
                </w:tcPr>
                <w:p>
                  <w:pPr>
                    <w:pStyle w:val="11"/>
                    <w:bidi w:val="0"/>
                    <w:ind w:firstLine="0" w:firstLineChars="0"/>
                  </w:pPr>
                  <w:r>
                    <w:rPr>
                      <w:rFonts w:hint="eastAsia"/>
                      <w:lang w:val="en-US" w:eastAsia="zh-CN"/>
                    </w:rPr>
                    <w:t>/</w:t>
                  </w:r>
                </w:p>
              </w:tc>
              <w:tc>
                <w:tcPr>
                  <w:tcW w:w="1081" w:type="pct"/>
                  <w:vAlign w:val="center"/>
                </w:tcPr>
                <w:p>
                  <w:pPr>
                    <w:pStyle w:val="11"/>
                    <w:bidi w:val="0"/>
                  </w:pPr>
                  <w:r>
                    <w:rPr>
                      <w:rFonts w:hint="eastAsia"/>
                      <w:lang w:val="en-US" w:eastAsia="zh-CN"/>
                    </w:rPr>
                    <w:t>产品研发检测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522" w:type="dxa"/>
                  <w:vAlign w:val="center"/>
                </w:tcPr>
                <w:p>
                  <w:pPr>
                    <w:pStyle w:val="11"/>
                    <w:bidi w:val="0"/>
                    <w:ind w:firstLine="0" w:firstLineChars="0"/>
                    <w:rPr>
                      <w:rFonts w:hint="default"/>
                      <w:lang w:val="en-US" w:eastAsia="zh-CN"/>
                    </w:rPr>
                  </w:pPr>
                  <w:r>
                    <w:rPr>
                      <w:rFonts w:hint="eastAsia"/>
                      <w:lang w:val="en-US" w:eastAsia="zh-CN"/>
                    </w:rPr>
                    <w:t>22</w:t>
                  </w:r>
                </w:p>
              </w:tc>
              <w:tc>
                <w:tcPr>
                  <w:tcW w:w="1560" w:type="pct"/>
                  <w:vAlign w:val="center"/>
                </w:tcPr>
                <w:p>
                  <w:pPr>
                    <w:pStyle w:val="11"/>
                    <w:bidi w:val="0"/>
                    <w:rPr>
                      <w:rFonts w:hint="default"/>
                      <w:lang w:val="en-US" w:eastAsia="zh-CN"/>
                    </w:rPr>
                  </w:pPr>
                  <w:r>
                    <w:rPr>
                      <w:rFonts w:hint="eastAsia"/>
                      <w:lang w:val="en-US" w:eastAsia="zh-CN"/>
                    </w:rPr>
                    <w:t>水煮实验装置</w:t>
                  </w:r>
                </w:p>
              </w:tc>
              <w:tc>
                <w:tcPr>
                  <w:tcW w:w="407" w:type="pct"/>
                  <w:vAlign w:val="center"/>
                </w:tcPr>
                <w:p>
                  <w:pPr>
                    <w:pStyle w:val="11"/>
                    <w:bidi w:val="0"/>
                    <w:rPr>
                      <w:rFonts w:hint="default"/>
                      <w:lang w:val="en-US" w:eastAsia="zh-CN"/>
                    </w:rPr>
                  </w:pPr>
                  <w:r>
                    <w:rPr>
                      <w:rFonts w:hint="eastAsia"/>
                      <w:lang w:val="en-US" w:eastAsia="zh-CN"/>
                    </w:rPr>
                    <w:t>台</w:t>
                  </w:r>
                </w:p>
              </w:tc>
              <w:tc>
                <w:tcPr>
                  <w:tcW w:w="407" w:type="pct"/>
                  <w:vAlign w:val="center"/>
                </w:tcPr>
                <w:p>
                  <w:pPr>
                    <w:pStyle w:val="11"/>
                    <w:bidi w:val="0"/>
                    <w:rPr>
                      <w:rFonts w:hint="default"/>
                      <w:lang w:val="en-US" w:eastAsia="zh-CN"/>
                    </w:rPr>
                  </w:pPr>
                  <w:r>
                    <w:rPr>
                      <w:rFonts w:hint="eastAsia"/>
                      <w:lang w:val="en-US" w:eastAsia="zh-CN"/>
                    </w:rPr>
                    <w:t>1</w:t>
                  </w:r>
                </w:p>
              </w:tc>
              <w:tc>
                <w:tcPr>
                  <w:tcW w:w="1226" w:type="pct"/>
                  <w:vAlign w:val="center"/>
                </w:tcPr>
                <w:p>
                  <w:pPr>
                    <w:pStyle w:val="11"/>
                    <w:bidi w:val="0"/>
                    <w:ind w:firstLine="0" w:firstLineChars="0"/>
                  </w:pPr>
                  <w:r>
                    <w:rPr>
                      <w:rFonts w:hint="eastAsia"/>
                      <w:lang w:val="en-US" w:eastAsia="zh-CN"/>
                    </w:rPr>
                    <w:t>/</w:t>
                  </w:r>
                </w:p>
              </w:tc>
              <w:tc>
                <w:tcPr>
                  <w:tcW w:w="1081" w:type="pct"/>
                  <w:vAlign w:val="center"/>
                </w:tcPr>
                <w:p>
                  <w:pPr>
                    <w:pStyle w:val="11"/>
                    <w:bidi w:val="0"/>
                  </w:pPr>
                  <w:r>
                    <w:rPr>
                      <w:rFonts w:hint="eastAsia"/>
                      <w:lang w:val="en-US" w:eastAsia="zh-CN"/>
                    </w:rPr>
                    <w:t>产品研发检测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522" w:type="dxa"/>
                  <w:vAlign w:val="center"/>
                </w:tcPr>
                <w:p>
                  <w:pPr>
                    <w:pStyle w:val="11"/>
                    <w:bidi w:val="0"/>
                    <w:ind w:firstLine="0" w:firstLineChars="0"/>
                    <w:rPr>
                      <w:rFonts w:hint="default"/>
                      <w:lang w:val="en-US" w:eastAsia="zh-CN"/>
                    </w:rPr>
                  </w:pPr>
                  <w:r>
                    <w:rPr>
                      <w:rFonts w:hint="eastAsia"/>
                      <w:lang w:val="en-US" w:eastAsia="zh-CN"/>
                    </w:rPr>
                    <w:t>23</w:t>
                  </w:r>
                </w:p>
              </w:tc>
              <w:tc>
                <w:tcPr>
                  <w:tcW w:w="1560" w:type="pct"/>
                  <w:vAlign w:val="center"/>
                </w:tcPr>
                <w:p>
                  <w:pPr>
                    <w:pStyle w:val="11"/>
                    <w:bidi w:val="0"/>
                    <w:rPr>
                      <w:rFonts w:hint="default"/>
                      <w:lang w:val="en-US" w:eastAsia="zh-CN"/>
                    </w:rPr>
                  </w:pPr>
                  <w:r>
                    <w:rPr>
                      <w:rFonts w:hint="eastAsia"/>
                      <w:lang w:val="en-US" w:eastAsia="zh-CN"/>
                    </w:rPr>
                    <w:t>盐雾试验装置</w:t>
                  </w:r>
                </w:p>
              </w:tc>
              <w:tc>
                <w:tcPr>
                  <w:tcW w:w="407" w:type="pct"/>
                  <w:vAlign w:val="center"/>
                </w:tcPr>
                <w:p>
                  <w:pPr>
                    <w:pStyle w:val="11"/>
                    <w:bidi w:val="0"/>
                    <w:rPr>
                      <w:rFonts w:hint="default"/>
                      <w:lang w:val="en-US" w:eastAsia="zh-CN"/>
                    </w:rPr>
                  </w:pPr>
                  <w:r>
                    <w:rPr>
                      <w:rFonts w:hint="eastAsia"/>
                      <w:lang w:val="en-US" w:eastAsia="zh-CN"/>
                    </w:rPr>
                    <w:t>台</w:t>
                  </w:r>
                </w:p>
              </w:tc>
              <w:tc>
                <w:tcPr>
                  <w:tcW w:w="407" w:type="pct"/>
                  <w:vAlign w:val="center"/>
                </w:tcPr>
                <w:p>
                  <w:pPr>
                    <w:pStyle w:val="11"/>
                    <w:bidi w:val="0"/>
                    <w:rPr>
                      <w:rFonts w:hint="default"/>
                      <w:lang w:val="en-US" w:eastAsia="zh-CN"/>
                    </w:rPr>
                  </w:pPr>
                  <w:r>
                    <w:rPr>
                      <w:rFonts w:hint="eastAsia"/>
                      <w:lang w:val="en-US" w:eastAsia="zh-CN"/>
                    </w:rPr>
                    <w:t>1</w:t>
                  </w:r>
                </w:p>
              </w:tc>
              <w:tc>
                <w:tcPr>
                  <w:tcW w:w="1226" w:type="pct"/>
                  <w:vAlign w:val="center"/>
                </w:tcPr>
                <w:p>
                  <w:pPr>
                    <w:pStyle w:val="11"/>
                    <w:bidi w:val="0"/>
                    <w:ind w:firstLine="0" w:firstLineChars="0"/>
                  </w:pPr>
                  <w:r>
                    <w:rPr>
                      <w:rFonts w:hint="eastAsia"/>
                      <w:lang w:val="en-US" w:eastAsia="zh-CN"/>
                    </w:rPr>
                    <w:t>/</w:t>
                  </w:r>
                </w:p>
              </w:tc>
              <w:tc>
                <w:tcPr>
                  <w:tcW w:w="1785" w:type="dxa"/>
                  <w:vAlign w:val="center"/>
                </w:tcPr>
                <w:p>
                  <w:pPr>
                    <w:pStyle w:val="11"/>
                    <w:bidi w:val="0"/>
                    <w:rPr>
                      <w:rFonts w:hint="default"/>
                      <w:lang w:val="en-US" w:eastAsia="zh-CN"/>
                    </w:rPr>
                  </w:pPr>
                  <w:r>
                    <w:rPr>
                      <w:rFonts w:hint="eastAsia"/>
                      <w:lang w:val="en-US" w:eastAsia="zh-CN"/>
                    </w:rPr>
                    <w:t>产品研发检测</w:t>
                  </w:r>
                </w:p>
              </w:tc>
            </w:tr>
          </w:tbl>
          <w:p>
            <w:pPr>
              <w:pStyle w:val="4"/>
              <w:bidi w:val="0"/>
            </w:pPr>
            <w:r>
              <w:rPr>
                <w:rFonts w:hint="eastAsia"/>
                <w:lang w:val="en-US" w:eastAsia="zh-CN"/>
              </w:rPr>
              <w:t>4、</w:t>
            </w:r>
            <w:r>
              <w:t>原辅材料及资（能）源消耗</w:t>
            </w:r>
          </w:p>
          <w:p>
            <w:pPr>
              <w:bidi w:val="0"/>
            </w:pPr>
            <w:r>
              <w:t>本项目</w:t>
            </w:r>
            <w:r>
              <w:rPr>
                <w:rFonts w:hint="eastAsia"/>
              </w:rPr>
              <w:t>不使用外购再生料，原料均为外购新料，其中</w:t>
            </w:r>
            <w:r>
              <w:t>原辅材料及资（能）源消耗见表2-4。</w:t>
            </w:r>
          </w:p>
          <w:p>
            <w:pPr>
              <w:pStyle w:val="12"/>
              <w:widowControl w:val="0"/>
              <w:bidi w:val="0"/>
            </w:pPr>
            <w:r>
              <w:t xml:space="preserve">表2-4  </w:t>
            </w:r>
            <w:r>
              <w:rPr>
                <w:rFonts w:hint="eastAsia"/>
                <w:lang w:val="en-US" w:eastAsia="zh-CN"/>
              </w:rPr>
              <w:t xml:space="preserve"> </w:t>
            </w:r>
            <w:r>
              <w:t>本项目原辅材料消耗一览表</w:t>
            </w:r>
          </w:p>
          <w:tbl>
            <w:tblPr>
              <w:tblStyle w:val="9"/>
              <w:tblW w:w="7970"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1500"/>
              <w:gridCol w:w="1650"/>
              <w:gridCol w:w="2488"/>
              <w:gridCol w:w="15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pStyle w:val="11"/>
                    <w:bidi w:val="0"/>
                    <w:ind w:firstLine="0" w:firstLineChars="0"/>
                    <w:jc w:val="center"/>
                    <w:rPr>
                      <w:lang w:val="en-US" w:eastAsia="zh-CN"/>
                    </w:rPr>
                  </w:pPr>
                  <w:r>
                    <w:t>序号</w:t>
                  </w:r>
                </w:p>
              </w:tc>
              <w:tc>
                <w:tcPr>
                  <w:tcW w:w="1500" w:type="dxa"/>
                  <w:vAlign w:val="center"/>
                </w:tcPr>
                <w:p>
                  <w:pPr>
                    <w:pStyle w:val="11"/>
                    <w:bidi w:val="0"/>
                    <w:ind w:firstLine="0" w:firstLineChars="0"/>
                    <w:jc w:val="center"/>
                    <w:rPr>
                      <w:rFonts w:hint="default"/>
                      <w:lang w:val="en-US" w:eastAsia="zh-CN"/>
                    </w:rPr>
                  </w:pPr>
                  <w:r>
                    <w:rPr>
                      <w:rFonts w:hint="eastAsia"/>
                      <w:lang w:val="en-US" w:eastAsia="zh-CN"/>
                    </w:rPr>
                    <w:t>产品名称</w:t>
                  </w:r>
                </w:p>
              </w:tc>
              <w:tc>
                <w:tcPr>
                  <w:tcW w:w="1650" w:type="dxa"/>
                  <w:vAlign w:val="center"/>
                </w:tcPr>
                <w:p>
                  <w:pPr>
                    <w:pStyle w:val="11"/>
                    <w:bidi w:val="0"/>
                    <w:ind w:firstLine="0" w:firstLineChars="0"/>
                    <w:jc w:val="center"/>
                    <w:rPr>
                      <w:lang w:val="en-US" w:eastAsia="zh-CN"/>
                    </w:rPr>
                  </w:pPr>
                  <w:r>
                    <w:t>材料名称</w:t>
                  </w:r>
                </w:p>
              </w:tc>
              <w:tc>
                <w:tcPr>
                  <w:tcW w:w="2488" w:type="dxa"/>
                  <w:vAlign w:val="center"/>
                </w:tcPr>
                <w:p>
                  <w:pPr>
                    <w:pStyle w:val="11"/>
                    <w:bidi w:val="0"/>
                    <w:ind w:firstLine="0" w:firstLineChars="0"/>
                    <w:jc w:val="center"/>
                    <w:rPr>
                      <w:lang w:val="en-US" w:eastAsia="zh-CN"/>
                    </w:rPr>
                  </w:pPr>
                  <w:r>
                    <w:t>年用量</w:t>
                  </w:r>
                </w:p>
              </w:tc>
              <w:tc>
                <w:tcPr>
                  <w:tcW w:w="1594" w:type="dxa"/>
                  <w:vAlign w:val="center"/>
                </w:tcPr>
                <w:p>
                  <w:pPr>
                    <w:pStyle w:val="11"/>
                    <w:bidi w:val="0"/>
                    <w:ind w:firstLine="0" w:firstLineChars="0"/>
                    <w:jc w:val="center"/>
                    <w:rPr>
                      <w:lang w:val="en-US" w:eastAsia="zh-CN"/>
                    </w:rPr>
                  </w:pPr>
                  <w: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970" w:type="dxa"/>
                  <w:gridSpan w:val="5"/>
                  <w:vAlign w:val="center"/>
                </w:tcPr>
                <w:p>
                  <w:pPr>
                    <w:pStyle w:val="11"/>
                    <w:bidi w:val="0"/>
                    <w:ind w:firstLine="0" w:firstLineChars="0"/>
                    <w:jc w:val="center"/>
                    <w:rPr>
                      <w:rFonts w:hint="eastAsia"/>
                      <w:lang w:val="en-US" w:eastAsia="zh-CN"/>
                    </w:rPr>
                  </w:pPr>
                  <w:r>
                    <w:rPr>
                      <w:rFonts w:hint="eastAsia"/>
                      <w:lang w:val="en-US" w:eastAsia="zh-CN"/>
                    </w:rPr>
                    <w:t>一、原辅材料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pStyle w:val="11"/>
                    <w:bidi w:val="0"/>
                    <w:jc w:val="center"/>
                    <w:rPr>
                      <w:rFonts w:hint="eastAsia"/>
                      <w:lang w:val="en-US" w:eastAsia="zh-CN"/>
                    </w:rPr>
                  </w:pPr>
                  <w:r>
                    <w:rPr>
                      <w:rFonts w:hint="eastAsia"/>
                      <w:lang w:val="en-US" w:eastAsia="zh-CN"/>
                    </w:rPr>
                    <w:t>1</w:t>
                  </w:r>
                </w:p>
              </w:tc>
              <w:tc>
                <w:tcPr>
                  <w:tcW w:w="1500" w:type="dxa"/>
                  <w:vMerge w:val="restart"/>
                  <w:vAlign w:val="center"/>
                </w:tcPr>
                <w:p>
                  <w:pPr>
                    <w:pStyle w:val="11"/>
                    <w:bidi w:val="0"/>
                    <w:jc w:val="center"/>
                    <w:rPr>
                      <w:rFonts w:hint="eastAsia"/>
                      <w:lang w:val="en-US" w:eastAsia="zh-CN"/>
                    </w:rPr>
                  </w:pPr>
                  <w:r>
                    <w:rPr>
                      <w:rFonts w:hint="eastAsia"/>
                      <w:lang w:val="en-US" w:eastAsia="zh-CN"/>
                    </w:rPr>
                    <w:t>高低压交直流复合绝缘子</w:t>
                  </w:r>
                </w:p>
              </w:tc>
              <w:tc>
                <w:tcPr>
                  <w:tcW w:w="1650" w:type="dxa"/>
                  <w:vAlign w:val="center"/>
                </w:tcPr>
                <w:p>
                  <w:pPr>
                    <w:pStyle w:val="11"/>
                    <w:bidi w:val="0"/>
                    <w:ind w:firstLine="0" w:firstLineChars="0"/>
                    <w:jc w:val="center"/>
                    <w:rPr>
                      <w:lang w:val="en-US" w:eastAsia="zh-CN"/>
                    </w:rPr>
                  </w:pPr>
                  <w:r>
                    <w:rPr>
                      <w:rFonts w:hint="eastAsia"/>
                      <w:lang w:val="en-US" w:eastAsia="zh-CN"/>
                    </w:rPr>
                    <w:t>硅胶</w:t>
                  </w:r>
                </w:p>
              </w:tc>
              <w:tc>
                <w:tcPr>
                  <w:tcW w:w="2488" w:type="dxa"/>
                  <w:vAlign w:val="center"/>
                </w:tcPr>
                <w:p>
                  <w:pPr>
                    <w:pStyle w:val="11"/>
                    <w:bidi w:val="0"/>
                    <w:jc w:val="center"/>
                    <w:rPr>
                      <w:rFonts w:hint="default"/>
                      <w:lang w:val="en-US" w:eastAsia="zh-CN"/>
                    </w:rPr>
                  </w:pPr>
                  <w:r>
                    <w:rPr>
                      <w:rFonts w:hint="eastAsia"/>
                      <w:lang w:val="en-US" w:eastAsia="zh-CN"/>
                    </w:rPr>
                    <w:t>100t/a</w:t>
                  </w:r>
                </w:p>
              </w:tc>
              <w:tc>
                <w:tcPr>
                  <w:tcW w:w="1594" w:type="dxa"/>
                  <w:vAlign w:val="center"/>
                </w:tcPr>
                <w:p>
                  <w:pPr>
                    <w:pStyle w:val="11"/>
                    <w:bidi w:val="0"/>
                    <w:jc w:val="center"/>
                    <w:rPr>
                      <w:rFonts w:hint="eastAsia"/>
                      <w:lang w:val="en-US" w:eastAsia="zh-CN"/>
                    </w:rPr>
                  </w:pPr>
                  <w:r>
                    <w:rPr>
                      <w:rFonts w:hint="eastAsia"/>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pStyle w:val="11"/>
                    <w:bidi w:val="0"/>
                    <w:jc w:val="center"/>
                    <w:rPr>
                      <w:rFonts w:hint="eastAsia"/>
                      <w:lang w:val="en-US" w:eastAsia="zh-CN"/>
                    </w:rPr>
                  </w:pPr>
                  <w:r>
                    <w:rPr>
                      <w:rFonts w:hint="eastAsia"/>
                      <w:lang w:val="en-US" w:eastAsia="zh-CN"/>
                    </w:rPr>
                    <w:t>2</w:t>
                  </w:r>
                </w:p>
              </w:tc>
              <w:tc>
                <w:tcPr>
                  <w:tcW w:w="1500" w:type="dxa"/>
                  <w:vMerge w:val="continue"/>
                  <w:vAlign w:val="center"/>
                </w:tcPr>
                <w:p>
                  <w:pPr>
                    <w:pStyle w:val="11"/>
                    <w:bidi w:val="0"/>
                    <w:jc w:val="center"/>
                  </w:pPr>
                </w:p>
              </w:tc>
              <w:tc>
                <w:tcPr>
                  <w:tcW w:w="1650" w:type="dxa"/>
                  <w:vAlign w:val="center"/>
                </w:tcPr>
                <w:p>
                  <w:pPr>
                    <w:pStyle w:val="11"/>
                    <w:bidi w:val="0"/>
                    <w:ind w:firstLine="0" w:firstLineChars="0"/>
                    <w:jc w:val="center"/>
                    <w:rPr>
                      <w:rFonts w:hint="default"/>
                      <w:lang w:val="en-US" w:eastAsia="zh-CN"/>
                    </w:rPr>
                  </w:pPr>
                  <w:r>
                    <w:rPr>
                      <w:rFonts w:hint="eastAsia"/>
                      <w:lang w:val="en-US" w:eastAsia="zh-CN"/>
                    </w:rPr>
                    <w:t>白炭黑</w:t>
                  </w:r>
                </w:p>
              </w:tc>
              <w:tc>
                <w:tcPr>
                  <w:tcW w:w="2488" w:type="dxa"/>
                  <w:vAlign w:val="center"/>
                </w:tcPr>
                <w:p>
                  <w:pPr>
                    <w:pStyle w:val="11"/>
                    <w:bidi w:val="0"/>
                    <w:jc w:val="center"/>
                    <w:rPr>
                      <w:rFonts w:hint="default"/>
                      <w:lang w:val="en-US" w:eastAsia="zh-CN"/>
                    </w:rPr>
                  </w:pPr>
                  <w:r>
                    <w:rPr>
                      <w:rFonts w:hint="eastAsia"/>
                      <w:lang w:val="en-US" w:eastAsia="zh-CN"/>
                    </w:rPr>
                    <w:t>50t/a</w:t>
                  </w:r>
                </w:p>
              </w:tc>
              <w:tc>
                <w:tcPr>
                  <w:tcW w:w="1594" w:type="dxa"/>
                  <w:vAlign w:val="center"/>
                </w:tcPr>
                <w:p>
                  <w:pPr>
                    <w:pStyle w:val="11"/>
                    <w:bidi w:val="0"/>
                    <w:jc w:val="center"/>
                  </w:pPr>
                  <w:r>
                    <w:rPr>
                      <w:rFonts w:hint="eastAsia"/>
                      <w:lang w:val="en-US" w:eastAsia="zh-CN"/>
                    </w:rPr>
                    <w:t>氢氧化铝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pStyle w:val="11"/>
                    <w:bidi w:val="0"/>
                    <w:jc w:val="center"/>
                    <w:rPr>
                      <w:rFonts w:hint="eastAsia"/>
                      <w:lang w:val="en-US" w:eastAsia="zh-CN"/>
                    </w:rPr>
                  </w:pPr>
                  <w:r>
                    <w:rPr>
                      <w:rFonts w:hint="eastAsia"/>
                      <w:lang w:val="en-US" w:eastAsia="zh-CN"/>
                    </w:rPr>
                    <w:t>3</w:t>
                  </w:r>
                </w:p>
              </w:tc>
              <w:tc>
                <w:tcPr>
                  <w:tcW w:w="1500" w:type="dxa"/>
                  <w:vMerge w:val="continue"/>
                  <w:vAlign w:val="center"/>
                </w:tcPr>
                <w:p>
                  <w:pPr>
                    <w:pStyle w:val="11"/>
                    <w:bidi w:val="0"/>
                    <w:jc w:val="center"/>
                  </w:pPr>
                </w:p>
              </w:tc>
              <w:tc>
                <w:tcPr>
                  <w:tcW w:w="1650" w:type="dxa"/>
                  <w:vAlign w:val="center"/>
                </w:tcPr>
                <w:p>
                  <w:pPr>
                    <w:pStyle w:val="11"/>
                    <w:bidi w:val="0"/>
                    <w:ind w:firstLine="0" w:firstLineChars="0"/>
                    <w:jc w:val="center"/>
                    <w:rPr>
                      <w:rFonts w:hint="default"/>
                      <w:lang w:val="en-US" w:eastAsia="zh-CN"/>
                    </w:rPr>
                  </w:pPr>
                  <w:r>
                    <w:rPr>
                      <w:rFonts w:hint="eastAsia"/>
                      <w:lang w:val="en-US" w:eastAsia="zh-CN"/>
                    </w:rPr>
                    <w:t>硅油</w:t>
                  </w:r>
                </w:p>
              </w:tc>
              <w:tc>
                <w:tcPr>
                  <w:tcW w:w="2488" w:type="dxa"/>
                  <w:vAlign w:val="center"/>
                </w:tcPr>
                <w:p>
                  <w:pPr>
                    <w:pStyle w:val="11"/>
                    <w:bidi w:val="0"/>
                    <w:jc w:val="center"/>
                    <w:rPr>
                      <w:rFonts w:hint="default"/>
                      <w:lang w:val="en-US" w:eastAsia="zh-CN"/>
                    </w:rPr>
                  </w:pPr>
                  <w:r>
                    <w:rPr>
                      <w:rFonts w:hint="eastAsia"/>
                      <w:lang w:val="en-US" w:eastAsia="zh-CN"/>
                    </w:rPr>
                    <w:t>50t/a</w:t>
                  </w:r>
                </w:p>
              </w:tc>
              <w:tc>
                <w:tcPr>
                  <w:tcW w:w="1594" w:type="dxa"/>
                  <w:vAlign w:val="center"/>
                </w:tcPr>
                <w:p>
                  <w:pPr>
                    <w:pStyle w:val="11"/>
                    <w:bidi w:val="0"/>
                    <w:jc w:val="center"/>
                  </w:pPr>
                  <w:r>
                    <w:rPr>
                      <w:rFonts w:hint="eastAsia"/>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pStyle w:val="11"/>
                    <w:bidi w:val="0"/>
                    <w:jc w:val="center"/>
                    <w:rPr>
                      <w:rFonts w:hint="eastAsia"/>
                      <w:lang w:val="en-US" w:eastAsia="zh-CN"/>
                    </w:rPr>
                  </w:pPr>
                  <w:r>
                    <w:rPr>
                      <w:rFonts w:hint="eastAsia"/>
                      <w:lang w:val="en-US" w:eastAsia="zh-CN"/>
                    </w:rPr>
                    <w:t>4</w:t>
                  </w:r>
                </w:p>
              </w:tc>
              <w:tc>
                <w:tcPr>
                  <w:tcW w:w="1500" w:type="dxa"/>
                  <w:vMerge w:val="continue"/>
                  <w:vAlign w:val="center"/>
                </w:tcPr>
                <w:p>
                  <w:pPr>
                    <w:pStyle w:val="11"/>
                    <w:bidi w:val="0"/>
                    <w:jc w:val="center"/>
                  </w:pPr>
                </w:p>
              </w:tc>
              <w:tc>
                <w:tcPr>
                  <w:tcW w:w="1650" w:type="dxa"/>
                  <w:vAlign w:val="center"/>
                </w:tcPr>
                <w:p>
                  <w:pPr>
                    <w:pStyle w:val="11"/>
                    <w:bidi w:val="0"/>
                    <w:ind w:firstLine="0" w:firstLineChars="0"/>
                    <w:jc w:val="center"/>
                    <w:rPr>
                      <w:rFonts w:hint="default"/>
                      <w:lang w:val="en-US" w:eastAsia="zh-CN"/>
                    </w:rPr>
                  </w:pPr>
                  <w:r>
                    <w:rPr>
                      <w:rFonts w:hint="default"/>
                      <w:lang w:val="en-US" w:eastAsia="zh-CN"/>
                    </w:rPr>
                    <w:t>硅胶色膏</w:t>
                  </w:r>
                </w:p>
              </w:tc>
              <w:tc>
                <w:tcPr>
                  <w:tcW w:w="2488" w:type="dxa"/>
                  <w:vAlign w:val="center"/>
                </w:tcPr>
                <w:p>
                  <w:pPr>
                    <w:pStyle w:val="11"/>
                    <w:bidi w:val="0"/>
                    <w:jc w:val="center"/>
                  </w:pPr>
                  <w:r>
                    <w:rPr>
                      <w:rFonts w:hint="eastAsia"/>
                      <w:lang w:val="en-US" w:eastAsia="zh-CN"/>
                    </w:rPr>
                    <w:t>10kg/a</w:t>
                  </w:r>
                </w:p>
              </w:tc>
              <w:tc>
                <w:tcPr>
                  <w:tcW w:w="1594" w:type="dxa"/>
                  <w:vAlign w:val="center"/>
                </w:tcPr>
                <w:p>
                  <w:pPr>
                    <w:pStyle w:val="11"/>
                    <w:bidi w:val="0"/>
                    <w:jc w:val="center"/>
                  </w:pPr>
                  <w:r>
                    <w:rPr>
                      <w:rFonts w:hint="eastAsia"/>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pStyle w:val="11"/>
                    <w:bidi w:val="0"/>
                    <w:ind w:firstLine="0" w:firstLineChars="0"/>
                    <w:jc w:val="center"/>
                    <w:rPr>
                      <w:rFonts w:hint="eastAsia"/>
                      <w:lang w:val="en-US" w:eastAsia="zh-CN"/>
                    </w:rPr>
                  </w:pPr>
                  <w:r>
                    <w:rPr>
                      <w:rFonts w:hint="eastAsia"/>
                      <w:lang w:val="en-US" w:eastAsia="zh-CN"/>
                    </w:rPr>
                    <w:t>5</w:t>
                  </w:r>
                </w:p>
              </w:tc>
              <w:tc>
                <w:tcPr>
                  <w:tcW w:w="1500" w:type="dxa"/>
                  <w:vMerge w:val="continue"/>
                  <w:vAlign w:val="center"/>
                </w:tcPr>
                <w:p>
                  <w:pPr>
                    <w:pStyle w:val="11"/>
                    <w:bidi w:val="0"/>
                    <w:jc w:val="center"/>
                  </w:pPr>
                </w:p>
              </w:tc>
              <w:tc>
                <w:tcPr>
                  <w:tcW w:w="1650" w:type="dxa"/>
                  <w:vAlign w:val="center"/>
                </w:tcPr>
                <w:p>
                  <w:pPr>
                    <w:pStyle w:val="11"/>
                    <w:bidi w:val="0"/>
                    <w:ind w:firstLine="0" w:firstLineChars="0"/>
                    <w:jc w:val="center"/>
                    <w:rPr>
                      <w:rFonts w:hint="default"/>
                      <w:lang w:val="en-US" w:eastAsia="zh-CN"/>
                    </w:rPr>
                  </w:pPr>
                  <w:r>
                    <w:rPr>
                      <w:rFonts w:hint="eastAsia"/>
                      <w:lang w:val="en-US" w:eastAsia="zh-CN"/>
                    </w:rPr>
                    <w:t>瓷芯</w:t>
                  </w:r>
                </w:p>
              </w:tc>
              <w:tc>
                <w:tcPr>
                  <w:tcW w:w="2488" w:type="dxa"/>
                  <w:vAlign w:val="center"/>
                </w:tcPr>
                <w:p>
                  <w:pPr>
                    <w:pStyle w:val="11"/>
                    <w:bidi w:val="0"/>
                    <w:jc w:val="center"/>
                    <w:rPr>
                      <w:rFonts w:hint="eastAsia"/>
                      <w:lang w:val="en-US" w:eastAsia="zh-CN"/>
                    </w:rPr>
                  </w:pPr>
                  <w:r>
                    <w:rPr>
                      <w:rFonts w:hint="eastAsia"/>
                      <w:lang w:val="en-US" w:eastAsia="zh-CN"/>
                    </w:rPr>
                    <w:t>6万个/a</w:t>
                  </w:r>
                </w:p>
              </w:tc>
              <w:tc>
                <w:tcPr>
                  <w:tcW w:w="1594" w:type="dxa"/>
                  <w:vAlign w:val="center"/>
                </w:tcPr>
                <w:p>
                  <w:pPr>
                    <w:pStyle w:val="11"/>
                    <w:bidi w:val="0"/>
                    <w:jc w:val="center"/>
                    <w:rPr>
                      <w:rFonts w:hint="default"/>
                      <w:lang w:val="en-US" w:eastAsia="zh-CN"/>
                    </w:rPr>
                  </w:pPr>
                  <w:r>
                    <w:rPr>
                      <w:rFonts w:hint="eastAsia"/>
                      <w:lang w:val="en-US" w:eastAsia="zh-CN"/>
                    </w:rPr>
                    <w:t>盘型绝缘子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pStyle w:val="11"/>
                    <w:bidi w:val="0"/>
                    <w:ind w:firstLine="0" w:firstLineChars="0"/>
                    <w:jc w:val="center"/>
                    <w:rPr>
                      <w:rFonts w:hint="eastAsia"/>
                      <w:lang w:val="en-US" w:eastAsia="zh-CN"/>
                    </w:rPr>
                  </w:pPr>
                  <w:r>
                    <w:rPr>
                      <w:rFonts w:hint="eastAsia"/>
                      <w:lang w:val="en-US" w:eastAsia="zh-CN"/>
                    </w:rPr>
                    <w:t>6</w:t>
                  </w:r>
                </w:p>
              </w:tc>
              <w:tc>
                <w:tcPr>
                  <w:tcW w:w="1500" w:type="dxa"/>
                  <w:vMerge w:val="continue"/>
                  <w:vAlign w:val="center"/>
                </w:tcPr>
                <w:p>
                  <w:pPr>
                    <w:pStyle w:val="11"/>
                    <w:bidi w:val="0"/>
                    <w:jc w:val="center"/>
                  </w:pPr>
                </w:p>
              </w:tc>
              <w:tc>
                <w:tcPr>
                  <w:tcW w:w="1650" w:type="dxa"/>
                  <w:vAlign w:val="center"/>
                </w:tcPr>
                <w:p>
                  <w:pPr>
                    <w:pStyle w:val="11"/>
                    <w:bidi w:val="0"/>
                    <w:ind w:firstLine="0" w:firstLineChars="0"/>
                    <w:jc w:val="center"/>
                    <w:rPr>
                      <w:lang w:val="en-US" w:eastAsia="zh-CN"/>
                    </w:rPr>
                  </w:pPr>
                  <w:r>
                    <w:rPr>
                      <w:rFonts w:hint="eastAsia"/>
                      <w:lang w:val="en-US" w:eastAsia="zh-CN"/>
                    </w:rPr>
                    <w:t>玻璃芯</w:t>
                  </w:r>
                </w:p>
              </w:tc>
              <w:tc>
                <w:tcPr>
                  <w:tcW w:w="2488" w:type="dxa"/>
                  <w:vAlign w:val="center"/>
                </w:tcPr>
                <w:p>
                  <w:pPr>
                    <w:pStyle w:val="11"/>
                    <w:bidi w:val="0"/>
                    <w:jc w:val="center"/>
                    <w:rPr>
                      <w:rFonts w:hint="default"/>
                      <w:lang w:val="en-US" w:eastAsia="zh-CN"/>
                    </w:rPr>
                  </w:pPr>
                  <w:r>
                    <w:rPr>
                      <w:rFonts w:hint="eastAsia"/>
                      <w:lang w:val="en-US" w:eastAsia="zh-CN"/>
                    </w:rPr>
                    <w:t>6万个/a</w:t>
                  </w:r>
                </w:p>
              </w:tc>
              <w:tc>
                <w:tcPr>
                  <w:tcW w:w="1594" w:type="dxa"/>
                  <w:vAlign w:val="center"/>
                </w:tcPr>
                <w:p>
                  <w:pPr>
                    <w:pStyle w:val="11"/>
                    <w:bidi w:val="0"/>
                    <w:jc w:val="center"/>
                    <w:rPr>
                      <w:rFonts w:hint="default"/>
                      <w:lang w:val="en-US"/>
                    </w:rPr>
                  </w:pPr>
                  <w:r>
                    <w:rPr>
                      <w:rFonts w:hint="eastAsia"/>
                      <w:lang w:val="en-US" w:eastAsia="zh-CN"/>
                    </w:rPr>
                    <w:t>盘型绝缘子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pStyle w:val="11"/>
                    <w:bidi w:val="0"/>
                    <w:ind w:firstLine="0" w:firstLineChars="0"/>
                    <w:jc w:val="center"/>
                    <w:rPr>
                      <w:rFonts w:hint="eastAsia"/>
                      <w:lang w:val="en-US" w:eastAsia="zh-CN"/>
                    </w:rPr>
                  </w:pPr>
                  <w:r>
                    <w:rPr>
                      <w:rFonts w:hint="eastAsia"/>
                      <w:lang w:val="en-US" w:eastAsia="zh-CN"/>
                    </w:rPr>
                    <w:t>7</w:t>
                  </w:r>
                </w:p>
              </w:tc>
              <w:tc>
                <w:tcPr>
                  <w:tcW w:w="1500" w:type="dxa"/>
                  <w:vMerge w:val="continue"/>
                  <w:vAlign w:val="center"/>
                </w:tcPr>
                <w:p>
                  <w:pPr>
                    <w:pStyle w:val="11"/>
                    <w:bidi w:val="0"/>
                    <w:jc w:val="center"/>
                  </w:pPr>
                </w:p>
              </w:tc>
              <w:tc>
                <w:tcPr>
                  <w:tcW w:w="1650" w:type="dxa"/>
                  <w:vAlign w:val="center"/>
                </w:tcPr>
                <w:p>
                  <w:pPr>
                    <w:pStyle w:val="11"/>
                    <w:bidi w:val="0"/>
                    <w:ind w:firstLine="0" w:firstLineChars="0"/>
                    <w:jc w:val="center"/>
                    <w:rPr>
                      <w:lang w:val="en-US" w:eastAsia="zh-CN"/>
                    </w:rPr>
                  </w:pPr>
                  <w:r>
                    <w:rPr>
                      <w:rFonts w:hint="eastAsia"/>
                      <w:lang w:val="en-US" w:eastAsia="zh-CN"/>
                    </w:rPr>
                    <w:t>玻璃纤维棒</w:t>
                  </w:r>
                </w:p>
              </w:tc>
              <w:tc>
                <w:tcPr>
                  <w:tcW w:w="2488" w:type="dxa"/>
                  <w:vAlign w:val="center"/>
                </w:tcPr>
                <w:p>
                  <w:pPr>
                    <w:pStyle w:val="11"/>
                    <w:bidi w:val="0"/>
                    <w:jc w:val="center"/>
                  </w:pPr>
                  <w:r>
                    <w:rPr>
                      <w:rFonts w:hint="eastAsia"/>
                      <w:lang w:val="en-US" w:eastAsia="zh-CN"/>
                    </w:rPr>
                    <w:t>4万个/a</w:t>
                  </w:r>
                </w:p>
              </w:tc>
              <w:tc>
                <w:tcPr>
                  <w:tcW w:w="1594" w:type="dxa"/>
                  <w:vAlign w:val="center"/>
                </w:tcPr>
                <w:p>
                  <w:pPr>
                    <w:pStyle w:val="11"/>
                    <w:bidi w:val="0"/>
                    <w:jc w:val="center"/>
                  </w:pPr>
                  <w:r>
                    <w:rPr>
                      <w:rFonts w:hint="eastAsia"/>
                      <w:lang w:val="en-US" w:eastAsia="zh-CN"/>
                    </w:rPr>
                    <w:t>棒型绝缘子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pStyle w:val="11"/>
                    <w:bidi w:val="0"/>
                    <w:ind w:firstLine="0" w:firstLineChars="0"/>
                    <w:jc w:val="center"/>
                    <w:rPr>
                      <w:rFonts w:hint="eastAsia"/>
                      <w:lang w:val="en-US" w:eastAsia="zh-CN"/>
                    </w:rPr>
                  </w:pPr>
                  <w:r>
                    <w:rPr>
                      <w:rFonts w:hint="eastAsia"/>
                      <w:lang w:val="en-US" w:eastAsia="zh-CN"/>
                    </w:rPr>
                    <w:t>8</w:t>
                  </w:r>
                </w:p>
              </w:tc>
              <w:tc>
                <w:tcPr>
                  <w:tcW w:w="1500" w:type="dxa"/>
                  <w:vMerge w:val="continue"/>
                  <w:vAlign w:val="center"/>
                </w:tcPr>
                <w:p>
                  <w:pPr>
                    <w:pStyle w:val="11"/>
                    <w:bidi w:val="0"/>
                    <w:jc w:val="center"/>
                  </w:pPr>
                </w:p>
              </w:tc>
              <w:tc>
                <w:tcPr>
                  <w:tcW w:w="1650" w:type="dxa"/>
                  <w:vAlign w:val="center"/>
                </w:tcPr>
                <w:p>
                  <w:pPr>
                    <w:pStyle w:val="11"/>
                    <w:bidi w:val="0"/>
                    <w:ind w:firstLine="0" w:firstLineChars="0"/>
                    <w:jc w:val="center"/>
                    <w:rPr>
                      <w:rFonts w:hint="default"/>
                      <w:lang w:val="en-US" w:eastAsia="zh-CN"/>
                    </w:rPr>
                  </w:pPr>
                  <w:r>
                    <w:rPr>
                      <w:rFonts w:hint="eastAsia"/>
                      <w:lang w:val="en-US" w:eastAsia="zh-CN"/>
                    </w:rPr>
                    <w:t>连接金具</w:t>
                  </w:r>
                </w:p>
              </w:tc>
              <w:tc>
                <w:tcPr>
                  <w:tcW w:w="2488" w:type="dxa"/>
                  <w:vAlign w:val="center"/>
                </w:tcPr>
                <w:p>
                  <w:pPr>
                    <w:pStyle w:val="11"/>
                    <w:bidi w:val="0"/>
                    <w:ind w:firstLine="0" w:firstLineChars="0"/>
                    <w:jc w:val="center"/>
                    <w:rPr>
                      <w:rFonts w:hint="eastAsia"/>
                      <w:lang w:val="en-US" w:eastAsia="zh-CN"/>
                    </w:rPr>
                  </w:pPr>
                  <w:r>
                    <w:rPr>
                      <w:rFonts w:hint="eastAsia"/>
                      <w:lang w:val="en-US" w:eastAsia="zh-CN"/>
                    </w:rPr>
                    <w:t>4万个/a</w:t>
                  </w:r>
                </w:p>
              </w:tc>
              <w:tc>
                <w:tcPr>
                  <w:tcW w:w="1594" w:type="dxa"/>
                  <w:vAlign w:val="center"/>
                </w:tcPr>
                <w:p>
                  <w:pPr>
                    <w:pStyle w:val="11"/>
                    <w:bidi w:val="0"/>
                    <w:ind w:firstLine="0" w:firstLineChars="0"/>
                    <w:jc w:val="center"/>
                    <w:rPr>
                      <w:rFonts w:hint="eastAsia"/>
                      <w:lang w:val="en-US" w:eastAsia="zh-CN"/>
                    </w:rPr>
                  </w:pPr>
                  <w:r>
                    <w:rPr>
                      <w:rFonts w:hint="eastAsia"/>
                      <w:lang w:val="en-US" w:eastAsia="zh-CN"/>
                    </w:rPr>
                    <w:t>避雷器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pStyle w:val="11"/>
                    <w:bidi w:val="0"/>
                    <w:ind w:firstLine="0" w:firstLineChars="0"/>
                    <w:jc w:val="center"/>
                    <w:rPr>
                      <w:rFonts w:hint="eastAsia"/>
                      <w:lang w:val="en-US" w:eastAsia="zh-CN"/>
                    </w:rPr>
                  </w:pPr>
                  <w:r>
                    <w:rPr>
                      <w:rFonts w:hint="eastAsia"/>
                      <w:lang w:val="en-US" w:eastAsia="zh-CN"/>
                    </w:rPr>
                    <w:t>9</w:t>
                  </w:r>
                </w:p>
              </w:tc>
              <w:tc>
                <w:tcPr>
                  <w:tcW w:w="1500" w:type="dxa"/>
                  <w:vMerge w:val="continue"/>
                  <w:vAlign w:val="center"/>
                </w:tcPr>
                <w:p>
                  <w:pPr>
                    <w:pStyle w:val="11"/>
                    <w:bidi w:val="0"/>
                    <w:jc w:val="center"/>
                  </w:pPr>
                </w:p>
              </w:tc>
              <w:tc>
                <w:tcPr>
                  <w:tcW w:w="1650" w:type="dxa"/>
                  <w:vAlign w:val="center"/>
                </w:tcPr>
                <w:p>
                  <w:pPr>
                    <w:pStyle w:val="11"/>
                    <w:bidi w:val="0"/>
                    <w:ind w:firstLine="0" w:firstLineChars="0"/>
                    <w:jc w:val="center"/>
                    <w:rPr>
                      <w:rFonts w:hint="default"/>
                      <w:lang w:val="en-US" w:eastAsia="zh-CN"/>
                    </w:rPr>
                  </w:pPr>
                  <w:r>
                    <w:rPr>
                      <w:rFonts w:hint="eastAsia"/>
                      <w:lang w:val="en-US" w:eastAsia="zh-CN"/>
                    </w:rPr>
                    <w:t>氧化锌棒</w:t>
                  </w:r>
                </w:p>
              </w:tc>
              <w:tc>
                <w:tcPr>
                  <w:tcW w:w="2488" w:type="dxa"/>
                  <w:vAlign w:val="center"/>
                </w:tcPr>
                <w:p>
                  <w:pPr>
                    <w:pStyle w:val="11"/>
                    <w:bidi w:val="0"/>
                    <w:ind w:firstLine="0" w:firstLineChars="0"/>
                    <w:jc w:val="center"/>
                    <w:rPr>
                      <w:rFonts w:hint="eastAsia"/>
                      <w:lang w:val="en-US" w:eastAsia="zh-CN"/>
                    </w:rPr>
                  </w:pPr>
                  <w:r>
                    <w:rPr>
                      <w:rFonts w:hint="eastAsia"/>
                      <w:lang w:val="en-US" w:eastAsia="zh-CN"/>
                    </w:rPr>
                    <w:t>4万个/a</w:t>
                  </w:r>
                </w:p>
              </w:tc>
              <w:tc>
                <w:tcPr>
                  <w:tcW w:w="1594" w:type="dxa"/>
                  <w:vAlign w:val="center"/>
                </w:tcPr>
                <w:p>
                  <w:pPr>
                    <w:pStyle w:val="11"/>
                    <w:bidi w:val="0"/>
                    <w:ind w:firstLine="0" w:firstLineChars="0"/>
                    <w:jc w:val="center"/>
                    <w:rPr>
                      <w:rFonts w:hint="eastAsia"/>
                      <w:lang w:val="en-US" w:eastAsia="zh-CN"/>
                    </w:rPr>
                  </w:pPr>
                  <w:r>
                    <w:rPr>
                      <w:rFonts w:hint="eastAsia"/>
                      <w:lang w:val="en-US" w:eastAsia="zh-CN"/>
                    </w:rPr>
                    <w:t>避雷器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pStyle w:val="11"/>
                    <w:bidi w:val="0"/>
                    <w:ind w:firstLine="0" w:firstLineChars="0"/>
                    <w:jc w:val="center"/>
                    <w:rPr>
                      <w:rFonts w:hint="default"/>
                      <w:lang w:val="en-US" w:eastAsia="zh-CN"/>
                    </w:rPr>
                  </w:pPr>
                  <w:r>
                    <w:rPr>
                      <w:rFonts w:hint="eastAsia"/>
                      <w:lang w:val="en-US" w:eastAsia="zh-CN"/>
                    </w:rPr>
                    <w:t>12</w:t>
                  </w:r>
                </w:p>
              </w:tc>
              <w:tc>
                <w:tcPr>
                  <w:tcW w:w="1500" w:type="dxa"/>
                  <w:vMerge w:val="restart"/>
                  <w:vAlign w:val="center"/>
                </w:tcPr>
                <w:p>
                  <w:pPr>
                    <w:pStyle w:val="11"/>
                    <w:bidi w:val="0"/>
                    <w:jc w:val="center"/>
                  </w:pPr>
                  <w:r>
                    <w:rPr>
                      <w:rFonts w:hint="eastAsia"/>
                      <w:lang w:val="en-US" w:eastAsia="zh-CN"/>
                    </w:rPr>
                    <w:t>高低压电力金具</w:t>
                  </w:r>
                </w:p>
              </w:tc>
              <w:tc>
                <w:tcPr>
                  <w:tcW w:w="1650" w:type="dxa"/>
                  <w:vAlign w:val="center"/>
                </w:tcPr>
                <w:p>
                  <w:pPr>
                    <w:pStyle w:val="11"/>
                    <w:bidi w:val="0"/>
                    <w:ind w:firstLine="0" w:firstLineChars="0"/>
                    <w:jc w:val="center"/>
                    <w:rPr>
                      <w:lang w:val="en-US" w:eastAsia="zh-CN"/>
                    </w:rPr>
                  </w:pPr>
                  <w:r>
                    <w:rPr>
                      <w:rFonts w:hint="eastAsia"/>
                      <w:lang w:val="en-US" w:eastAsia="zh-CN"/>
                    </w:rPr>
                    <w:t>铝合金</w:t>
                  </w:r>
                </w:p>
              </w:tc>
              <w:tc>
                <w:tcPr>
                  <w:tcW w:w="2488" w:type="dxa"/>
                  <w:vAlign w:val="center"/>
                </w:tcPr>
                <w:p>
                  <w:pPr>
                    <w:pStyle w:val="11"/>
                    <w:bidi w:val="0"/>
                    <w:jc w:val="center"/>
                    <w:rPr>
                      <w:rFonts w:hint="default"/>
                      <w:lang w:val="en-US" w:eastAsia="zh-CN"/>
                    </w:rPr>
                  </w:pPr>
                  <w:r>
                    <w:rPr>
                      <w:rFonts w:hint="eastAsia"/>
                      <w:lang w:val="en-US" w:eastAsia="zh-CN"/>
                    </w:rPr>
                    <w:t>1575t/a</w:t>
                  </w:r>
                </w:p>
              </w:tc>
              <w:tc>
                <w:tcPr>
                  <w:tcW w:w="1594" w:type="dxa"/>
                  <w:vAlign w:val="center"/>
                </w:tcPr>
                <w:p>
                  <w:pPr>
                    <w:pStyle w:val="11"/>
                    <w:bidi w:val="0"/>
                    <w:jc w:val="center"/>
                  </w:pPr>
                  <w:r>
                    <w:rPr>
                      <w:rFonts w:hint="eastAsia"/>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pStyle w:val="11"/>
                    <w:bidi w:val="0"/>
                    <w:ind w:firstLine="0" w:firstLineChars="0"/>
                    <w:jc w:val="center"/>
                    <w:rPr>
                      <w:rFonts w:hint="default"/>
                      <w:lang w:val="en-US" w:eastAsia="zh-CN"/>
                    </w:rPr>
                  </w:pPr>
                  <w:r>
                    <w:rPr>
                      <w:rFonts w:hint="eastAsia"/>
                      <w:lang w:val="en-US" w:eastAsia="zh-CN"/>
                    </w:rPr>
                    <w:t>13</w:t>
                  </w:r>
                </w:p>
              </w:tc>
              <w:tc>
                <w:tcPr>
                  <w:tcW w:w="1500" w:type="dxa"/>
                  <w:vMerge w:val="continue"/>
                  <w:vAlign w:val="center"/>
                </w:tcPr>
                <w:p>
                  <w:pPr>
                    <w:pStyle w:val="11"/>
                    <w:bidi w:val="0"/>
                    <w:jc w:val="center"/>
                  </w:pPr>
                </w:p>
              </w:tc>
              <w:tc>
                <w:tcPr>
                  <w:tcW w:w="1650" w:type="dxa"/>
                  <w:vAlign w:val="center"/>
                </w:tcPr>
                <w:p>
                  <w:pPr>
                    <w:pStyle w:val="11"/>
                    <w:bidi w:val="0"/>
                    <w:ind w:firstLine="0" w:firstLineChars="0"/>
                    <w:jc w:val="center"/>
                    <w:rPr>
                      <w:lang w:val="en-US" w:eastAsia="zh-CN"/>
                    </w:rPr>
                  </w:pPr>
                  <w:r>
                    <w:rPr>
                      <w:rFonts w:hint="eastAsia"/>
                      <w:lang w:val="en-US" w:eastAsia="zh-CN"/>
                    </w:rPr>
                    <w:t>钢条</w:t>
                  </w:r>
                </w:p>
              </w:tc>
              <w:tc>
                <w:tcPr>
                  <w:tcW w:w="2488" w:type="dxa"/>
                  <w:vAlign w:val="center"/>
                </w:tcPr>
                <w:p>
                  <w:pPr>
                    <w:pStyle w:val="11"/>
                    <w:bidi w:val="0"/>
                    <w:jc w:val="center"/>
                  </w:pPr>
                  <w:r>
                    <w:rPr>
                      <w:rFonts w:hint="eastAsia"/>
                      <w:lang w:val="en-US" w:eastAsia="zh-CN"/>
                    </w:rPr>
                    <w:t>1000t/a</w:t>
                  </w:r>
                </w:p>
              </w:tc>
              <w:tc>
                <w:tcPr>
                  <w:tcW w:w="1594" w:type="dxa"/>
                  <w:vAlign w:val="center"/>
                </w:tcPr>
                <w:p>
                  <w:pPr>
                    <w:pStyle w:val="11"/>
                    <w:bidi w:val="0"/>
                    <w:jc w:val="center"/>
                  </w:pPr>
                  <w:r>
                    <w:rPr>
                      <w:rFonts w:hint="eastAsia"/>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970" w:type="dxa"/>
                  <w:gridSpan w:val="5"/>
                  <w:vAlign w:val="center"/>
                </w:tcPr>
                <w:p>
                  <w:pPr>
                    <w:pStyle w:val="11"/>
                    <w:bidi w:val="0"/>
                    <w:jc w:val="center"/>
                    <w:rPr>
                      <w:rFonts w:hint="eastAsia"/>
                      <w:lang w:val="en-US" w:eastAsia="zh-CN"/>
                    </w:rPr>
                  </w:pPr>
                  <w:r>
                    <w:rPr>
                      <w:rFonts w:hint="eastAsia"/>
                      <w:lang w:val="en-US" w:eastAsia="zh-CN"/>
                    </w:rPr>
                    <w:t>二、能耗消耗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pStyle w:val="11"/>
                    <w:bidi w:val="0"/>
                    <w:jc w:val="center"/>
                    <w:rPr>
                      <w:rFonts w:hint="default"/>
                      <w:lang w:val="en-US" w:eastAsia="zh-CN"/>
                    </w:rPr>
                  </w:pPr>
                  <w:r>
                    <w:rPr>
                      <w:rFonts w:hint="eastAsia"/>
                      <w:lang w:val="en-US" w:eastAsia="zh-CN"/>
                    </w:rPr>
                    <w:t>14</w:t>
                  </w:r>
                </w:p>
              </w:tc>
              <w:tc>
                <w:tcPr>
                  <w:tcW w:w="3150" w:type="dxa"/>
                  <w:gridSpan w:val="2"/>
                  <w:vAlign w:val="center"/>
                </w:tcPr>
                <w:p>
                  <w:pPr>
                    <w:pStyle w:val="11"/>
                    <w:bidi w:val="0"/>
                    <w:ind w:firstLine="0" w:firstLineChars="0"/>
                    <w:rPr>
                      <w:lang w:val="en-US" w:eastAsia="zh-CN"/>
                    </w:rPr>
                  </w:pPr>
                  <w:r>
                    <w:t>水</w:t>
                  </w:r>
                </w:p>
              </w:tc>
              <w:tc>
                <w:tcPr>
                  <w:tcW w:w="2488" w:type="dxa"/>
                  <w:vAlign w:val="center"/>
                </w:tcPr>
                <w:p>
                  <w:pPr>
                    <w:pStyle w:val="11"/>
                    <w:bidi w:val="0"/>
                    <w:ind w:firstLine="0" w:firstLineChars="0"/>
                    <w:rPr>
                      <w:lang w:val="en-US" w:eastAsia="zh-CN"/>
                    </w:rPr>
                  </w:pPr>
                  <w:r>
                    <w:rPr>
                      <w:rFonts w:hint="eastAsia"/>
                      <w:lang w:val="en-US" w:eastAsia="zh-CN"/>
                    </w:rPr>
                    <w:t>312</w:t>
                  </w:r>
                  <w:r>
                    <w:t>m</w:t>
                  </w:r>
                  <w:r>
                    <w:rPr>
                      <w:vertAlign w:val="superscript"/>
                    </w:rPr>
                    <w:t>3</w:t>
                  </w:r>
                </w:p>
              </w:tc>
              <w:tc>
                <w:tcPr>
                  <w:tcW w:w="1594" w:type="dxa"/>
                  <w:vAlign w:val="center"/>
                </w:tcPr>
                <w:p>
                  <w:pPr>
                    <w:pStyle w:val="11"/>
                    <w:bidi w:val="0"/>
                    <w:ind w:firstLine="0" w:firstLineChars="0"/>
                    <w:rPr>
                      <w:lang w:val="en-US" w:eastAsia="zh-CN"/>
                    </w:rPr>
                  </w:pPr>
                  <w:r>
                    <w:rPr>
                      <w:rFonts w:hint="eastAsia"/>
                      <w:lang w:val="en-US" w:eastAsia="zh-CN"/>
                    </w:rPr>
                    <w:t>市政</w:t>
                  </w:r>
                  <w:r>
                    <w:t>供水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8" w:type="dxa"/>
                  <w:tcBorders>
                    <w:bottom w:val="single" w:color="auto" w:sz="12" w:space="0"/>
                  </w:tcBorders>
                  <w:vAlign w:val="center"/>
                </w:tcPr>
                <w:p>
                  <w:pPr>
                    <w:pStyle w:val="11"/>
                    <w:bidi w:val="0"/>
                    <w:jc w:val="center"/>
                    <w:rPr>
                      <w:rFonts w:hint="default"/>
                      <w:lang w:val="en-US" w:eastAsia="zh-CN"/>
                    </w:rPr>
                  </w:pPr>
                  <w:r>
                    <w:rPr>
                      <w:rFonts w:hint="eastAsia"/>
                      <w:lang w:val="en-US" w:eastAsia="zh-CN"/>
                    </w:rPr>
                    <w:t>15</w:t>
                  </w:r>
                </w:p>
              </w:tc>
              <w:tc>
                <w:tcPr>
                  <w:tcW w:w="3150" w:type="dxa"/>
                  <w:gridSpan w:val="2"/>
                  <w:tcBorders>
                    <w:bottom w:val="single" w:color="auto" w:sz="12" w:space="0"/>
                  </w:tcBorders>
                  <w:vAlign w:val="center"/>
                </w:tcPr>
                <w:p>
                  <w:pPr>
                    <w:pStyle w:val="11"/>
                    <w:bidi w:val="0"/>
                    <w:ind w:firstLine="0" w:firstLineChars="0"/>
                    <w:rPr>
                      <w:lang w:val="en-US" w:eastAsia="zh-CN"/>
                    </w:rPr>
                  </w:pPr>
                  <w:r>
                    <w:t>电</w:t>
                  </w:r>
                </w:p>
              </w:tc>
              <w:tc>
                <w:tcPr>
                  <w:tcW w:w="2488" w:type="dxa"/>
                  <w:tcBorders>
                    <w:bottom w:val="single" w:color="auto" w:sz="12" w:space="0"/>
                  </w:tcBorders>
                  <w:vAlign w:val="center"/>
                </w:tcPr>
                <w:p>
                  <w:pPr>
                    <w:pStyle w:val="11"/>
                    <w:bidi w:val="0"/>
                    <w:ind w:firstLine="0" w:firstLineChars="0"/>
                    <w:rPr>
                      <w:lang w:val="en-US" w:eastAsia="zh-CN"/>
                    </w:rPr>
                  </w:pPr>
                  <w:r>
                    <w:rPr>
                      <w:rFonts w:hint="eastAsia"/>
                      <w:lang w:val="en-US" w:eastAsia="zh-CN"/>
                    </w:rPr>
                    <w:t>2</w:t>
                  </w:r>
                  <w:r>
                    <w:t>0万KW·h</w:t>
                  </w:r>
                </w:p>
              </w:tc>
              <w:tc>
                <w:tcPr>
                  <w:tcW w:w="1594" w:type="dxa"/>
                  <w:tcBorders>
                    <w:bottom w:val="single" w:color="auto" w:sz="12" w:space="0"/>
                  </w:tcBorders>
                  <w:vAlign w:val="center"/>
                </w:tcPr>
                <w:p>
                  <w:pPr>
                    <w:pStyle w:val="11"/>
                    <w:bidi w:val="0"/>
                    <w:ind w:firstLine="0" w:firstLineChars="0"/>
                    <w:rPr>
                      <w:lang w:val="en-US" w:eastAsia="zh-CN"/>
                    </w:rPr>
                  </w:pPr>
                  <w:r>
                    <w:rPr>
                      <w:rFonts w:hint="eastAsia"/>
                      <w:lang w:val="en-US" w:eastAsia="zh-CN"/>
                    </w:rPr>
                    <w:t>市政</w:t>
                  </w:r>
                  <w:r>
                    <w:t>供电</w:t>
                  </w:r>
                </w:p>
              </w:tc>
            </w:tr>
          </w:tbl>
          <w:p>
            <w:pPr>
              <w:autoSpaceDE w:val="0"/>
              <w:autoSpaceDN w:val="0"/>
              <w:spacing w:line="360" w:lineRule="auto"/>
              <w:ind w:firstLine="480" w:firstLineChars="200"/>
            </w:pPr>
            <w:r>
              <w:t>项目主要原辅料材料性质如</w:t>
            </w:r>
            <w:r>
              <w:rPr>
                <w:rFonts w:hint="eastAsia"/>
              </w:rPr>
              <w:t>表2</w:t>
            </w:r>
            <w:r>
              <w:t>-5：</w:t>
            </w:r>
          </w:p>
          <w:p>
            <w:pPr>
              <w:pStyle w:val="12"/>
              <w:widowControl w:val="0"/>
              <w:bidi w:val="0"/>
            </w:pPr>
            <w:r>
              <w:t>表2-5   主要原辅材料性质一览表</w:t>
            </w:r>
          </w:p>
          <w:tbl>
            <w:tblPr>
              <w:tblStyle w:val="9"/>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46"/>
              <w:gridCol w:w="67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37" w:type="pct"/>
                  <w:vAlign w:val="center"/>
                </w:tcPr>
                <w:p>
                  <w:pPr>
                    <w:pStyle w:val="11"/>
                    <w:bidi w:val="0"/>
                    <w:ind w:firstLine="0" w:firstLineChars="0"/>
                    <w:jc w:val="center"/>
                    <w:rPr>
                      <w:lang w:val="en-US" w:eastAsia="zh-CN"/>
                    </w:rPr>
                  </w:pPr>
                  <w:r>
                    <w:t>原辅材料名称</w:t>
                  </w:r>
                </w:p>
              </w:tc>
              <w:tc>
                <w:tcPr>
                  <w:tcW w:w="4062" w:type="pct"/>
                  <w:vAlign w:val="center"/>
                </w:tcPr>
                <w:p>
                  <w:pPr>
                    <w:pStyle w:val="11"/>
                    <w:bidi w:val="0"/>
                    <w:ind w:firstLine="0" w:firstLineChars="0"/>
                    <w:jc w:val="center"/>
                    <w:rPr>
                      <w:lang w:val="en-US" w:eastAsia="zh-CN"/>
                    </w:rPr>
                  </w:pPr>
                  <w:r>
                    <w:t>主要性质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37" w:type="pct"/>
                  <w:vAlign w:val="center"/>
                </w:tcPr>
                <w:p>
                  <w:pPr>
                    <w:pStyle w:val="11"/>
                    <w:bidi w:val="0"/>
                    <w:jc w:val="center"/>
                    <w:rPr>
                      <w:rFonts w:hint="eastAsia"/>
                      <w:lang w:val="en-US" w:eastAsia="zh-CN"/>
                    </w:rPr>
                  </w:pPr>
                  <w:r>
                    <w:rPr>
                      <w:rFonts w:hint="eastAsia"/>
                      <w:lang w:val="en-US" w:eastAsia="zh-CN"/>
                    </w:rPr>
                    <w:t>硅胶</w:t>
                  </w:r>
                </w:p>
              </w:tc>
              <w:tc>
                <w:tcPr>
                  <w:tcW w:w="4062" w:type="pct"/>
                  <w:vAlign w:val="center"/>
                </w:tcPr>
                <w:p>
                  <w:pPr>
                    <w:pStyle w:val="11"/>
                    <w:bidi w:val="0"/>
                    <w:ind w:firstLine="420" w:firstLineChars="200"/>
                    <w:jc w:val="both"/>
                    <w:rPr>
                      <w:rFonts w:hint="eastAsia"/>
                    </w:rPr>
                  </w:pPr>
                  <w:r>
                    <w:rPr>
                      <w:rFonts w:hint="eastAsia"/>
                      <w:lang w:val="en-US" w:eastAsia="zh-CN"/>
                    </w:rPr>
                    <w:t>全称为</w:t>
                  </w:r>
                  <w:r>
                    <w:rPr>
                      <w:rFonts w:hint="eastAsia"/>
                    </w:rPr>
                    <w:t>甲基乙烯基硅橡胶，是指主链由硅和氧原子交替构成，硅原子上通常连有两个有机基团的橡胶。普通的硅橡胶主要由含甲基和少量乙烯基的硅氧链节组成。苯基的引入可提高硅橡胶的耐高、低温性能，三氟丙基及氰基的引入则可提高硅橡胶的耐温及耐油性能。硅橡胶耐低温性能良好，一般在-55℃下仍能工作。引入苯基后，可达-73℃。硅橡胶的耐热性能也很突出，在180℃下可长期工作，稍高于200℃也能承受数周或更长时间仍有弹性，瞬时可耐300℃以上的高温。硅橡胶的透气性好，氧气透过率在合成聚合物中是最高的。此外，硅橡胶还具有生理惰性、不会导致凝血的突出特性，因此在医用领域应用广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37" w:type="pct"/>
                  <w:vAlign w:val="center"/>
                </w:tcPr>
                <w:p>
                  <w:pPr>
                    <w:pStyle w:val="11"/>
                    <w:bidi w:val="0"/>
                    <w:jc w:val="center"/>
                    <w:rPr>
                      <w:rFonts w:hint="default"/>
                      <w:lang w:val="en-US" w:eastAsia="zh-CN"/>
                    </w:rPr>
                  </w:pPr>
                  <w:r>
                    <w:rPr>
                      <w:rFonts w:hint="eastAsia"/>
                      <w:lang w:val="en-US" w:eastAsia="zh-CN"/>
                    </w:rPr>
                    <w:t>硅油</w:t>
                  </w:r>
                </w:p>
              </w:tc>
              <w:tc>
                <w:tcPr>
                  <w:tcW w:w="4062" w:type="pct"/>
                  <w:vAlign w:val="center"/>
                </w:tcPr>
                <w:p>
                  <w:pPr>
                    <w:pStyle w:val="11"/>
                    <w:bidi w:val="0"/>
                    <w:ind w:firstLine="420" w:firstLineChars="200"/>
                    <w:jc w:val="both"/>
                    <w:rPr>
                      <w:rFonts w:hint="eastAsia"/>
                      <w:lang w:val="en-US" w:eastAsia="zh-CN"/>
                    </w:rPr>
                  </w:pPr>
                  <w:r>
                    <w:rPr>
                      <w:rFonts w:hint="eastAsia"/>
                      <w:lang w:val="en-US" w:eastAsia="zh-CN"/>
                    </w:rPr>
                    <w:t>英文名称为Silicone oil，CAS号为63148-62-9，分子式为C</w:t>
                  </w:r>
                  <w:r>
                    <w:rPr>
                      <w:rFonts w:hint="eastAsia"/>
                      <w:vertAlign w:val="subscript"/>
                      <w:lang w:val="en-US" w:eastAsia="zh-CN"/>
                    </w:rPr>
                    <w:t>6</w:t>
                  </w:r>
                  <w:r>
                    <w:rPr>
                      <w:rFonts w:hint="eastAsia"/>
                      <w:lang w:val="en-US" w:eastAsia="zh-CN"/>
                    </w:rPr>
                    <w:t>H</w:t>
                  </w:r>
                  <w:r>
                    <w:rPr>
                      <w:rFonts w:hint="eastAsia"/>
                      <w:vertAlign w:val="subscript"/>
                      <w:lang w:val="en-US" w:eastAsia="zh-CN"/>
                    </w:rPr>
                    <w:t>18</w:t>
                  </w:r>
                  <w:r>
                    <w:rPr>
                      <w:rFonts w:hint="eastAsia"/>
                      <w:lang w:val="en-US" w:eastAsia="zh-CN"/>
                    </w:rPr>
                    <w:t>OSi</w:t>
                  </w:r>
                  <w:r>
                    <w:rPr>
                      <w:rFonts w:hint="eastAsia"/>
                      <w:vertAlign w:val="subscript"/>
                      <w:lang w:val="en-US" w:eastAsia="zh-CN"/>
                    </w:rPr>
                    <w:t>2</w:t>
                  </w:r>
                  <w:r>
                    <w:rPr>
                      <w:rFonts w:hint="eastAsia"/>
                      <w:lang w:val="en-US" w:eastAsia="zh-CN"/>
                    </w:rPr>
                    <w:t>，是一种不同聚合度链状结构的聚有机硅氧烷。密度0.963，熔点-50℃，折射率1.403-1.406，闪点300℃，硅油是一种无色无味无毒不易挥发的液体，不溶于水、甲醇、二醇和-乙氧基乙醇，可与苯、二甲醚、甲基乙基酮、四氯化碳或煤油互溶，稍溶于丙酮、二恶烷、乙醇和丁醇。硅油具有卓越的耐热性、电绝缘性、耐候性、疏水性、生理惰性和较小的表面张力，此外还具有低的粘温系数、较高的抗压缩性）有的品种还具有耐辐射的性能。硅油有许多特殊性能，如抗氧化、闪点高、挥发性小、对金属无腐蚀、无毒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37" w:type="pct"/>
                  <w:vAlign w:val="center"/>
                </w:tcPr>
                <w:p>
                  <w:pPr>
                    <w:pStyle w:val="11"/>
                    <w:bidi w:val="0"/>
                    <w:ind w:firstLine="0" w:firstLineChars="0"/>
                    <w:jc w:val="center"/>
                    <w:rPr>
                      <w:rFonts w:hint="default"/>
                      <w:lang w:val="en-US" w:eastAsia="zh-CN"/>
                    </w:rPr>
                  </w:pPr>
                  <w:r>
                    <w:rPr>
                      <w:rFonts w:hint="eastAsia"/>
                      <w:lang w:val="en-US" w:eastAsia="zh-CN"/>
                    </w:rPr>
                    <w:t>白炭黑</w:t>
                  </w:r>
                </w:p>
                <w:p>
                  <w:pPr>
                    <w:pStyle w:val="11"/>
                    <w:bidi w:val="0"/>
                    <w:ind w:firstLine="0" w:firstLineChars="0"/>
                    <w:jc w:val="center"/>
                    <w:rPr>
                      <w:rFonts w:hint="eastAsia"/>
                      <w:lang w:val="en-US" w:eastAsia="zh-CN"/>
                    </w:rPr>
                  </w:pPr>
                  <w:r>
                    <w:rPr>
                      <w:rFonts w:hint="eastAsia"/>
                      <w:lang w:val="en-US" w:eastAsia="zh-CN"/>
                    </w:rPr>
                    <w:t>（氢氧化铝）</w:t>
                  </w:r>
                </w:p>
              </w:tc>
              <w:tc>
                <w:tcPr>
                  <w:tcW w:w="4062" w:type="pct"/>
                  <w:vAlign w:val="center"/>
                </w:tcPr>
                <w:p>
                  <w:pPr>
                    <w:pStyle w:val="11"/>
                    <w:bidi w:val="0"/>
                    <w:ind w:firstLine="420" w:firstLineChars="200"/>
                    <w:jc w:val="both"/>
                    <w:rPr>
                      <w:lang w:val="en-US" w:eastAsia="zh-CN"/>
                    </w:rPr>
                  </w:pPr>
                  <w:r>
                    <w:rPr>
                      <w:rFonts w:hint="eastAsia"/>
                    </w:rPr>
                    <w:t>化学式Al(OH)</w:t>
                  </w:r>
                  <w:r>
                    <w:rPr>
                      <w:rFonts w:hint="eastAsia"/>
                      <w:vertAlign w:val="subscript"/>
                    </w:rPr>
                    <w:t>3</w:t>
                  </w:r>
                  <w:r>
                    <w:rPr>
                      <w:rFonts w:hint="eastAsia"/>
                    </w:rPr>
                    <w:t>，是铝的氢氧化物</w:t>
                  </w:r>
                  <w:r>
                    <w:rPr>
                      <w:rFonts w:hint="eastAsia"/>
                      <w:lang w:eastAsia="zh-CN"/>
                    </w:rPr>
                    <w:t>，</w:t>
                  </w:r>
                  <w:r>
                    <w:rPr>
                      <w:rFonts w:hint="eastAsia"/>
                    </w:rPr>
                    <w:t>白色非晶形的粉末</w:t>
                  </w:r>
                  <w:r>
                    <w:rPr>
                      <w:rFonts w:hint="eastAsia"/>
                      <w:lang w:eastAsia="zh-CN"/>
                    </w:rPr>
                    <w:t>，</w:t>
                  </w:r>
                  <w:r>
                    <w:rPr>
                      <w:rFonts w:hint="eastAsia"/>
                    </w:rPr>
                    <w:t>密度：2.40g/cm</w:t>
                  </w:r>
                  <w:r>
                    <w:rPr>
                      <w:rFonts w:hint="eastAsia"/>
                      <w:vertAlign w:val="superscript"/>
                    </w:rPr>
                    <w:t>3</w:t>
                  </w:r>
                  <w:r>
                    <w:rPr>
                      <w:rFonts w:hint="eastAsia"/>
                      <w:lang w:eastAsia="zh-CN"/>
                    </w:rPr>
                    <w:t>，熔点：300℃，</w:t>
                  </w:r>
                  <w:r>
                    <w:rPr>
                      <w:rFonts w:hint="eastAsia"/>
                      <w:lang w:val="en-US" w:eastAsia="zh-CN"/>
                    </w:rPr>
                    <w:t>不同于水，</w:t>
                  </w:r>
                  <w:r>
                    <w:rPr>
                      <w:rFonts w:hint="eastAsia"/>
                    </w:rPr>
                    <w:t>氢氧化铝既能与酸反应生成盐和水又能与强碱反应生成盐和水，因此它是一种两性氢氧化物。由于又显一定的酸性，所以又可称之为铝酸（H</w:t>
                  </w:r>
                  <w:r>
                    <w:rPr>
                      <w:rFonts w:hint="eastAsia"/>
                      <w:vertAlign w:val="subscript"/>
                    </w:rPr>
                    <w:t>3</w:t>
                  </w:r>
                  <w:r>
                    <w:rPr>
                      <w:rFonts w:hint="eastAsia"/>
                    </w:rPr>
                    <w:t>AlO</w:t>
                  </w:r>
                  <w:r>
                    <w:rPr>
                      <w:rFonts w:hint="eastAsia"/>
                      <w:vertAlign w:val="subscript"/>
                    </w:rPr>
                    <w:t>3</w:t>
                  </w:r>
                  <w:r>
                    <w:rPr>
                      <w:rFonts w:hint="eastAsia"/>
                    </w:rPr>
                    <w:t>）。氢氧化铝是用量最大和应用最广的无机阻燃添加剂。氢氧化铝作为阻燃剂不仅能阻燃，而且可以防止发烟、不产生滴下物、不产生有毒气体，因此，获得较广泛的应用，使用量也在逐年增加。使用范围：</w:t>
                  </w:r>
                  <w:r>
                    <w:rPr>
                      <w:rFonts w:hint="default"/>
                    </w:rPr>
                    <w:fldChar w:fldCharType="begin"/>
                  </w:r>
                  <w:r>
                    <w:rPr>
                      <w:rFonts w:hint="default"/>
                    </w:rPr>
                    <w:instrText xml:space="preserve"> HYPERLINK "https://baike.baidu.com/item/%E7%83%AD%E5%9B%BA%E6%80%A7%E5%A1%91%E6%96%99/1655773" \t "https://baike.baidu.com/item/%E6%B0%A2%E6%B0%A7%E5%8C%96%E9%93%9D/_blank" </w:instrText>
                  </w:r>
                  <w:r>
                    <w:rPr>
                      <w:rFonts w:hint="default"/>
                    </w:rPr>
                    <w:fldChar w:fldCharType="separate"/>
                  </w:r>
                  <w:r>
                    <w:rPr>
                      <w:rFonts w:hint="default"/>
                    </w:rPr>
                    <w:t>热固性塑料</w:t>
                  </w:r>
                  <w:r>
                    <w:rPr>
                      <w:rFonts w:hint="default"/>
                    </w:rPr>
                    <w:fldChar w:fldCharType="end"/>
                  </w:r>
                  <w:r>
                    <w:rPr>
                      <w:rFonts w:hint="default"/>
                    </w:rPr>
                    <w:t>、</w:t>
                  </w:r>
                  <w:r>
                    <w:rPr>
                      <w:rFonts w:hint="default"/>
                    </w:rPr>
                    <w:fldChar w:fldCharType="begin"/>
                  </w:r>
                  <w:r>
                    <w:rPr>
                      <w:rFonts w:hint="default"/>
                    </w:rPr>
                    <w:instrText xml:space="preserve"> HYPERLINK "https://baike.baidu.com/item/%E7%83%AD%E5%A1%91%E6%80%A7%E5%A1%91%E6%96%99/1656083" \t "https://baike.baidu.com/item/%E6%B0%A2%E6%B0%A7%E5%8C%96%E9%93%9D/_blank" </w:instrText>
                  </w:r>
                  <w:r>
                    <w:rPr>
                      <w:rFonts w:hint="default"/>
                    </w:rPr>
                    <w:fldChar w:fldCharType="separate"/>
                  </w:r>
                  <w:r>
                    <w:rPr>
                      <w:rFonts w:hint="default"/>
                    </w:rPr>
                    <w:t>热塑性塑料</w:t>
                  </w:r>
                  <w:r>
                    <w:rPr>
                      <w:rFonts w:hint="default"/>
                    </w:rPr>
                    <w:fldChar w:fldCharType="end"/>
                  </w:r>
                  <w:r>
                    <w:rPr>
                      <w:rFonts w:hint="default"/>
                    </w:rPr>
                    <w:t>、</w:t>
                  </w:r>
                  <w:r>
                    <w:rPr>
                      <w:rFonts w:hint="default"/>
                    </w:rPr>
                    <w:fldChar w:fldCharType="begin"/>
                  </w:r>
                  <w:r>
                    <w:rPr>
                      <w:rFonts w:hint="default"/>
                    </w:rPr>
                    <w:instrText xml:space="preserve"> HYPERLINK "https://baike.baidu.com/item/%E5%90%88%E6%88%90%E6%A9%A1%E8%83%B6/828950" \t "https://baike.baidu.com/item/%E6%B0%A2%E6%B0%A7%E5%8C%96%E9%93%9D/_blank" </w:instrText>
                  </w:r>
                  <w:r>
                    <w:rPr>
                      <w:rFonts w:hint="default"/>
                    </w:rPr>
                    <w:fldChar w:fldCharType="separate"/>
                  </w:r>
                  <w:r>
                    <w:rPr>
                      <w:rFonts w:hint="default"/>
                    </w:rPr>
                    <w:t>合成橡胶</w:t>
                  </w:r>
                  <w:r>
                    <w:rPr>
                      <w:rFonts w:hint="default"/>
                    </w:rPr>
                    <w:fldChar w:fldCharType="end"/>
                  </w:r>
                  <w:r>
                    <w:rPr>
                      <w:rFonts w:hint="default"/>
                    </w:rPr>
                    <w:t>、涂料及建材等行业。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37" w:type="pct"/>
                  <w:vAlign w:val="center"/>
                </w:tcPr>
                <w:p>
                  <w:pPr>
                    <w:pStyle w:val="11"/>
                    <w:bidi w:val="0"/>
                    <w:ind w:firstLine="0" w:firstLineChars="0"/>
                    <w:jc w:val="center"/>
                    <w:rPr>
                      <w:rFonts w:hint="eastAsia"/>
                      <w:lang w:val="en-US" w:eastAsia="zh-CN"/>
                    </w:rPr>
                  </w:pPr>
                  <w:r>
                    <w:rPr>
                      <w:rFonts w:hint="eastAsia"/>
                      <w:lang w:val="en-US" w:eastAsia="zh-CN"/>
                    </w:rPr>
                    <w:t>硅胶色膏</w:t>
                  </w:r>
                </w:p>
              </w:tc>
              <w:tc>
                <w:tcPr>
                  <w:tcW w:w="4062" w:type="pct"/>
                  <w:vAlign w:val="center"/>
                </w:tcPr>
                <w:p>
                  <w:pPr>
                    <w:pStyle w:val="11"/>
                    <w:bidi w:val="0"/>
                    <w:ind w:firstLine="420" w:firstLineChars="200"/>
                    <w:jc w:val="both"/>
                    <w:rPr>
                      <w:lang w:val="en-US" w:eastAsia="zh-CN"/>
                    </w:rPr>
                  </w:pPr>
                  <w:r>
                    <w:rPr>
                      <w:rFonts w:hint="eastAsia"/>
                    </w:rPr>
                    <w:t>硅胶色膏是用于硅胶着色，改善外观，增加附加价值的着色剂。具有固成分离，分散性佳，耐酸碱性好，耐热耐光等特点。根据各种性质不同配方提供不同规格的各种色膏，以达到制品美观，增加产品附加价值</w:t>
                  </w:r>
                  <w:r>
                    <w:rPr>
                      <w:rFonts w:hint="eastAsia"/>
                      <w:lang w:val="en-US" w:eastAsia="zh-CN"/>
                    </w:rPr>
                    <w:t>的</w:t>
                  </w:r>
                  <w:r>
                    <w:rPr>
                      <w:rFonts w:hint="eastAsia"/>
                    </w:rPr>
                    <w:t>目的。</w:t>
                  </w:r>
                </w:p>
              </w:tc>
            </w:tr>
          </w:tbl>
          <w:p>
            <w:pPr>
              <w:pStyle w:val="4"/>
              <w:bidi w:val="0"/>
            </w:pPr>
            <w:r>
              <w:rPr>
                <w:rFonts w:hint="eastAsia"/>
              </w:rPr>
              <w:t>5、</w:t>
            </w:r>
            <w:r>
              <w:t>主要生产工艺</w:t>
            </w:r>
          </w:p>
          <w:p>
            <w:pPr>
              <w:autoSpaceDE w:val="0"/>
              <w:autoSpaceDN w:val="0"/>
              <w:spacing w:line="360" w:lineRule="auto"/>
              <w:ind w:firstLine="480" w:firstLineChars="200"/>
            </w:pPr>
            <w:r>
              <w:t>项目主要生产工艺：</w:t>
            </w:r>
          </w:p>
          <w:p>
            <w:pPr>
              <w:autoSpaceDE w:val="0"/>
              <w:autoSpaceDN w:val="0"/>
              <w:spacing w:line="360" w:lineRule="auto"/>
              <w:ind w:firstLine="480" w:firstLineChars="200"/>
              <w:rPr>
                <w:rFonts w:hint="default"/>
                <w:lang w:val="en-US" w:eastAsia="zh-CN"/>
              </w:rPr>
            </w:pPr>
            <w:r>
              <w:rPr>
                <w:rFonts w:hint="eastAsia"/>
                <w:lang w:val="en-US" w:eastAsia="zh-CN"/>
              </w:rPr>
              <w:t>硅橡胶混合：配料→混合→出片；</w:t>
            </w:r>
          </w:p>
          <w:p>
            <w:pPr>
              <w:bidi w:val="0"/>
              <w:rPr>
                <w:rFonts w:hint="default"/>
                <w:lang w:val="en-US" w:eastAsia="zh-CN"/>
              </w:rPr>
            </w:pPr>
            <w:r>
              <w:rPr>
                <w:rFonts w:hint="eastAsia"/>
                <w:lang w:val="en-US" w:eastAsia="zh-CN"/>
              </w:rPr>
              <w:t>绝缘子生产：预热→填胶→成型→修边→检验→包装；</w:t>
            </w:r>
          </w:p>
          <w:p>
            <w:pPr>
              <w:bidi w:val="0"/>
              <w:ind w:left="2160" w:leftChars="200" w:hanging="1680" w:hangingChars="700"/>
              <w:rPr>
                <w:rFonts w:hint="eastAsia"/>
                <w:lang w:eastAsia="zh-CN"/>
              </w:rPr>
            </w:pPr>
            <w:r>
              <w:rPr>
                <w:rFonts w:hint="eastAsia"/>
                <w:lang w:val="en-US" w:eastAsia="zh-CN"/>
              </w:rPr>
              <w:t>电力金具生产：铝合金→锻造→切边→机加工→外协阳极氧化→检验→包装</w:t>
            </w:r>
            <w:r>
              <w:rPr>
                <w:rFonts w:hint="eastAsia"/>
                <w:lang w:eastAsia="zh-CN"/>
              </w:rPr>
              <w:t>；</w:t>
            </w:r>
            <w:r>
              <w:rPr>
                <w:rFonts w:hint="eastAsia"/>
                <w:lang w:val="en-US" w:eastAsia="zh-CN"/>
              </w:rPr>
              <w:t>钢条→折弯→外协镀锌→检验→包装</w:t>
            </w:r>
            <w:r>
              <w:rPr>
                <w:rFonts w:hint="eastAsia"/>
                <w:lang w:eastAsia="zh-CN"/>
              </w:rPr>
              <w:t>。</w:t>
            </w:r>
          </w:p>
          <w:p>
            <w:pPr>
              <w:pStyle w:val="4"/>
              <w:bidi w:val="0"/>
            </w:pPr>
            <w:r>
              <w:t>6</w:t>
            </w:r>
            <w:r>
              <w:rPr>
                <w:rFonts w:hint="eastAsia"/>
              </w:rPr>
              <w:t>、水平衡图</w:t>
            </w:r>
          </w:p>
          <w:p>
            <w:pPr>
              <w:bidi w:val="0"/>
            </w:pPr>
            <w:r>
              <w:rPr>
                <w:rFonts w:hint="eastAsia"/>
              </w:rPr>
              <w:t>项目水量平衡图见图2</w:t>
            </w:r>
            <w:r>
              <w:t>-1</w:t>
            </w:r>
            <w:r>
              <w:rPr>
                <w:rFonts w:hint="eastAsia"/>
              </w:rPr>
              <w:t>。</w:t>
            </w:r>
          </w:p>
          <w:p>
            <w:pPr>
              <w:bidi w:val="0"/>
              <w:rPr>
                <w:rFonts w:hint="eastAsia"/>
                <w:lang w:val="en-US" w:eastAsia="zh-CN"/>
              </w:rPr>
            </w:pPr>
            <w:r>
              <w:rPr>
                <w:rFonts w:hint="eastAsia"/>
                <w:lang w:val="en-US" w:eastAsia="zh-CN"/>
              </w:rPr>
              <w:drawing>
                <wp:anchor distT="0" distB="0" distL="114300" distR="114300" simplePos="0" relativeHeight="251660288" behindDoc="0" locked="0" layoutInCell="1" allowOverlap="1">
                  <wp:simplePos x="0" y="0"/>
                  <wp:positionH relativeFrom="column">
                    <wp:posOffset>193040</wp:posOffset>
                  </wp:positionH>
                  <wp:positionV relativeFrom="paragraph">
                    <wp:posOffset>51435</wp:posOffset>
                  </wp:positionV>
                  <wp:extent cx="4876800" cy="1106805"/>
                  <wp:effectExtent l="0" t="0" r="0" b="17145"/>
                  <wp:wrapNone/>
                  <wp:docPr id="17" name="图片 17" descr="水平衡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水平衡图"/>
                          <pic:cNvPicPr>
                            <a:picLocks noChangeAspect="1"/>
                          </pic:cNvPicPr>
                        </pic:nvPicPr>
                        <pic:blipFill>
                          <a:blip r:embed="rId7"/>
                          <a:srcRect b="4587"/>
                          <a:stretch>
                            <a:fillRect/>
                          </a:stretch>
                        </pic:blipFill>
                        <pic:spPr>
                          <a:xfrm>
                            <a:off x="0" y="0"/>
                            <a:ext cx="4876800" cy="1106805"/>
                          </a:xfrm>
                          <a:prstGeom prst="rect">
                            <a:avLst/>
                          </a:prstGeom>
                        </pic:spPr>
                      </pic:pic>
                    </a:graphicData>
                  </a:graphic>
                </wp:anchor>
              </w:drawing>
            </w:r>
          </w:p>
          <w:p>
            <w:pPr>
              <w:bidi w:val="0"/>
              <w:rPr>
                <w:rFonts w:hint="eastAsia"/>
                <w:lang w:val="en-US" w:eastAsia="zh-CN"/>
              </w:rPr>
            </w:pPr>
          </w:p>
          <w:p>
            <w:pPr>
              <w:bidi w:val="0"/>
              <w:rPr>
                <w:rFonts w:hint="eastAsia"/>
              </w:rPr>
            </w:pPr>
          </w:p>
          <w:p>
            <w:pPr>
              <w:bidi w:val="0"/>
              <w:rPr>
                <w:rFonts w:hint="eastAsia"/>
              </w:rPr>
            </w:pPr>
          </w:p>
          <w:p>
            <w:pPr>
              <w:pStyle w:val="12"/>
              <w:widowControl w:val="0"/>
              <w:bidi w:val="0"/>
            </w:pPr>
            <w:r>
              <w:t xml:space="preserve">图2-1 </w:t>
            </w:r>
            <w:r>
              <w:rPr>
                <w:rFonts w:hint="eastAsia"/>
                <w:lang w:val="en-US" w:eastAsia="zh-CN"/>
              </w:rPr>
              <w:t xml:space="preserve"> </w:t>
            </w:r>
            <w:r>
              <w:t xml:space="preserve"> 项目水量平衡图（单位：m</w:t>
            </w:r>
            <w:r>
              <w:rPr>
                <w:vertAlign w:val="superscript"/>
              </w:rPr>
              <w:t>3</w:t>
            </w:r>
            <w:r>
              <w:t>/d）</w:t>
            </w:r>
          </w:p>
          <w:p>
            <w:pPr>
              <w:pStyle w:val="4"/>
              <w:bidi w:val="0"/>
            </w:pPr>
            <w:r>
              <w:rPr>
                <w:rFonts w:hint="eastAsia"/>
              </w:rPr>
              <w:t>7、</w:t>
            </w:r>
            <w:r>
              <w:t>劳动定员及工作制度</w:t>
            </w:r>
          </w:p>
          <w:p>
            <w:pPr>
              <w:autoSpaceDE w:val="0"/>
              <w:autoSpaceDN w:val="0"/>
              <w:spacing w:line="360" w:lineRule="auto"/>
              <w:ind w:firstLine="480" w:firstLineChars="200"/>
            </w:pPr>
            <w:r>
              <w:t>本项目工程新增劳动定员</w:t>
            </w:r>
            <w:r>
              <w:rPr>
                <w:rFonts w:hint="eastAsia"/>
                <w:lang w:val="en-US" w:eastAsia="zh-CN"/>
              </w:rPr>
              <w:t>30</w:t>
            </w:r>
            <w:r>
              <w:t>人，年生产天数</w:t>
            </w:r>
            <w:r>
              <w:rPr>
                <w:rFonts w:hint="eastAsia"/>
                <w:lang w:val="en-US" w:eastAsia="zh-CN"/>
              </w:rPr>
              <w:t>26</w:t>
            </w:r>
            <w:r>
              <w:t>0天，实行</w:t>
            </w:r>
            <w:r>
              <w:rPr>
                <w:rFonts w:hint="eastAsia"/>
                <w:lang w:val="en-US" w:eastAsia="zh-CN"/>
              </w:rPr>
              <w:t>一</w:t>
            </w:r>
            <w:r>
              <w:t>班制，每班工作8小时，年生产</w:t>
            </w:r>
            <w:r>
              <w:rPr>
                <w:rFonts w:hint="eastAsia"/>
                <w:lang w:val="en-US" w:eastAsia="zh-CN"/>
              </w:rPr>
              <w:t>2080</w:t>
            </w:r>
            <w:r>
              <w:t>小时。</w:t>
            </w:r>
          </w:p>
          <w:p>
            <w:pPr>
              <w:pStyle w:val="4"/>
              <w:bidi w:val="0"/>
            </w:pPr>
            <w:r>
              <w:rPr>
                <w:rFonts w:hint="eastAsia"/>
              </w:rPr>
              <w:t>8</w:t>
            </w:r>
            <w:r>
              <w:t>、厂区平面布置</w:t>
            </w:r>
          </w:p>
          <w:p>
            <w:pPr>
              <w:bidi w:val="0"/>
              <w:rPr>
                <w:rFonts w:hint="eastAsia"/>
                <w:sz w:val="24"/>
                <w:lang w:val="en-US" w:eastAsia="zh-CN"/>
              </w:rPr>
            </w:pPr>
            <w:r>
              <w:rPr>
                <w:rFonts w:hint="eastAsia"/>
              </w:rPr>
              <w:t>本项目</w:t>
            </w:r>
            <w:r>
              <w:rPr>
                <w:rFonts w:hint="eastAsia"/>
                <w:lang w:val="en-US" w:eastAsia="zh-CN"/>
              </w:rPr>
              <w:t>共建设两座钢构车间、一座6层钢筋混凝土综合楼、一座6层钢筋混凝土宿舍楼，另有门卫室、特高压外场地等配套设施。1#车间位于厂区西端，内含绝缘子生产线和电力金具生产线各一条，另有各类高低压实验仪器。2#车间位于厂区中部，内含绝缘子生产线和电力金具生产线各一条，另设有成品库。2#车间东侧为特高压外场地，主要用于各类室外特高压试验。综合楼主要用于员工办公，宿舍楼主要用于员工住宿，二者均位于厂区东端。</w:t>
            </w:r>
            <w:r>
              <w:t>项目平面布置工程分区明确，合理可行，平面布置图详见附图</w:t>
            </w:r>
            <w:r>
              <w:rPr>
                <w:rFonts w:hint="eastAsia"/>
              </w:rPr>
              <w:t>4</w:t>
            </w:r>
            <w: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77" w:type="dxa"/>
            <w:tcBorders>
              <w:bottom w:val="single" w:color="auto" w:sz="12" w:space="0"/>
            </w:tcBorders>
            <w:vAlign w:val="center"/>
          </w:tcPr>
          <w:p>
            <w:pPr>
              <w:bidi w:val="0"/>
              <w:ind w:left="0" w:leftChars="0" w:firstLine="0" w:firstLineChars="0"/>
              <w:jc w:val="center"/>
              <w:rPr>
                <w:rFonts w:hint="eastAsia"/>
                <w:lang w:eastAsia="zh-CN"/>
              </w:rPr>
            </w:pPr>
            <w:r>
              <w:rPr>
                <w:rFonts w:hint="eastAsia"/>
                <w:lang w:eastAsia="zh-CN"/>
              </w:rPr>
              <w:t>工艺流程和产排污环节</w:t>
            </w:r>
          </w:p>
        </w:tc>
        <w:tc>
          <w:tcPr>
            <w:tcW w:w="8471" w:type="dxa"/>
            <w:tcBorders>
              <w:bottom w:val="single" w:color="auto" w:sz="12" w:space="0"/>
            </w:tcBorders>
            <w:vAlign w:val="center"/>
          </w:tcPr>
          <w:p>
            <w:pPr>
              <w:pStyle w:val="4"/>
              <w:bidi w:val="0"/>
            </w:pPr>
            <w:r>
              <w:t>1、工艺流程</w:t>
            </w:r>
          </w:p>
          <w:p>
            <w:pPr>
              <w:bidi w:val="0"/>
              <w:rPr>
                <w:b/>
                <w:bCs/>
              </w:rPr>
            </w:pPr>
            <w:r>
              <w:rPr>
                <w:rFonts w:hint="eastAsia"/>
                <w:b/>
                <w:bCs/>
                <w:lang w:val="en-US" w:eastAsia="zh-CN"/>
              </w:rPr>
              <w:t>电力金具</w:t>
            </w:r>
            <w:r>
              <w:rPr>
                <w:b/>
                <w:bCs/>
              </w:rPr>
              <w:t>生产工艺流程简述：</w:t>
            </w:r>
          </w:p>
          <w:p>
            <w:pPr>
              <w:bidi w:val="0"/>
              <w:rPr>
                <w:rFonts w:hint="default" w:eastAsia="宋体"/>
                <w:lang w:val="en-US" w:eastAsia="zh-CN"/>
              </w:rPr>
            </w:pPr>
            <w:r>
              <w:rPr>
                <w:rFonts w:hint="eastAsia"/>
                <w:lang w:val="en-US" w:eastAsia="zh-CN"/>
              </w:rPr>
              <w:t>本项目所生产电力金具分为钢质和铝合金材质两种：</w:t>
            </w:r>
          </w:p>
          <w:p>
            <w:pPr>
              <w:bidi w:val="0"/>
              <w:rPr>
                <w:rFonts w:hint="default" w:eastAsia="宋体"/>
                <w:lang w:val="en-US" w:eastAsia="zh-CN"/>
              </w:rPr>
            </w:pPr>
            <w:r>
              <w:t>（1）</w:t>
            </w:r>
            <w:r>
              <w:rPr>
                <w:rFonts w:hint="eastAsia"/>
                <w:lang w:val="en-US" w:eastAsia="zh-CN"/>
              </w:rPr>
              <w:t>钢条折弯：项目外购切割成型的钢条，利用折弯机折成规格所需形状，该过程产生设备噪声。</w:t>
            </w:r>
          </w:p>
          <w:p>
            <w:pPr>
              <w:bidi w:val="0"/>
              <w:rPr>
                <w:rFonts w:hint="eastAsia"/>
                <w:lang w:val="en-US" w:eastAsia="zh-CN"/>
              </w:rPr>
            </w:pPr>
            <w:r>
              <w:rPr>
                <w:rFonts w:hint="eastAsia"/>
                <w:lang w:eastAsia="zh-CN"/>
              </w:rPr>
              <w:t>（</w:t>
            </w:r>
            <w:r>
              <w:rPr>
                <w:rFonts w:hint="eastAsia"/>
                <w:lang w:val="en-US" w:eastAsia="zh-CN"/>
              </w:rPr>
              <w:t>2</w:t>
            </w:r>
            <w:r>
              <w:rPr>
                <w:rFonts w:hint="eastAsia"/>
                <w:lang w:eastAsia="zh-CN"/>
              </w:rPr>
              <w:t>）</w:t>
            </w:r>
            <w:r>
              <w:rPr>
                <w:rFonts w:hint="eastAsia"/>
                <w:lang w:val="en-US" w:eastAsia="zh-CN"/>
              </w:rPr>
              <w:t>外协镀锌：经过折弯后的半成品，送至协作单位进行镀锌，使工件外表面形成抗氧化、耐腐蚀的镀锌层，同时提高工件外观。</w:t>
            </w:r>
          </w:p>
          <w:p>
            <w:pPr>
              <w:bidi w:val="0"/>
              <w:rPr>
                <w:b/>
                <w:bCs/>
              </w:rPr>
            </w:pPr>
            <w:r>
              <w:rPr>
                <w:rFonts w:hint="eastAsia" w:eastAsia="宋体"/>
                <w:lang w:eastAsia="zh-CN"/>
              </w:rPr>
              <w:drawing>
                <wp:anchor distT="0" distB="0" distL="114300" distR="114300" simplePos="0" relativeHeight="251664384" behindDoc="0" locked="0" layoutInCell="1" allowOverlap="1">
                  <wp:simplePos x="0" y="0"/>
                  <wp:positionH relativeFrom="column">
                    <wp:posOffset>624205</wp:posOffset>
                  </wp:positionH>
                  <wp:positionV relativeFrom="paragraph">
                    <wp:posOffset>271145</wp:posOffset>
                  </wp:positionV>
                  <wp:extent cx="3843020" cy="4789805"/>
                  <wp:effectExtent l="0" t="0" r="5080" b="0"/>
                  <wp:wrapNone/>
                  <wp:docPr id="3" name="图片 3" descr="工艺流程图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工艺流程图 - 副本"/>
                          <pic:cNvPicPr>
                            <a:picLocks noChangeAspect="1"/>
                          </pic:cNvPicPr>
                        </pic:nvPicPr>
                        <pic:blipFill>
                          <a:blip r:embed="rId8"/>
                          <a:stretch>
                            <a:fillRect/>
                          </a:stretch>
                        </pic:blipFill>
                        <pic:spPr>
                          <a:xfrm>
                            <a:off x="0" y="0"/>
                            <a:ext cx="3843020" cy="4789805"/>
                          </a:xfrm>
                          <a:prstGeom prst="rect">
                            <a:avLst/>
                          </a:prstGeom>
                        </pic:spPr>
                      </pic:pic>
                    </a:graphicData>
                  </a:graphic>
                </wp:anchor>
              </w:drawing>
            </w:r>
            <w:r>
              <w:rPr>
                <w:rFonts w:hint="eastAsia"/>
                <w:b/>
                <w:bCs/>
                <w:lang w:val="en-US" w:eastAsia="zh-CN"/>
              </w:rPr>
              <w:t>电力金具生产</w:t>
            </w:r>
            <w:r>
              <w:rPr>
                <w:b/>
                <w:bCs/>
              </w:rPr>
              <w:t>工艺流程图：</w:t>
            </w:r>
          </w:p>
          <w:p>
            <w:pPr>
              <w:bidi w:val="0"/>
              <w:rPr>
                <w:rFonts w:hint="eastAsia" w:eastAsia="宋体"/>
                <w:lang w:eastAsia="zh-CN"/>
              </w:rPr>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pStyle w:val="12"/>
              <w:widowControl w:val="0"/>
              <w:bidi w:val="0"/>
            </w:pPr>
            <w:r>
              <w:t>图2-2</w:t>
            </w:r>
            <w:r>
              <w:rPr>
                <w:rFonts w:hint="eastAsia"/>
                <w:lang w:val="en-US" w:eastAsia="zh-CN"/>
              </w:rPr>
              <w:t xml:space="preserve">  </w:t>
            </w:r>
            <w:r>
              <w:t xml:space="preserve"> </w:t>
            </w:r>
            <w:r>
              <w:rPr>
                <w:rFonts w:hint="eastAsia"/>
                <w:lang w:val="en-US" w:eastAsia="zh-CN"/>
              </w:rPr>
              <w:t>电力金具</w:t>
            </w:r>
            <w:r>
              <w:t>生产工艺流程及产污环节</w:t>
            </w:r>
            <w:r>
              <w:rPr>
                <w:rFonts w:hint="eastAsia"/>
              </w:rPr>
              <w:t>示意</w:t>
            </w:r>
            <w:r>
              <w:t>图</w:t>
            </w:r>
          </w:p>
          <w:p>
            <w:pPr>
              <w:bidi w:val="0"/>
              <w:rPr>
                <w:rFonts w:hint="default"/>
                <w:lang w:val="en-US" w:eastAsia="zh-CN"/>
              </w:rPr>
            </w:pPr>
            <w:r>
              <w:rPr>
                <w:rFonts w:hint="eastAsia"/>
                <w:lang w:val="en-US" w:eastAsia="zh-CN"/>
              </w:rPr>
              <w:t>（3）铝合金加热、锻造：项目外购块状铝合金材料，首先利用加热升温至350℃，提高铝合金延展性，再使用锻造机将其锻压成规定的形状，该工序产生设备噪声。</w:t>
            </w:r>
          </w:p>
          <w:p>
            <w:pPr>
              <w:bidi w:val="0"/>
              <w:rPr>
                <w:rFonts w:hint="default" w:eastAsia="宋体"/>
                <w:lang w:val="en-US" w:eastAsia="zh-CN"/>
              </w:rPr>
            </w:pPr>
            <w:r>
              <w:rPr>
                <w:rFonts w:hint="eastAsia"/>
                <w:lang w:eastAsia="zh-CN"/>
              </w:rPr>
              <w:t>（</w:t>
            </w:r>
            <w:r>
              <w:rPr>
                <w:rFonts w:hint="eastAsia"/>
                <w:lang w:val="en-US" w:eastAsia="zh-CN"/>
              </w:rPr>
              <w:t>4</w:t>
            </w:r>
            <w:r>
              <w:rPr>
                <w:rFonts w:hint="eastAsia"/>
                <w:lang w:eastAsia="zh-CN"/>
              </w:rPr>
              <w:t>）</w:t>
            </w:r>
            <w:r>
              <w:rPr>
                <w:rFonts w:hint="eastAsia"/>
                <w:lang w:val="en-US" w:eastAsia="zh-CN"/>
              </w:rPr>
              <w:t>切边：经过锻造的工件，利用压力机将毛边切除，形成洁净光滑的表面切口。该工序产生金属废料和设备噪声。</w:t>
            </w:r>
          </w:p>
          <w:p>
            <w:pPr>
              <w:bidi w:val="0"/>
              <w:rPr>
                <w:rFonts w:hint="eastAsia"/>
                <w:lang w:val="en-US" w:eastAsia="zh-CN"/>
              </w:rPr>
            </w:pPr>
            <w:r>
              <w:rPr>
                <w:rFonts w:hint="eastAsia"/>
                <w:lang w:val="en-US" w:eastAsia="zh-CN"/>
              </w:rPr>
              <w:t>（5）机加工：经过锻造的工件，利用数控加工中心将其切削成图纸规定的形状，该工序产生金属废料和设备噪声。</w:t>
            </w:r>
          </w:p>
          <w:p>
            <w:pPr>
              <w:bidi w:val="0"/>
              <w:rPr>
                <w:rFonts w:hint="default"/>
                <w:lang w:val="en-US" w:eastAsia="zh-CN"/>
              </w:rPr>
            </w:pPr>
            <w:r>
              <w:rPr>
                <w:rFonts w:hint="eastAsia"/>
                <w:lang w:val="en-US" w:eastAsia="zh-CN"/>
              </w:rPr>
              <w:t>（6）外协阳极氧化：将加工成型的工件送至协作单位进行阳极氧化，使工件表面形成一层质密的氧化膜，提高产品外观的同时增加工件抗腐蚀性。</w:t>
            </w:r>
          </w:p>
          <w:p>
            <w:pPr>
              <w:bidi w:val="0"/>
              <w:rPr>
                <w:rFonts w:hint="default"/>
                <w:lang w:val="en-US" w:eastAsia="zh-CN"/>
              </w:rPr>
            </w:pPr>
            <w:r>
              <w:rPr>
                <w:rFonts w:hint="eastAsia"/>
                <w:lang w:val="en-US" w:eastAsia="zh-CN"/>
              </w:rPr>
              <w:t>（7）经过上述工序后，即可得到成品电力金具，再经过检验合格后即可包装入库。</w:t>
            </w:r>
          </w:p>
          <w:p>
            <w:pPr>
              <w:bidi w:val="0"/>
              <w:rPr>
                <w:rFonts w:hint="eastAsia" w:eastAsia="宋体"/>
                <w:b/>
                <w:bCs/>
                <w:lang w:eastAsia="zh-CN"/>
              </w:rPr>
            </w:pPr>
            <w:r>
              <w:rPr>
                <w:rFonts w:hint="eastAsia"/>
                <w:b/>
                <w:bCs/>
                <w:lang w:val="en-US" w:eastAsia="zh-CN"/>
              </w:rPr>
              <w:t>绝缘子生产</w:t>
            </w:r>
            <w:r>
              <w:rPr>
                <w:b/>
                <w:bCs/>
              </w:rPr>
              <w:t>工艺流程图：</w:t>
            </w:r>
          </w:p>
          <w:p>
            <w:pPr>
              <w:bidi w:val="0"/>
              <w:rPr>
                <w:rFonts w:hint="eastAsia" w:eastAsia="宋体"/>
                <w:lang w:eastAsia="zh-CN"/>
              </w:rPr>
            </w:pPr>
            <w:r>
              <w:rPr>
                <w:rFonts w:hint="eastAsia" w:eastAsia="宋体"/>
                <w:lang w:eastAsia="zh-CN"/>
              </w:rPr>
              <w:drawing>
                <wp:anchor distT="0" distB="0" distL="114300" distR="114300" simplePos="0" relativeHeight="251663360" behindDoc="0" locked="0" layoutInCell="1" allowOverlap="1">
                  <wp:simplePos x="0" y="0"/>
                  <wp:positionH relativeFrom="column">
                    <wp:posOffset>662305</wp:posOffset>
                  </wp:positionH>
                  <wp:positionV relativeFrom="paragraph">
                    <wp:posOffset>85090</wp:posOffset>
                  </wp:positionV>
                  <wp:extent cx="3843020" cy="4887595"/>
                  <wp:effectExtent l="0" t="0" r="5080" b="0"/>
                  <wp:wrapNone/>
                  <wp:docPr id="6" name="图片 6" descr="工艺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工艺流程图"/>
                          <pic:cNvPicPr>
                            <a:picLocks noChangeAspect="1"/>
                          </pic:cNvPicPr>
                        </pic:nvPicPr>
                        <pic:blipFill>
                          <a:blip r:embed="rId9"/>
                          <a:stretch>
                            <a:fillRect/>
                          </a:stretch>
                        </pic:blipFill>
                        <pic:spPr>
                          <a:xfrm>
                            <a:off x="0" y="0"/>
                            <a:ext cx="3843020" cy="4887595"/>
                          </a:xfrm>
                          <a:prstGeom prst="rect">
                            <a:avLst/>
                          </a:prstGeom>
                        </pic:spPr>
                      </pic:pic>
                    </a:graphicData>
                  </a:graphic>
                </wp:anchor>
              </w:drawing>
            </w:r>
          </w:p>
          <w:p>
            <w:pPr>
              <w:bidi w:val="0"/>
              <w:rPr>
                <w:rFonts w:hint="eastAsia" w:eastAsia="宋体"/>
                <w:lang w:eastAsia="zh-CN"/>
              </w:rPr>
            </w:pPr>
          </w:p>
          <w:p>
            <w:pPr>
              <w:bidi w:val="0"/>
            </w:pPr>
          </w:p>
          <w:p>
            <w:pPr>
              <w:bidi w:val="0"/>
            </w:pPr>
          </w:p>
          <w:p>
            <w:pPr>
              <w:bidi w:val="0"/>
              <w:rPr>
                <w:rFonts w:hint="eastAsia" w:eastAsia="宋体"/>
                <w:lang w:eastAsia="zh-CN"/>
              </w:rPr>
            </w:pPr>
          </w:p>
          <w:p>
            <w:pPr>
              <w:bidi w:val="0"/>
            </w:pPr>
          </w:p>
          <w:p>
            <w:pPr>
              <w:bidi w:val="0"/>
            </w:pPr>
          </w:p>
          <w:p>
            <w:pPr>
              <w:bidi w:val="0"/>
            </w:pPr>
          </w:p>
          <w:p>
            <w:pPr>
              <w:bidi w:val="0"/>
            </w:pPr>
          </w:p>
          <w:p>
            <w:pPr>
              <w:bidi w:val="0"/>
              <w:rPr>
                <w:rFonts w:hint="eastAsia" w:eastAsia="宋体"/>
                <w:lang w:eastAsia="zh-CN"/>
              </w:rPr>
            </w:pPr>
          </w:p>
          <w:p>
            <w:pPr>
              <w:bidi w:val="0"/>
            </w:pPr>
          </w:p>
          <w:p>
            <w:pPr>
              <w:bidi w:val="0"/>
            </w:pPr>
          </w:p>
          <w:p>
            <w:pPr>
              <w:bidi w:val="0"/>
            </w:pPr>
          </w:p>
          <w:p>
            <w:pPr>
              <w:bidi w:val="0"/>
            </w:pPr>
          </w:p>
          <w:p>
            <w:pPr>
              <w:bidi w:val="0"/>
            </w:pPr>
          </w:p>
          <w:p>
            <w:pPr>
              <w:bidi w:val="0"/>
            </w:pPr>
          </w:p>
          <w:p>
            <w:pPr>
              <w:bidi w:val="0"/>
              <w:rPr>
                <w:rFonts w:hint="eastAsia" w:eastAsia="宋体"/>
                <w:lang w:eastAsia="zh-CN"/>
              </w:rPr>
            </w:pPr>
          </w:p>
          <w:p>
            <w:pPr>
              <w:pStyle w:val="12"/>
              <w:widowControl w:val="0"/>
              <w:bidi w:val="0"/>
            </w:pPr>
            <w:r>
              <w:t>图2-</w:t>
            </w:r>
            <w:r>
              <w:rPr>
                <w:rFonts w:hint="eastAsia"/>
                <w:lang w:val="en-US" w:eastAsia="zh-CN"/>
              </w:rPr>
              <w:t xml:space="preserve">3 </w:t>
            </w:r>
            <w:r>
              <w:t xml:space="preserve">  </w:t>
            </w:r>
            <w:r>
              <w:rPr>
                <w:rFonts w:hint="eastAsia"/>
                <w:lang w:val="en-US" w:eastAsia="zh-CN"/>
              </w:rPr>
              <w:t>绝缘子</w:t>
            </w:r>
            <w:r>
              <w:t>生产工艺流程及产污环节</w:t>
            </w:r>
            <w:r>
              <w:rPr>
                <w:rFonts w:hint="eastAsia"/>
              </w:rPr>
              <w:t>示意</w:t>
            </w:r>
            <w:r>
              <w:t>图</w:t>
            </w:r>
          </w:p>
          <w:p>
            <w:pPr>
              <w:bidi w:val="0"/>
              <w:rPr>
                <w:rFonts w:hint="eastAsia"/>
                <w:b/>
                <w:bCs/>
                <w:lang w:eastAsia="zh-CN"/>
              </w:rPr>
            </w:pPr>
            <w:r>
              <w:rPr>
                <w:rFonts w:hint="eastAsia"/>
                <w:b/>
                <w:bCs/>
                <w:lang w:val="en-US" w:eastAsia="zh-CN"/>
              </w:rPr>
              <w:t>绝缘子</w:t>
            </w:r>
            <w:r>
              <w:rPr>
                <w:b/>
                <w:bCs/>
              </w:rPr>
              <w:t>生产工艺流程简述</w:t>
            </w:r>
            <w:r>
              <w:rPr>
                <w:rFonts w:hint="eastAsia"/>
                <w:b/>
                <w:bCs/>
                <w:lang w:eastAsia="zh-CN"/>
              </w:rPr>
              <w:t>：</w:t>
            </w:r>
          </w:p>
          <w:p>
            <w:pPr>
              <w:bidi w:val="0"/>
              <w:rPr>
                <w:rFonts w:hint="default"/>
                <w:b w:val="0"/>
                <w:bCs w:val="0"/>
                <w:lang w:val="en-US" w:eastAsia="zh-CN"/>
              </w:rPr>
            </w:pPr>
            <w:r>
              <w:rPr>
                <w:rFonts w:hint="eastAsia"/>
                <w:b w:val="0"/>
                <w:bCs w:val="0"/>
                <w:lang w:eastAsia="zh-CN"/>
              </w:rPr>
              <w:t>（</w:t>
            </w:r>
            <w:r>
              <w:rPr>
                <w:rFonts w:hint="eastAsia"/>
                <w:b w:val="0"/>
                <w:bCs w:val="0"/>
                <w:lang w:val="en-US" w:eastAsia="zh-CN"/>
              </w:rPr>
              <w:t>1</w:t>
            </w:r>
            <w:r>
              <w:rPr>
                <w:rFonts w:hint="eastAsia"/>
                <w:b w:val="0"/>
                <w:bCs w:val="0"/>
                <w:lang w:eastAsia="zh-CN"/>
              </w:rPr>
              <w:t>）</w:t>
            </w:r>
            <w:r>
              <w:rPr>
                <w:rFonts w:hint="eastAsia"/>
                <w:b w:val="0"/>
                <w:bCs w:val="0"/>
                <w:lang w:val="en-US" w:eastAsia="zh-CN"/>
              </w:rPr>
              <w:t>硅橡胶混合：项目外购硅胶、硅油、白炭黑、色膏等通过人工拆袋，手工配料后将其倒入捏合机中，捏合机是一种特殊的混合搅拌设备，最常用的是采用两个</w:t>
            </w:r>
            <w:r>
              <w:rPr>
                <w:rFonts w:hint="eastAsia" w:ascii="宋体" w:hAnsi="宋体" w:eastAsia="宋体" w:cs="宋体"/>
                <w:b w:val="0"/>
                <w:bCs w:val="0"/>
                <w:lang w:val="en-US" w:eastAsia="zh-CN"/>
              </w:rPr>
              <w:t>∑</w:t>
            </w:r>
            <w:r>
              <w:rPr>
                <w:rFonts w:hint="eastAsia"/>
                <w:b w:val="0"/>
                <w:bCs w:val="0"/>
                <w:lang w:val="en-US" w:eastAsia="zh-CN"/>
              </w:rPr>
              <w:t>桨叶，采用并排相切差速型排列，即一个搅拌桨的速度快，一个搅拌桨的速度慢，以便于产生剪切力，不同的桨速使得</w:t>
            </w:r>
            <w:r>
              <w:rPr>
                <w:rFonts w:hint="eastAsia"/>
                <w:lang w:val="en-US" w:eastAsia="zh-CN"/>
              </w:rPr>
              <w:t>混合</w:t>
            </w:r>
            <w:r>
              <w:rPr>
                <w:rFonts w:hint="eastAsia"/>
                <w:b w:val="0"/>
                <w:bCs w:val="0"/>
                <w:lang w:val="en-US" w:eastAsia="zh-CN"/>
              </w:rPr>
              <w:t>的物料能够迅速剪切，从而使物料能够混合均匀。然后使用开炼机进行揉炼，通过机械作用使生胶或塑料胶与各种配合剂均匀混合，提高橡胶制品的物理机械性能，使配合剂呈分散相，生胶呈</w:t>
            </w:r>
            <w:r>
              <w:rPr>
                <w:rFonts w:hint="eastAsia"/>
                <w:b w:val="0"/>
                <w:bCs w:val="0"/>
                <w:lang w:val="en-US" w:eastAsia="zh-CN"/>
              </w:rPr>
              <w:fldChar w:fldCharType="begin"/>
            </w:r>
            <w:r>
              <w:rPr>
                <w:rFonts w:hint="eastAsia"/>
                <w:b w:val="0"/>
                <w:bCs w:val="0"/>
                <w:lang w:val="en-US" w:eastAsia="zh-CN"/>
              </w:rPr>
              <w:instrText xml:space="preserve"> HYPERLINK "https://baike.baidu.com/item/%E8%BF%9E%E7%BB%AD%E7%9B%B8/8811225" \t "https://baike.baidu.com/item/%E6%B7%B7%E7%82%BC/_blank" </w:instrText>
            </w:r>
            <w:r>
              <w:rPr>
                <w:rFonts w:hint="eastAsia"/>
                <w:b w:val="0"/>
                <w:bCs w:val="0"/>
                <w:lang w:val="en-US" w:eastAsia="zh-CN"/>
              </w:rPr>
              <w:fldChar w:fldCharType="separate"/>
            </w:r>
            <w:r>
              <w:rPr>
                <w:rFonts w:hint="eastAsia"/>
                <w:b w:val="0"/>
                <w:bCs w:val="0"/>
                <w:lang w:val="en-US" w:eastAsia="zh-CN"/>
              </w:rPr>
              <w:t>连续相</w:t>
            </w:r>
            <w:r>
              <w:rPr>
                <w:rFonts w:hint="eastAsia"/>
                <w:b w:val="0"/>
                <w:bCs w:val="0"/>
                <w:lang w:val="en-US" w:eastAsia="zh-CN"/>
              </w:rPr>
              <w:fldChar w:fldCharType="end"/>
            </w:r>
            <w:r>
              <w:rPr>
                <w:rFonts w:hint="eastAsia"/>
                <w:b w:val="0"/>
                <w:bCs w:val="0"/>
                <w:lang w:val="en-US" w:eastAsia="zh-CN"/>
              </w:rPr>
              <w:t>。最后利用过滤机将混合成的硅橡胶形成片状备用。</w:t>
            </w:r>
            <w:r>
              <w:rPr>
                <w:rFonts w:hint="eastAsia"/>
              </w:rPr>
              <w:t>此过程会有噪声、</w:t>
            </w:r>
            <w:r>
              <w:rPr>
                <w:rFonts w:hint="eastAsia"/>
                <w:lang w:val="en-US" w:eastAsia="zh-CN"/>
              </w:rPr>
              <w:t>混胶</w:t>
            </w:r>
            <w:r>
              <w:rPr>
                <w:rFonts w:hint="eastAsia"/>
              </w:rPr>
              <w:t>废气产生</w:t>
            </w:r>
            <w:r>
              <w:t>。</w:t>
            </w:r>
          </w:p>
          <w:p>
            <w:pPr>
              <w:bidi w:val="0"/>
              <w:rPr>
                <w:rFonts w:hint="default"/>
                <w:b w:val="0"/>
                <w:bCs w:val="0"/>
                <w:lang w:val="en-US" w:eastAsia="zh-CN"/>
              </w:rPr>
            </w:pPr>
            <w:r>
              <w:rPr>
                <w:rFonts w:hint="eastAsia"/>
                <w:b w:val="0"/>
                <w:bCs w:val="0"/>
                <w:lang w:eastAsia="zh-CN"/>
              </w:rPr>
              <w:t>（</w:t>
            </w:r>
            <w:r>
              <w:rPr>
                <w:rFonts w:hint="eastAsia"/>
                <w:b w:val="0"/>
                <w:bCs w:val="0"/>
                <w:lang w:val="en-US" w:eastAsia="zh-CN"/>
              </w:rPr>
              <w:t>2</w:t>
            </w:r>
            <w:r>
              <w:rPr>
                <w:rFonts w:hint="eastAsia"/>
                <w:b w:val="0"/>
                <w:bCs w:val="0"/>
                <w:lang w:eastAsia="zh-CN"/>
              </w:rPr>
              <w:t>）</w:t>
            </w:r>
            <w:r>
              <w:rPr>
                <w:rFonts w:hint="eastAsia"/>
                <w:b w:val="0"/>
                <w:bCs w:val="0"/>
                <w:lang w:val="en-US" w:eastAsia="zh-CN"/>
              </w:rPr>
              <w:t>预热：项目外购瓷芯、玻璃芯等耗材，经检验合格后送至烤箱中100℃预热。项目成型机模腔外层夹套采用电加热装置，所用的模具需先进行100℃预热。</w:t>
            </w:r>
          </w:p>
          <w:p>
            <w:pPr>
              <w:bidi w:val="0"/>
              <w:rPr>
                <w:rFonts w:hint="default"/>
                <w:b w:val="0"/>
                <w:bCs w:val="0"/>
                <w:lang w:val="en-US" w:eastAsia="zh-CN"/>
              </w:rPr>
            </w:pPr>
            <w:r>
              <w:rPr>
                <w:rFonts w:hint="eastAsia"/>
                <w:b w:val="0"/>
                <w:bCs w:val="0"/>
                <w:lang w:eastAsia="zh-CN"/>
              </w:rPr>
              <w:t>（</w:t>
            </w:r>
            <w:r>
              <w:rPr>
                <w:rFonts w:hint="eastAsia"/>
                <w:b w:val="0"/>
                <w:bCs w:val="0"/>
                <w:lang w:val="en-US" w:eastAsia="zh-CN"/>
              </w:rPr>
              <w:t>3</w:t>
            </w:r>
            <w:r>
              <w:rPr>
                <w:rFonts w:hint="eastAsia"/>
                <w:b w:val="0"/>
                <w:bCs w:val="0"/>
                <w:lang w:eastAsia="zh-CN"/>
              </w:rPr>
              <w:t>）</w:t>
            </w:r>
            <w:r>
              <w:rPr>
                <w:rFonts w:hint="eastAsia"/>
                <w:b w:val="0"/>
                <w:bCs w:val="0"/>
                <w:lang w:val="en-US" w:eastAsia="zh-CN"/>
              </w:rPr>
              <w:t>硅橡胶填充：先将预热后的瓷芯放入成型机模腔中，然后填充硅橡胶。制作盘型绝缘子时，由人工称量定量的硅橡胶后手动填充至成型机模腔中，制作棒型绝缘子时，由人工称量定量的硅橡胶后使用橡胶注射机填充至成型机模腔中。</w:t>
            </w:r>
          </w:p>
          <w:p>
            <w:pPr>
              <w:bidi w:val="0"/>
              <w:rPr>
                <w:rFonts w:hint="default"/>
                <w:b w:val="0"/>
                <w:bCs w:val="0"/>
                <w:lang w:val="en-US" w:eastAsia="zh-CN"/>
              </w:rPr>
            </w:pPr>
            <w:r>
              <w:rPr>
                <w:rFonts w:hint="eastAsia"/>
                <w:b w:val="0"/>
                <w:bCs w:val="0"/>
                <w:lang w:eastAsia="zh-CN"/>
              </w:rPr>
              <w:t>（</w:t>
            </w:r>
            <w:r>
              <w:rPr>
                <w:rFonts w:hint="eastAsia"/>
                <w:b w:val="0"/>
                <w:bCs w:val="0"/>
                <w:lang w:val="en-US" w:eastAsia="zh-CN"/>
              </w:rPr>
              <w:t>4</w:t>
            </w:r>
            <w:r>
              <w:rPr>
                <w:rFonts w:hint="eastAsia"/>
                <w:b w:val="0"/>
                <w:bCs w:val="0"/>
                <w:lang w:eastAsia="zh-CN"/>
              </w:rPr>
              <w:t>）</w:t>
            </w:r>
            <w:r>
              <w:rPr>
                <w:rFonts w:hint="eastAsia"/>
                <w:b w:val="0"/>
                <w:bCs w:val="0"/>
                <w:lang w:val="en-US" w:eastAsia="zh-CN"/>
              </w:rPr>
              <w:t>模压成型：硅橡胶填充完毕后使模具合并密闭，再利用成型机压力将硅橡胶和瓷芯压接在一起，然后在成型机模腔内部130℃压制15min，即可得到固定形状的半成品，此过程会产生成型废气和设备噪声。</w:t>
            </w:r>
          </w:p>
          <w:p>
            <w:pPr>
              <w:bidi w:val="0"/>
              <w:rPr>
                <w:rFonts w:hint="eastAsia"/>
                <w:lang w:val="en-US" w:eastAsia="zh-CN"/>
              </w:rPr>
            </w:pPr>
            <w:r>
              <w:t>（</w:t>
            </w:r>
            <w:r>
              <w:rPr>
                <w:rFonts w:hint="eastAsia"/>
                <w:lang w:val="en-US" w:eastAsia="zh-CN"/>
              </w:rPr>
              <w:t>5</w:t>
            </w:r>
            <w:r>
              <w:t>）</w:t>
            </w:r>
            <w:r>
              <w:rPr>
                <w:rFonts w:hint="eastAsia"/>
                <w:lang w:val="en-US" w:eastAsia="zh-CN"/>
              </w:rPr>
              <w:t>冷却、修边：经过压制成型的半成品，由于其温度高达130℃、强度小，绝缘子表面固化不彻底，应进行冷却。人工将半成品绝缘子从成型机中模腔中取出，悬挂于架子上自然冷却至20℃。经过自然冷却后，人工用小刀进行边缘修整，该过程产生橡胶废料。</w:t>
            </w:r>
          </w:p>
          <w:p>
            <w:pPr>
              <w:bidi w:val="0"/>
              <w:rPr>
                <w:rFonts w:hint="eastAsia"/>
                <w:lang w:val="en-US" w:eastAsia="zh-CN"/>
              </w:rPr>
            </w:pPr>
            <w:r>
              <w:rPr>
                <w:rFonts w:hint="eastAsia"/>
                <w:lang w:val="en-US" w:eastAsia="zh-CN"/>
              </w:rPr>
              <w:t>（6）试验：通过高压试验变压器和拉力机进行耐压试验和拉力试验，本过程不进行破坏性试验，高压试验变压器电压为10kV，无射线装置，实验过程中不产生放射性和电磁影响。</w:t>
            </w:r>
          </w:p>
          <w:p>
            <w:pPr>
              <w:bidi w:val="0"/>
            </w:pPr>
            <w:r>
              <w:rPr>
                <w:rFonts w:hint="eastAsia"/>
                <w:lang w:val="en-US" w:eastAsia="zh-CN"/>
              </w:rPr>
              <w:t>（7）配套装箱：检验合格的产品通过数控压接机进行组装，对绝缘子端部结合部进行压接，使其形成一定形状，以便于后期使用过程中对高压线的咬合。经过上述工序后，即可得到成品绝缘子，随后即可装箱入库。</w:t>
            </w:r>
          </w:p>
          <w:p>
            <w:pPr>
              <w:autoSpaceDE w:val="0"/>
              <w:autoSpaceDN w:val="0"/>
              <w:spacing w:line="360" w:lineRule="auto"/>
              <w:rPr>
                <w:sz w:val="24"/>
              </w:rPr>
            </w:pPr>
            <w:r>
              <w:rPr>
                <w:b/>
                <w:sz w:val="24"/>
              </w:rPr>
              <w:t>2、主要污染工序</w:t>
            </w:r>
          </w:p>
          <w:p>
            <w:pPr>
              <w:autoSpaceDE w:val="0"/>
              <w:autoSpaceDN w:val="0"/>
              <w:spacing w:line="360" w:lineRule="auto"/>
              <w:ind w:firstLine="480" w:firstLineChars="200"/>
              <w:rPr>
                <w:sz w:val="24"/>
              </w:rPr>
            </w:pPr>
            <w:r>
              <w:rPr>
                <w:sz w:val="24"/>
              </w:rPr>
              <w:t>项目主要污染物及污染工序见表2-6。</w:t>
            </w:r>
          </w:p>
          <w:p>
            <w:pPr>
              <w:autoSpaceDE w:val="0"/>
              <w:autoSpaceDN w:val="0"/>
              <w:spacing w:line="360" w:lineRule="auto"/>
              <w:ind w:firstLine="480" w:firstLineChars="200"/>
              <w:rPr>
                <w:sz w:val="24"/>
              </w:rPr>
            </w:pPr>
          </w:p>
          <w:p>
            <w:pPr>
              <w:bidi w:val="0"/>
            </w:pPr>
          </w:p>
          <w:p>
            <w:pPr>
              <w:pStyle w:val="12"/>
              <w:widowControl w:val="0"/>
              <w:bidi w:val="0"/>
            </w:pPr>
            <w:r>
              <w:t xml:space="preserve">表2-6 </w:t>
            </w:r>
            <w:r>
              <w:rPr>
                <w:rFonts w:hint="eastAsia"/>
                <w:lang w:val="en-US" w:eastAsia="zh-CN"/>
              </w:rPr>
              <w:t xml:space="preserve"> </w:t>
            </w:r>
            <w:r>
              <w:t xml:space="preserve"> 项目主要污染工序一览表</w:t>
            </w:r>
          </w:p>
          <w:tbl>
            <w:tblPr>
              <w:tblStyle w:val="8"/>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23"/>
              <w:gridCol w:w="1050"/>
              <w:gridCol w:w="1582"/>
              <w:gridCol w:w="2155"/>
              <w:gridCol w:w="30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892" w:type="pct"/>
                  <w:gridSpan w:val="2"/>
                  <w:noWrap w:val="0"/>
                  <w:vAlign w:val="center"/>
                </w:tcPr>
                <w:p>
                  <w:pPr>
                    <w:pStyle w:val="11"/>
                    <w:bidi w:val="0"/>
                  </w:pPr>
                  <w:r>
                    <w:t>污染类别</w:t>
                  </w:r>
                </w:p>
              </w:tc>
              <w:tc>
                <w:tcPr>
                  <w:tcW w:w="958" w:type="pct"/>
                  <w:noWrap w:val="0"/>
                  <w:vAlign w:val="center"/>
                </w:tcPr>
                <w:p>
                  <w:pPr>
                    <w:pStyle w:val="11"/>
                    <w:bidi w:val="0"/>
                  </w:pPr>
                  <w:r>
                    <w:t>污染源名称</w:t>
                  </w:r>
                </w:p>
              </w:tc>
              <w:tc>
                <w:tcPr>
                  <w:tcW w:w="1305" w:type="pct"/>
                  <w:noWrap w:val="0"/>
                  <w:vAlign w:val="center"/>
                </w:tcPr>
                <w:p>
                  <w:pPr>
                    <w:pStyle w:val="11"/>
                    <w:bidi w:val="0"/>
                  </w:pPr>
                  <w:r>
                    <w:t>产生工序</w:t>
                  </w:r>
                </w:p>
              </w:tc>
              <w:tc>
                <w:tcPr>
                  <w:tcW w:w="1844" w:type="pct"/>
                  <w:noWrap w:val="0"/>
                  <w:vAlign w:val="center"/>
                </w:tcPr>
                <w:p>
                  <w:pPr>
                    <w:pStyle w:val="11"/>
                    <w:bidi w:val="0"/>
                  </w:pPr>
                  <w:r>
                    <w:t>主要污染因子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892" w:type="pct"/>
                  <w:gridSpan w:val="2"/>
                  <w:noWrap w:val="0"/>
                  <w:vAlign w:val="center"/>
                </w:tcPr>
                <w:p>
                  <w:pPr>
                    <w:pStyle w:val="11"/>
                    <w:bidi w:val="0"/>
                  </w:pPr>
                  <w:r>
                    <w:t>废水</w:t>
                  </w:r>
                </w:p>
              </w:tc>
              <w:tc>
                <w:tcPr>
                  <w:tcW w:w="958" w:type="pct"/>
                  <w:noWrap w:val="0"/>
                  <w:vAlign w:val="center"/>
                </w:tcPr>
                <w:p>
                  <w:pPr>
                    <w:pStyle w:val="11"/>
                    <w:bidi w:val="0"/>
                  </w:pPr>
                  <w:r>
                    <w:t>生活污水</w:t>
                  </w:r>
                </w:p>
              </w:tc>
              <w:tc>
                <w:tcPr>
                  <w:tcW w:w="1305" w:type="pct"/>
                  <w:noWrap w:val="0"/>
                  <w:vAlign w:val="center"/>
                </w:tcPr>
                <w:p>
                  <w:pPr>
                    <w:pStyle w:val="11"/>
                    <w:bidi w:val="0"/>
                  </w:pPr>
                  <w:r>
                    <w:t>生活、办公</w:t>
                  </w:r>
                </w:p>
              </w:tc>
              <w:tc>
                <w:tcPr>
                  <w:tcW w:w="1844" w:type="pct"/>
                  <w:noWrap w:val="0"/>
                  <w:vAlign w:val="center"/>
                </w:tcPr>
                <w:p>
                  <w:pPr>
                    <w:pStyle w:val="11"/>
                    <w:bidi w:val="0"/>
                  </w:pPr>
                  <w:r>
                    <w:t>COD、BOD</w:t>
                  </w:r>
                  <w:r>
                    <w:rPr>
                      <w:vertAlign w:val="subscript"/>
                    </w:rPr>
                    <w:t>5</w:t>
                  </w:r>
                  <w:r>
                    <w:t>、氨氮、SS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892" w:type="pct"/>
                  <w:gridSpan w:val="2"/>
                  <w:vMerge w:val="restart"/>
                  <w:noWrap w:val="0"/>
                  <w:vAlign w:val="center"/>
                </w:tcPr>
                <w:p>
                  <w:pPr>
                    <w:pStyle w:val="11"/>
                    <w:bidi w:val="0"/>
                  </w:pPr>
                  <w:r>
                    <w:t>废气</w:t>
                  </w:r>
                </w:p>
              </w:tc>
              <w:tc>
                <w:tcPr>
                  <w:tcW w:w="958" w:type="pct"/>
                  <w:noWrap w:val="0"/>
                  <w:vAlign w:val="center"/>
                </w:tcPr>
                <w:p>
                  <w:pPr>
                    <w:pStyle w:val="11"/>
                    <w:bidi w:val="0"/>
                    <w:ind w:firstLine="0" w:firstLineChars="0"/>
                    <w:rPr>
                      <w:rFonts w:hint="eastAsia" w:ascii="Times New Roman" w:hAnsi="Times New Roman" w:eastAsia="宋体" w:cs="Times New Roman"/>
                      <w:kern w:val="44"/>
                      <w:sz w:val="21"/>
                      <w:szCs w:val="22"/>
                      <w:lang w:val="en-US" w:eastAsia="zh-CN" w:bidi="ar-SA"/>
                    </w:rPr>
                  </w:pPr>
                  <w:r>
                    <w:rPr>
                      <w:rFonts w:hint="eastAsia"/>
                      <w:lang w:val="en-US" w:eastAsia="zh-CN"/>
                    </w:rPr>
                    <w:t>混胶废气</w:t>
                  </w:r>
                </w:p>
              </w:tc>
              <w:tc>
                <w:tcPr>
                  <w:tcW w:w="1305" w:type="pct"/>
                  <w:noWrap w:val="0"/>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配料、混合</w:t>
                  </w:r>
                </w:p>
              </w:tc>
              <w:tc>
                <w:tcPr>
                  <w:tcW w:w="1844" w:type="pct"/>
                  <w:noWrap w:val="0"/>
                  <w:vAlign w:val="center"/>
                </w:tcPr>
                <w:p>
                  <w:pPr>
                    <w:pStyle w:val="11"/>
                    <w:bidi w:val="0"/>
                    <w:ind w:firstLine="0" w:firstLineChars="0"/>
                    <w:rPr>
                      <w:rFonts w:hint="eastAsia" w:ascii="Times New Roman" w:hAnsi="Times New Roman" w:eastAsia="宋体" w:cs="Times New Roman"/>
                      <w:kern w:val="44"/>
                      <w:sz w:val="21"/>
                      <w:szCs w:val="22"/>
                      <w:lang w:val="en-US" w:eastAsia="zh-CN" w:bidi="ar-SA"/>
                    </w:rPr>
                  </w:pPr>
                  <w:r>
                    <w:rPr>
                      <w:rFonts w:hint="eastAsia"/>
                      <w:lang w:val="en-US" w:eastAsia="zh-CN"/>
                    </w:rPr>
                    <w:t>颗粒物、硫化氢、非甲烷总烃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892" w:type="pct"/>
                  <w:gridSpan w:val="2"/>
                  <w:vMerge w:val="continue"/>
                  <w:noWrap w:val="0"/>
                  <w:vAlign w:val="center"/>
                </w:tcPr>
                <w:p>
                  <w:pPr>
                    <w:pStyle w:val="11"/>
                    <w:bidi w:val="0"/>
                  </w:pPr>
                </w:p>
              </w:tc>
              <w:tc>
                <w:tcPr>
                  <w:tcW w:w="958" w:type="pct"/>
                  <w:noWrap w:val="0"/>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成型废气</w:t>
                  </w:r>
                </w:p>
              </w:tc>
              <w:tc>
                <w:tcPr>
                  <w:tcW w:w="1305" w:type="pct"/>
                  <w:noWrap w:val="0"/>
                  <w:vAlign w:val="center"/>
                </w:tcPr>
                <w:p>
                  <w:pPr>
                    <w:pStyle w:val="11"/>
                    <w:bidi w:val="0"/>
                    <w:ind w:firstLine="0" w:firstLineChars="0"/>
                    <w:rPr>
                      <w:rFonts w:hint="eastAsia" w:ascii="Times New Roman" w:hAnsi="Times New Roman" w:eastAsia="宋体" w:cs="Times New Roman"/>
                      <w:kern w:val="44"/>
                      <w:sz w:val="21"/>
                      <w:szCs w:val="22"/>
                      <w:lang w:val="en-US" w:eastAsia="zh-CN" w:bidi="ar-SA"/>
                    </w:rPr>
                  </w:pPr>
                  <w:r>
                    <w:rPr>
                      <w:rFonts w:hint="eastAsia"/>
                      <w:lang w:val="en-US" w:eastAsia="zh-CN"/>
                    </w:rPr>
                    <w:t>模压成型</w:t>
                  </w:r>
                </w:p>
              </w:tc>
              <w:tc>
                <w:tcPr>
                  <w:tcW w:w="1844" w:type="pct"/>
                  <w:noWrap w:val="0"/>
                  <w:vAlign w:val="center"/>
                </w:tcPr>
                <w:p>
                  <w:pPr>
                    <w:pStyle w:val="11"/>
                    <w:bidi w:val="0"/>
                    <w:ind w:firstLine="0" w:firstLineChars="0"/>
                    <w:rPr>
                      <w:rFonts w:ascii="Times New Roman" w:hAnsi="Times New Roman" w:eastAsia="宋体" w:cs="Times New Roman"/>
                      <w:kern w:val="44"/>
                      <w:sz w:val="21"/>
                      <w:szCs w:val="22"/>
                      <w:lang w:val="en-US" w:eastAsia="zh-CN" w:bidi="ar-SA"/>
                    </w:rPr>
                  </w:pPr>
                  <w:r>
                    <w:rPr>
                      <w:rFonts w:hint="eastAsia"/>
                      <w:lang w:val="en-US" w:eastAsia="zh-CN"/>
                    </w:rPr>
                    <w:t>硫化氢、非甲烷总烃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892" w:type="pct"/>
                  <w:gridSpan w:val="2"/>
                  <w:noWrap w:val="0"/>
                  <w:vAlign w:val="center"/>
                </w:tcPr>
                <w:p>
                  <w:pPr>
                    <w:pStyle w:val="11"/>
                    <w:bidi w:val="0"/>
                  </w:pPr>
                  <w:r>
                    <w:t>噪声</w:t>
                  </w:r>
                </w:p>
              </w:tc>
              <w:tc>
                <w:tcPr>
                  <w:tcW w:w="958" w:type="pct"/>
                  <w:noWrap w:val="0"/>
                  <w:vAlign w:val="center"/>
                </w:tcPr>
                <w:p>
                  <w:pPr>
                    <w:pStyle w:val="11"/>
                    <w:bidi w:val="0"/>
                  </w:pPr>
                  <w:r>
                    <w:rPr>
                      <w:rFonts w:hint="eastAsia"/>
                    </w:rPr>
                    <w:t>设备噪声</w:t>
                  </w:r>
                </w:p>
              </w:tc>
              <w:tc>
                <w:tcPr>
                  <w:tcW w:w="1305" w:type="pct"/>
                  <w:noWrap w:val="0"/>
                  <w:vAlign w:val="center"/>
                </w:tcPr>
                <w:p>
                  <w:pPr>
                    <w:pStyle w:val="11"/>
                    <w:bidi w:val="0"/>
                  </w:pPr>
                  <w:r>
                    <w:t>生产过程</w:t>
                  </w:r>
                </w:p>
              </w:tc>
              <w:tc>
                <w:tcPr>
                  <w:tcW w:w="1844" w:type="pct"/>
                  <w:noWrap w:val="0"/>
                  <w:vAlign w:val="center"/>
                </w:tcPr>
                <w:p>
                  <w:pPr>
                    <w:pStyle w:val="11"/>
                    <w:bidi w:val="0"/>
                  </w:pPr>
                  <w:r>
                    <w:t>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256" w:type="pct"/>
                  <w:vMerge w:val="restart"/>
                  <w:noWrap w:val="0"/>
                  <w:vAlign w:val="center"/>
                </w:tcPr>
                <w:p>
                  <w:pPr>
                    <w:pStyle w:val="11"/>
                    <w:bidi w:val="0"/>
                  </w:pPr>
                  <w:r>
                    <w:t>固废</w:t>
                  </w:r>
                </w:p>
              </w:tc>
              <w:tc>
                <w:tcPr>
                  <w:tcW w:w="635" w:type="pct"/>
                  <w:noWrap w:val="0"/>
                  <w:vAlign w:val="center"/>
                </w:tcPr>
                <w:p>
                  <w:pPr>
                    <w:pStyle w:val="11"/>
                    <w:bidi w:val="0"/>
                  </w:pPr>
                  <w:r>
                    <w:t>生活垃圾</w:t>
                  </w:r>
                </w:p>
              </w:tc>
              <w:tc>
                <w:tcPr>
                  <w:tcW w:w="958" w:type="pct"/>
                  <w:noWrap w:val="0"/>
                  <w:vAlign w:val="center"/>
                </w:tcPr>
                <w:p>
                  <w:pPr>
                    <w:pStyle w:val="11"/>
                    <w:bidi w:val="0"/>
                  </w:pPr>
                  <w:r>
                    <w:t>生活垃圾</w:t>
                  </w:r>
                </w:p>
              </w:tc>
              <w:tc>
                <w:tcPr>
                  <w:tcW w:w="1305" w:type="pct"/>
                  <w:noWrap w:val="0"/>
                  <w:vAlign w:val="center"/>
                </w:tcPr>
                <w:p>
                  <w:pPr>
                    <w:pStyle w:val="11"/>
                    <w:bidi w:val="0"/>
                  </w:pPr>
                  <w:r>
                    <w:t>职工办公</w:t>
                  </w:r>
                </w:p>
              </w:tc>
              <w:tc>
                <w:tcPr>
                  <w:tcW w:w="1844" w:type="pct"/>
                  <w:noWrap w:val="0"/>
                  <w:vAlign w:val="center"/>
                </w:tcPr>
                <w:p>
                  <w:pPr>
                    <w:pStyle w:val="11"/>
                    <w:bidi w:val="0"/>
                  </w:pPr>
                  <w:r>
                    <w:t>生活垃圾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80" w:hRule="atLeast"/>
                <w:jc w:val="center"/>
              </w:trPr>
              <w:tc>
                <w:tcPr>
                  <w:tcW w:w="256" w:type="pct"/>
                  <w:vMerge w:val="continue"/>
                  <w:noWrap w:val="0"/>
                  <w:vAlign w:val="center"/>
                </w:tcPr>
                <w:p>
                  <w:pPr>
                    <w:pStyle w:val="11"/>
                    <w:bidi w:val="0"/>
                  </w:pPr>
                </w:p>
              </w:tc>
              <w:tc>
                <w:tcPr>
                  <w:tcW w:w="635" w:type="pct"/>
                  <w:vMerge w:val="restart"/>
                  <w:noWrap w:val="0"/>
                  <w:vAlign w:val="center"/>
                </w:tcPr>
                <w:p>
                  <w:pPr>
                    <w:pStyle w:val="11"/>
                    <w:bidi w:val="0"/>
                  </w:pPr>
                  <w:r>
                    <w:t>一般固废</w:t>
                  </w:r>
                </w:p>
              </w:tc>
              <w:tc>
                <w:tcPr>
                  <w:tcW w:w="958" w:type="pct"/>
                  <w:noWrap w:val="0"/>
                  <w:vAlign w:val="center"/>
                </w:tcPr>
                <w:p>
                  <w:pPr>
                    <w:pStyle w:val="11"/>
                    <w:bidi w:val="0"/>
                    <w:ind w:firstLine="0" w:firstLineChars="0"/>
                    <w:jc w:val="center"/>
                    <w:rPr>
                      <w:rFonts w:hint="default" w:ascii="Times New Roman" w:hAnsi="Times New Roman" w:eastAsia="宋体" w:cs="Times New Roman"/>
                      <w:kern w:val="44"/>
                      <w:sz w:val="21"/>
                      <w:szCs w:val="22"/>
                      <w:lang w:val="en-US" w:eastAsia="zh-CN" w:bidi="ar-SA"/>
                    </w:rPr>
                  </w:pPr>
                  <w:r>
                    <w:rPr>
                      <w:rFonts w:hint="eastAsia"/>
                      <w:lang w:val="en-US" w:eastAsia="zh-CN"/>
                    </w:rPr>
                    <w:t>除尘卸灰</w:t>
                  </w:r>
                </w:p>
              </w:tc>
              <w:tc>
                <w:tcPr>
                  <w:tcW w:w="1305" w:type="pct"/>
                  <w:noWrap w:val="0"/>
                  <w:vAlign w:val="center"/>
                </w:tcPr>
                <w:p>
                  <w:pPr>
                    <w:pStyle w:val="11"/>
                    <w:bidi w:val="0"/>
                    <w:rPr>
                      <w:rFonts w:hint="eastAsia" w:eastAsia="宋体"/>
                      <w:lang w:eastAsia="zh-CN"/>
                    </w:rPr>
                  </w:pPr>
                  <w:r>
                    <w:rPr>
                      <w:rFonts w:hint="eastAsia"/>
                      <w:lang w:val="en-US" w:eastAsia="zh-CN"/>
                    </w:rPr>
                    <w:t>粉尘收集</w:t>
                  </w:r>
                </w:p>
              </w:tc>
              <w:tc>
                <w:tcPr>
                  <w:tcW w:w="1844" w:type="pct"/>
                  <w:noWrap w:val="0"/>
                  <w:vAlign w:val="center"/>
                </w:tcPr>
                <w:p>
                  <w:pPr>
                    <w:pStyle w:val="11"/>
                    <w:bidi w:val="0"/>
                  </w:pPr>
                  <w:r>
                    <w:rPr>
                      <w:rFonts w:hint="eastAsia"/>
                      <w:lang w:val="en-US" w:eastAsia="zh-CN"/>
                    </w:rPr>
                    <w:t>除尘卸灰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80" w:hRule="atLeast"/>
                <w:jc w:val="center"/>
              </w:trPr>
              <w:tc>
                <w:tcPr>
                  <w:tcW w:w="256" w:type="pct"/>
                  <w:vMerge w:val="continue"/>
                  <w:noWrap w:val="0"/>
                  <w:vAlign w:val="center"/>
                </w:tcPr>
                <w:p>
                  <w:pPr>
                    <w:pStyle w:val="11"/>
                    <w:bidi w:val="0"/>
                  </w:pPr>
                </w:p>
              </w:tc>
              <w:tc>
                <w:tcPr>
                  <w:tcW w:w="635" w:type="pct"/>
                  <w:vMerge w:val="continue"/>
                  <w:noWrap w:val="0"/>
                  <w:vAlign w:val="center"/>
                </w:tcPr>
                <w:p>
                  <w:pPr>
                    <w:pStyle w:val="11"/>
                    <w:bidi w:val="0"/>
                  </w:pPr>
                </w:p>
              </w:tc>
              <w:tc>
                <w:tcPr>
                  <w:tcW w:w="958" w:type="pct"/>
                  <w:noWrap w:val="0"/>
                  <w:vAlign w:val="center"/>
                </w:tcPr>
                <w:p>
                  <w:pPr>
                    <w:pStyle w:val="11"/>
                    <w:bidi w:val="0"/>
                    <w:ind w:firstLine="0" w:firstLineChars="0"/>
                    <w:jc w:val="center"/>
                    <w:rPr>
                      <w:rFonts w:hint="default" w:ascii="Times New Roman" w:hAnsi="Times New Roman" w:eastAsia="宋体" w:cs="Times New Roman"/>
                      <w:kern w:val="44"/>
                      <w:sz w:val="21"/>
                      <w:szCs w:val="22"/>
                      <w:lang w:val="en-US" w:eastAsia="zh-CN" w:bidi="ar-SA"/>
                    </w:rPr>
                  </w:pPr>
                  <w:r>
                    <w:rPr>
                      <w:rFonts w:hint="eastAsia"/>
                      <w:lang w:val="en-US" w:eastAsia="zh-CN"/>
                    </w:rPr>
                    <w:t>金属废料</w:t>
                  </w:r>
                </w:p>
              </w:tc>
              <w:tc>
                <w:tcPr>
                  <w:tcW w:w="1305" w:type="pct"/>
                  <w:noWrap w:val="0"/>
                  <w:vAlign w:val="center"/>
                </w:tcPr>
                <w:p>
                  <w:pPr>
                    <w:pStyle w:val="11"/>
                    <w:bidi w:val="0"/>
                    <w:rPr>
                      <w:rFonts w:hint="default" w:eastAsia="宋体"/>
                      <w:lang w:val="en-US" w:eastAsia="zh-CN"/>
                    </w:rPr>
                  </w:pPr>
                  <w:r>
                    <w:rPr>
                      <w:rFonts w:hint="eastAsia"/>
                      <w:lang w:val="en-US" w:eastAsia="zh-CN"/>
                    </w:rPr>
                    <w:t>切边、机加工</w:t>
                  </w:r>
                </w:p>
              </w:tc>
              <w:tc>
                <w:tcPr>
                  <w:tcW w:w="1844" w:type="pct"/>
                  <w:noWrap w:val="0"/>
                  <w:vAlign w:val="center"/>
                </w:tcPr>
                <w:p>
                  <w:pPr>
                    <w:pStyle w:val="11"/>
                    <w:bidi w:val="0"/>
                    <w:ind w:firstLine="0" w:firstLineChars="0"/>
                    <w:jc w:val="center"/>
                    <w:rPr>
                      <w:rFonts w:hint="default" w:ascii="Times New Roman" w:hAnsi="Times New Roman" w:eastAsia="宋体" w:cs="Times New Roman"/>
                      <w:kern w:val="44"/>
                      <w:sz w:val="21"/>
                      <w:szCs w:val="22"/>
                      <w:lang w:val="en-US" w:eastAsia="zh-CN" w:bidi="ar-SA"/>
                    </w:rPr>
                  </w:pPr>
                  <w:r>
                    <w:rPr>
                      <w:rFonts w:hint="eastAsia"/>
                      <w:lang w:val="en-US" w:eastAsia="zh-CN"/>
                    </w:rPr>
                    <w:t>金属废料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80" w:hRule="atLeast"/>
                <w:jc w:val="center"/>
              </w:trPr>
              <w:tc>
                <w:tcPr>
                  <w:tcW w:w="256" w:type="pct"/>
                  <w:vMerge w:val="continue"/>
                  <w:noWrap w:val="0"/>
                  <w:vAlign w:val="center"/>
                </w:tcPr>
                <w:p>
                  <w:pPr>
                    <w:pStyle w:val="11"/>
                    <w:bidi w:val="0"/>
                  </w:pPr>
                </w:p>
              </w:tc>
              <w:tc>
                <w:tcPr>
                  <w:tcW w:w="635" w:type="pct"/>
                  <w:vMerge w:val="continue"/>
                  <w:noWrap w:val="0"/>
                  <w:vAlign w:val="center"/>
                </w:tcPr>
                <w:p>
                  <w:pPr>
                    <w:pStyle w:val="11"/>
                    <w:bidi w:val="0"/>
                  </w:pPr>
                </w:p>
              </w:tc>
              <w:tc>
                <w:tcPr>
                  <w:tcW w:w="958" w:type="pct"/>
                  <w:noWrap w:val="0"/>
                  <w:vAlign w:val="center"/>
                </w:tcPr>
                <w:p>
                  <w:pPr>
                    <w:pStyle w:val="11"/>
                    <w:bidi w:val="0"/>
                    <w:ind w:firstLine="0" w:firstLineChars="0"/>
                    <w:jc w:val="center"/>
                    <w:rPr>
                      <w:rFonts w:hint="default" w:ascii="Times New Roman" w:hAnsi="Times New Roman" w:eastAsia="宋体" w:cs="Times New Roman"/>
                      <w:kern w:val="44"/>
                      <w:sz w:val="21"/>
                      <w:szCs w:val="22"/>
                      <w:lang w:val="en-US" w:eastAsia="zh-CN" w:bidi="ar-SA"/>
                    </w:rPr>
                  </w:pPr>
                  <w:r>
                    <w:rPr>
                      <w:rFonts w:hint="eastAsia"/>
                      <w:lang w:val="en-US" w:eastAsia="zh-CN"/>
                    </w:rPr>
                    <w:t>橡胶废料</w:t>
                  </w:r>
                </w:p>
              </w:tc>
              <w:tc>
                <w:tcPr>
                  <w:tcW w:w="1305" w:type="pct"/>
                  <w:noWrap w:val="0"/>
                  <w:vAlign w:val="center"/>
                </w:tcPr>
                <w:p>
                  <w:pPr>
                    <w:pStyle w:val="11"/>
                    <w:bidi w:val="0"/>
                    <w:rPr>
                      <w:rFonts w:hint="eastAsia" w:eastAsia="宋体"/>
                      <w:lang w:val="en-US" w:eastAsia="zh-CN"/>
                    </w:rPr>
                  </w:pPr>
                  <w:r>
                    <w:rPr>
                      <w:rFonts w:hint="eastAsia"/>
                      <w:lang w:val="en-US" w:eastAsia="zh-CN"/>
                    </w:rPr>
                    <w:t>修边</w:t>
                  </w:r>
                </w:p>
              </w:tc>
              <w:tc>
                <w:tcPr>
                  <w:tcW w:w="1844" w:type="pct"/>
                  <w:noWrap w:val="0"/>
                  <w:vAlign w:val="center"/>
                </w:tcPr>
                <w:p>
                  <w:pPr>
                    <w:pStyle w:val="11"/>
                    <w:bidi w:val="0"/>
                    <w:ind w:firstLine="0" w:firstLineChars="0"/>
                    <w:jc w:val="center"/>
                    <w:rPr>
                      <w:rFonts w:hint="default" w:ascii="Times New Roman" w:hAnsi="Times New Roman" w:eastAsia="宋体" w:cs="Times New Roman"/>
                      <w:kern w:val="44"/>
                      <w:sz w:val="21"/>
                      <w:szCs w:val="22"/>
                      <w:lang w:val="en-US" w:eastAsia="zh-CN" w:bidi="ar-SA"/>
                    </w:rPr>
                  </w:pPr>
                  <w:r>
                    <w:rPr>
                      <w:rFonts w:hint="eastAsia"/>
                      <w:lang w:val="en-US" w:eastAsia="zh-CN"/>
                    </w:rPr>
                    <w:t>橡胶废料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80" w:hRule="atLeast"/>
                <w:jc w:val="center"/>
              </w:trPr>
              <w:tc>
                <w:tcPr>
                  <w:tcW w:w="256" w:type="pct"/>
                  <w:vMerge w:val="continue"/>
                  <w:noWrap w:val="0"/>
                  <w:vAlign w:val="center"/>
                </w:tcPr>
                <w:p>
                  <w:pPr>
                    <w:pStyle w:val="11"/>
                    <w:bidi w:val="0"/>
                  </w:pPr>
                </w:p>
              </w:tc>
              <w:tc>
                <w:tcPr>
                  <w:tcW w:w="635" w:type="pct"/>
                  <w:vMerge w:val="continue"/>
                  <w:noWrap w:val="0"/>
                  <w:vAlign w:val="center"/>
                </w:tcPr>
                <w:p>
                  <w:pPr>
                    <w:pStyle w:val="11"/>
                    <w:bidi w:val="0"/>
                  </w:pPr>
                </w:p>
              </w:tc>
              <w:tc>
                <w:tcPr>
                  <w:tcW w:w="958" w:type="pct"/>
                  <w:noWrap w:val="0"/>
                  <w:vAlign w:val="center"/>
                </w:tcPr>
                <w:p>
                  <w:pPr>
                    <w:pStyle w:val="11"/>
                    <w:bidi w:val="0"/>
                    <w:ind w:firstLine="0" w:firstLineChars="0"/>
                    <w:jc w:val="center"/>
                    <w:rPr>
                      <w:rFonts w:hint="default" w:ascii="Times New Roman" w:hAnsi="Times New Roman" w:eastAsia="宋体" w:cs="Times New Roman"/>
                      <w:kern w:val="44"/>
                      <w:sz w:val="21"/>
                      <w:szCs w:val="22"/>
                      <w:lang w:val="en-US" w:eastAsia="zh-CN" w:bidi="ar-SA"/>
                    </w:rPr>
                  </w:pPr>
                  <w:r>
                    <w:rPr>
                      <w:rFonts w:hint="eastAsia"/>
                      <w:lang w:val="en-US" w:eastAsia="zh-CN"/>
                    </w:rPr>
                    <w:t>包装废料</w:t>
                  </w:r>
                </w:p>
              </w:tc>
              <w:tc>
                <w:tcPr>
                  <w:tcW w:w="1305" w:type="pct"/>
                  <w:noWrap w:val="0"/>
                  <w:vAlign w:val="center"/>
                </w:tcPr>
                <w:p>
                  <w:pPr>
                    <w:pStyle w:val="11"/>
                    <w:bidi w:val="0"/>
                    <w:rPr>
                      <w:rFonts w:hint="default" w:eastAsia="宋体"/>
                      <w:lang w:val="en-US" w:eastAsia="zh-CN"/>
                    </w:rPr>
                  </w:pPr>
                  <w:r>
                    <w:rPr>
                      <w:rFonts w:hint="eastAsia"/>
                      <w:lang w:val="en-US" w:eastAsia="zh-CN"/>
                    </w:rPr>
                    <w:t>原料拆封、成品包装</w:t>
                  </w:r>
                </w:p>
              </w:tc>
              <w:tc>
                <w:tcPr>
                  <w:tcW w:w="1844" w:type="pct"/>
                  <w:noWrap w:val="0"/>
                  <w:vAlign w:val="center"/>
                </w:tcPr>
                <w:p>
                  <w:pPr>
                    <w:pStyle w:val="11"/>
                    <w:bidi w:val="0"/>
                    <w:ind w:firstLine="0" w:firstLineChars="0"/>
                    <w:jc w:val="center"/>
                    <w:rPr>
                      <w:rFonts w:hint="default" w:ascii="Times New Roman" w:hAnsi="Times New Roman" w:eastAsia="宋体" w:cs="Times New Roman"/>
                      <w:kern w:val="44"/>
                      <w:sz w:val="21"/>
                      <w:szCs w:val="22"/>
                      <w:lang w:val="en-US" w:eastAsia="zh-CN" w:bidi="ar-SA"/>
                    </w:rPr>
                  </w:pPr>
                  <w:r>
                    <w:rPr>
                      <w:rFonts w:hint="eastAsia"/>
                      <w:lang w:val="en-US" w:eastAsia="zh-CN"/>
                    </w:rPr>
                    <w:t>废包装袋、废包装箱</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80" w:hRule="atLeast"/>
                <w:jc w:val="center"/>
              </w:trPr>
              <w:tc>
                <w:tcPr>
                  <w:tcW w:w="256" w:type="pct"/>
                  <w:vMerge w:val="continue"/>
                  <w:noWrap w:val="0"/>
                  <w:vAlign w:val="center"/>
                </w:tcPr>
                <w:p>
                  <w:pPr>
                    <w:pStyle w:val="11"/>
                    <w:bidi w:val="0"/>
                  </w:pPr>
                </w:p>
              </w:tc>
              <w:tc>
                <w:tcPr>
                  <w:tcW w:w="635" w:type="pct"/>
                  <w:vMerge w:val="continue"/>
                  <w:noWrap w:val="0"/>
                  <w:vAlign w:val="center"/>
                </w:tcPr>
                <w:p>
                  <w:pPr>
                    <w:pStyle w:val="11"/>
                    <w:bidi w:val="0"/>
                  </w:pPr>
                </w:p>
              </w:tc>
              <w:tc>
                <w:tcPr>
                  <w:tcW w:w="958" w:type="pct"/>
                  <w:noWrap w:val="0"/>
                  <w:vAlign w:val="center"/>
                </w:tcPr>
                <w:p>
                  <w:pPr>
                    <w:pStyle w:val="11"/>
                    <w:bidi w:val="0"/>
                    <w:ind w:firstLine="0" w:firstLineChars="0"/>
                    <w:jc w:val="center"/>
                    <w:rPr>
                      <w:rFonts w:hint="eastAsia"/>
                      <w:lang w:val="en-US" w:eastAsia="zh-CN"/>
                    </w:rPr>
                  </w:pPr>
                  <w:r>
                    <w:rPr>
                      <w:rFonts w:hint="eastAsia"/>
                      <w:lang w:val="en-US" w:eastAsia="zh-CN"/>
                    </w:rPr>
                    <w:t>废UV灯管</w:t>
                  </w:r>
                </w:p>
              </w:tc>
              <w:tc>
                <w:tcPr>
                  <w:tcW w:w="1305" w:type="pct"/>
                  <w:noWrap w:val="0"/>
                  <w:vAlign w:val="center"/>
                </w:tcPr>
                <w:p>
                  <w:pPr>
                    <w:pStyle w:val="11"/>
                    <w:bidi w:val="0"/>
                    <w:rPr>
                      <w:rFonts w:hint="eastAsia"/>
                      <w:lang w:val="en-US" w:eastAsia="zh-CN"/>
                    </w:rPr>
                  </w:pPr>
                  <w:r>
                    <w:t>废气处理</w:t>
                  </w:r>
                </w:p>
              </w:tc>
              <w:tc>
                <w:tcPr>
                  <w:tcW w:w="1844" w:type="pct"/>
                  <w:noWrap w:val="0"/>
                  <w:vAlign w:val="center"/>
                </w:tcPr>
                <w:p>
                  <w:pPr>
                    <w:pStyle w:val="11"/>
                    <w:bidi w:val="0"/>
                    <w:ind w:firstLine="0" w:firstLineChars="0"/>
                    <w:jc w:val="center"/>
                    <w:rPr>
                      <w:rFonts w:hint="default"/>
                      <w:lang w:val="en-US" w:eastAsia="zh-CN"/>
                    </w:rPr>
                  </w:pPr>
                  <w:r>
                    <w:rPr>
                      <w:rFonts w:hint="eastAsia"/>
                      <w:lang w:val="en-US" w:eastAsia="zh-CN"/>
                    </w:rPr>
                    <w:t>UV光氧装置更换的不含汞灯管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80" w:hRule="atLeast"/>
                <w:jc w:val="center"/>
              </w:trPr>
              <w:tc>
                <w:tcPr>
                  <w:tcW w:w="256" w:type="pct"/>
                  <w:vMerge w:val="continue"/>
                  <w:noWrap w:val="0"/>
                  <w:vAlign w:val="center"/>
                </w:tcPr>
                <w:p>
                  <w:pPr>
                    <w:pStyle w:val="11"/>
                    <w:bidi w:val="0"/>
                  </w:pPr>
                </w:p>
              </w:tc>
              <w:tc>
                <w:tcPr>
                  <w:tcW w:w="635" w:type="pct"/>
                  <w:vMerge w:val="restart"/>
                  <w:noWrap w:val="0"/>
                  <w:vAlign w:val="center"/>
                </w:tcPr>
                <w:p>
                  <w:pPr>
                    <w:pStyle w:val="11"/>
                    <w:bidi w:val="0"/>
                  </w:pPr>
                  <w:r>
                    <w:t>危险废物</w:t>
                  </w:r>
                </w:p>
              </w:tc>
              <w:tc>
                <w:tcPr>
                  <w:tcW w:w="958" w:type="pct"/>
                  <w:noWrap w:val="0"/>
                  <w:vAlign w:val="center"/>
                </w:tcPr>
                <w:p>
                  <w:pPr>
                    <w:pStyle w:val="11"/>
                    <w:bidi w:val="0"/>
                    <w:ind w:firstLine="0" w:firstLineChars="0"/>
                    <w:jc w:val="center"/>
                    <w:rPr>
                      <w:rFonts w:hint="default" w:ascii="Times New Roman" w:hAnsi="Times New Roman" w:eastAsia="宋体" w:cs="Times New Roman"/>
                      <w:kern w:val="44"/>
                      <w:sz w:val="21"/>
                      <w:szCs w:val="22"/>
                      <w:lang w:val="en-US" w:eastAsia="zh-CN" w:bidi="ar-SA"/>
                    </w:rPr>
                  </w:pPr>
                  <w:r>
                    <w:rPr>
                      <w:rFonts w:hint="eastAsia"/>
                      <w:lang w:val="en-US" w:eastAsia="zh-CN"/>
                    </w:rPr>
                    <w:t>废液压油</w:t>
                  </w:r>
                </w:p>
              </w:tc>
              <w:tc>
                <w:tcPr>
                  <w:tcW w:w="1305" w:type="pct"/>
                  <w:noWrap w:val="0"/>
                  <w:vAlign w:val="center"/>
                </w:tcPr>
                <w:p>
                  <w:pPr>
                    <w:pStyle w:val="11"/>
                    <w:bidi w:val="0"/>
                    <w:rPr>
                      <w:rFonts w:hint="eastAsia" w:eastAsia="宋体"/>
                      <w:lang w:val="en-US" w:eastAsia="zh-CN"/>
                    </w:rPr>
                  </w:pPr>
                  <w:r>
                    <w:rPr>
                      <w:rFonts w:hint="eastAsia"/>
                      <w:lang w:val="en-US" w:eastAsia="zh-CN"/>
                    </w:rPr>
                    <w:t>设备维护</w:t>
                  </w:r>
                </w:p>
              </w:tc>
              <w:tc>
                <w:tcPr>
                  <w:tcW w:w="1844" w:type="pct"/>
                  <w:noWrap w:val="0"/>
                  <w:vAlign w:val="center"/>
                </w:tcPr>
                <w:p>
                  <w:pPr>
                    <w:pStyle w:val="11"/>
                    <w:bidi w:val="0"/>
                    <w:ind w:firstLine="0" w:firstLineChars="0"/>
                    <w:jc w:val="center"/>
                    <w:rPr>
                      <w:rFonts w:hint="default" w:ascii="Times New Roman" w:hAnsi="Times New Roman" w:eastAsia="宋体" w:cs="Times New Roman"/>
                      <w:kern w:val="44"/>
                      <w:sz w:val="21"/>
                      <w:szCs w:val="22"/>
                      <w:lang w:val="en-US" w:eastAsia="zh-CN" w:bidi="ar-SA"/>
                    </w:rPr>
                  </w:pPr>
                  <w:r>
                    <w:rPr>
                      <w:rFonts w:hint="eastAsia"/>
                      <w:lang w:val="en-US" w:eastAsia="zh-CN"/>
                    </w:rPr>
                    <w:t>废液压油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256" w:type="pct"/>
                  <w:vMerge w:val="continue"/>
                  <w:noWrap w:val="0"/>
                  <w:vAlign w:val="center"/>
                </w:tcPr>
                <w:p>
                  <w:pPr>
                    <w:pStyle w:val="11"/>
                    <w:bidi w:val="0"/>
                  </w:pPr>
                </w:p>
              </w:tc>
              <w:tc>
                <w:tcPr>
                  <w:tcW w:w="635" w:type="pct"/>
                  <w:vMerge w:val="continue"/>
                  <w:noWrap w:val="0"/>
                  <w:vAlign w:val="center"/>
                </w:tcPr>
                <w:p>
                  <w:pPr>
                    <w:pStyle w:val="11"/>
                    <w:bidi w:val="0"/>
                  </w:pPr>
                </w:p>
              </w:tc>
              <w:tc>
                <w:tcPr>
                  <w:tcW w:w="958" w:type="pct"/>
                  <w:noWrap w:val="0"/>
                  <w:vAlign w:val="center"/>
                </w:tcPr>
                <w:p>
                  <w:pPr>
                    <w:pStyle w:val="11"/>
                    <w:bidi w:val="0"/>
                    <w:ind w:firstLine="0" w:firstLineChars="0"/>
                    <w:jc w:val="center"/>
                    <w:rPr>
                      <w:rFonts w:hint="eastAsia" w:ascii="Times New Roman" w:hAnsi="Times New Roman" w:eastAsia="宋体" w:cs="Times New Roman"/>
                      <w:kern w:val="44"/>
                      <w:sz w:val="21"/>
                      <w:szCs w:val="22"/>
                      <w:lang w:val="en-US" w:eastAsia="zh-CN" w:bidi="ar-SA"/>
                    </w:rPr>
                  </w:pPr>
                  <w:r>
                    <w:rPr>
                      <w:rFonts w:hint="eastAsia"/>
                      <w:lang w:val="en-US" w:eastAsia="zh-CN"/>
                    </w:rPr>
                    <w:t>废活性炭</w:t>
                  </w:r>
                </w:p>
              </w:tc>
              <w:tc>
                <w:tcPr>
                  <w:tcW w:w="1305" w:type="pct"/>
                  <w:noWrap w:val="0"/>
                  <w:vAlign w:val="center"/>
                </w:tcPr>
                <w:p>
                  <w:pPr>
                    <w:pStyle w:val="11"/>
                    <w:bidi w:val="0"/>
                  </w:pPr>
                  <w:r>
                    <w:t>废气处理</w:t>
                  </w:r>
                </w:p>
              </w:tc>
              <w:tc>
                <w:tcPr>
                  <w:tcW w:w="1844" w:type="pct"/>
                  <w:noWrap w:val="0"/>
                  <w:vAlign w:val="center"/>
                </w:tcPr>
                <w:p>
                  <w:pPr>
                    <w:pStyle w:val="11"/>
                    <w:bidi w:val="0"/>
                  </w:pPr>
                  <w:r>
                    <w:t>吸附非甲烷总烃的废活性炭</w:t>
                  </w:r>
                </w:p>
              </w:tc>
            </w:tr>
          </w:tbl>
          <w:p>
            <w:pPr>
              <w:bidi w:val="0"/>
              <w:rPr>
                <w:rFonts w:hint="eastAsia"/>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7" w:type="dxa"/>
            <w:vAlign w:val="center"/>
          </w:tcPr>
          <w:p>
            <w:pPr>
              <w:bidi w:val="0"/>
              <w:ind w:left="0" w:leftChars="0" w:firstLine="0" w:firstLineChars="0"/>
              <w:jc w:val="center"/>
              <w:rPr>
                <w:rFonts w:hint="eastAsia"/>
                <w:lang w:eastAsia="zh-CN"/>
              </w:rPr>
            </w:pPr>
            <w:r>
              <w:rPr>
                <w:rFonts w:hint="eastAsia"/>
                <w:lang w:eastAsia="zh-CN"/>
              </w:rPr>
              <w:t>与项目有关的原有环境污染问题</w:t>
            </w:r>
          </w:p>
        </w:tc>
        <w:tc>
          <w:tcPr>
            <w:tcW w:w="8471" w:type="dxa"/>
            <w:vAlign w:val="center"/>
          </w:tcPr>
          <w:p>
            <w:pPr>
              <w:pStyle w:val="4"/>
              <w:bidi w:val="0"/>
              <w:rPr>
                <w:rFonts w:hint="eastAsia"/>
              </w:rPr>
            </w:pPr>
            <w:r>
              <w:rPr>
                <w:rFonts w:hint="eastAsia"/>
              </w:rPr>
              <w:t>1</w:t>
            </w:r>
            <w:r>
              <w:rPr>
                <w:rFonts w:hint="eastAsia"/>
                <w:lang w:eastAsia="zh-CN"/>
              </w:rPr>
              <w:t>、</w:t>
            </w:r>
            <w:r>
              <w:rPr>
                <w:rFonts w:hint="eastAsia"/>
              </w:rPr>
              <w:t>现有工程概况</w:t>
            </w:r>
          </w:p>
          <w:p>
            <w:pPr>
              <w:bidi w:val="0"/>
            </w:pPr>
            <w:r>
              <w:rPr>
                <w:sz w:val="24"/>
                <w:szCs w:val="32"/>
              </w:rPr>
              <w:t>根据现场踏勘，</w:t>
            </w:r>
            <w:r>
              <w:rPr>
                <w:rFonts w:hint="eastAsia"/>
                <w:sz w:val="24"/>
                <w:lang w:val="en-US" w:eastAsia="zh-CN"/>
              </w:rPr>
              <w:t>河南新弘电力科技有限公司现有的高压输电线路高性能外绝缘配套项目位于中原电气谷许昌留学人员创业园内，建设规模为年产10万只高压复合绝缘子。</w:t>
            </w:r>
            <w:r>
              <w:t>该项目</w:t>
            </w:r>
            <w:r>
              <w:rPr>
                <w:rFonts w:hint="eastAsia"/>
                <w:lang w:val="en-US" w:eastAsia="zh-CN"/>
              </w:rPr>
              <w:t>主要</w:t>
            </w:r>
            <w:r>
              <w:t>包括1条</w:t>
            </w:r>
            <w:r>
              <w:rPr>
                <w:rFonts w:hint="eastAsia"/>
                <w:sz w:val="24"/>
                <w:lang w:val="en-US" w:eastAsia="zh-CN"/>
              </w:rPr>
              <w:t>高压复合绝缘子</w:t>
            </w:r>
            <w:r>
              <w:t>生产线（</w:t>
            </w:r>
            <w:r>
              <w:rPr>
                <w:rFonts w:hint="eastAsia"/>
                <w:lang w:val="en-US" w:eastAsia="zh-CN"/>
              </w:rPr>
              <w:t>橡胶注射机、数控压力机、数控压接机、液压机、多功能质检台、卧式拉力机等</w:t>
            </w:r>
            <w:r>
              <w:t>），于20</w:t>
            </w:r>
            <w:r>
              <w:rPr>
                <w:rFonts w:hint="eastAsia"/>
                <w:lang w:val="en-US" w:eastAsia="zh-CN"/>
              </w:rPr>
              <w:t>15</w:t>
            </w:r>
            <w:r>
              <w:t>年</w:t>
            </w:r>
            <w:r>
              <w:rPr>
                <w:rFonts w:hint="eastAsia"/>
                <w:lang w:val="en-US" w:eastAsia="zh-CN"/>
              </w:rPr>
              <w:t>03</w:t>
            </w:r>
            <w:r>
              <w:t>月建成投产。本次项目</w:t>
            </w:r>
            <w:r>
              <w:rPr>
                <w:rFonts w:hint="eastAsia"/>
                <w:lang w:val="en-US" w:eastAsia="zh-CN"/>
              </w:rPr>
              <w:t>将厂区搬迁至许昌市城乡一体化示范区高新技术产业园东北角，新项目建成后现有项目不再生产，并</w:t>
            </w:r>
            <w:r>
              <w:t>在</w:t>
            </w:r>
            <w:r>
              <w:rPr>
                <w:rFonts w:hint="eastAsia"/>
                <w:lang w:val="en-US" w:eastAsia="zh-CN"/>
              </w:rPr>
              <w:t>现有</w:t>
            </w:r>
            <w:r>
              <w:t>项目基础上</w:t>
            </w:r>
            <w:r>
              <w:rPr>
                <w:rFonts w:hint="eastAsia"/>
                <w:lang w:val="en-US" w:eastAsia="zh-CN"/>
              </w:rPr>
              <w:t>增加硅橡胶混合设备、电力金具制造设备和高低压试验装置</w:t>
            </w:r>
            <w:r>
              <w:rPr>
                <w:rFonts w:hint="eastAsia"/>
              </w:rPr>
              <w:t>，扩大产品产量和种类</w:t>
            </w:r>
            <w:r>
              <w:t>。</w:t>
            </w:r>
          </w:p>
          <w:p>
            <w:pPr>
              <w:bidi w:val="0"/>
            </w:pPr>
            <w:r>
              <w:rPr>
                <w:color w:val="auto"/>
                <w:lang w:val="en-US" w:eastAsia="zh-CN"/>
              </w:rPr>
              <w:t>依据</w:t>
            </w:r>
            <w:r>
              <w:t>《建设项目环境影响评价（2021年版）》</w:t>
            </w:r>
            <w:r>
              <w:rPr>
                <w:rFonts w:hint="eastAsia"/>
                <w:lang w:val="en-US" w:eastAsia="zh-CN"/>
              </w:rPr>
              <w:t>中</w:t>
            </w:r>
            <w:r>
              <w:rPr>
                <w:rFonts w:hint="eastAsia"/>
                <w:lang w:eastAsia="zh-CN"/>
              </w:rPr>
              <w:t>三十五、电气机械和器材制造业“电线、电缆、光缆及电工器材制造383”</w:t>
            </w:r>
            <w:r>
              <w:rPr>
                <w:color w:val="auto"/>
                <w:lang w:val="en-US" w:eastAsia="zh-CN"/>
              </w:rPr>
              <w:t>的相关规定</w:t>
            </w:r>
            <w:r>
              <w:t>，现有项目工艺为：</w:t>
            </w:r>
            <w:r>
              <w:rPr>
                <w:rFonts w:hint="eastAsia"/>
                <w:lang w:val="en-US" w:eastAsia="zh-CN"/>
              </w:rPr>
              <w:t>涂胶</w:t>
            </w:r>
            <w:r>
              <w:rPr>
                <w:rFonts w:hint="eastAsia"/>
                <w:sz w:val="24"/>
                <w:lang w:val="en-US" w:eastAsia="zh-CN"/>
              </w:rPr>
              <w:t>→</w:t>
            </w:r>
            <w:r>
              <w:rPr>
                <w:rFonts w:hint="eastAsia"/>
                <w:lang w:val="en-US" w:eastAsia="zh-CN"/>
              </w:rPr>
              <w:t>预热</w:t>
            </w:r>
            <w:r>
              <w:rPr>
                <w:rFonts w:hint="eastAsia"/>
                <w:sz w:val="24"/>
                <w:lang w:val="en-US" w:eastAsia="zh-CN"/>
              </w:rPr>
              <w:t>→</w:t>
            </w:r>
            <w:r>
              <w:rPr>
                <w:rFonts w:hint="eastAsia"/>
                <w:lang w:val="en-US" w:eastAsia="zh-CN"/>
              </w:rPr>
              <w:t>配比</w:t>
            </w:r>
            <w:r>
              <w:rPr>
                <w:rFonts w:hint="eastAsia"/>
                <w:sz w:val="24"/>
                <w:lang w:val="en-US" w:eastAsia="zh-CN"/>
              </w:rPr>
              <w:t>→压制→冷却→检验修整→试验→组装→包装→</w:t>
            </w:r>
            <w:r>
              <w:t>成品（详见图2</w:t>
            </w:r>
            <w:r>
              <w:rPr>
                <w:rFonts w:hint="eastAsia"/>
                <w:lang w:val="en-US" w:eastAsia="zh-CN"/>
              </w:rPr>
              <w:t>-4</w:t>
            </w:r>
            <w:r>
              <w:t>）</w:t>
            </w:r>
            <w:r>
              <w:rPr>
                <w:rFonts w:hint="eastAsia"/>
                <w:lang w:eastAsia="zh-CN"/>
              </w:rPr>
              <w:t>，</w:t>
            </w:r>
            <w:r>
              <w:rPr>
                <w:color w:val="auto"/>
                <w:lang w:val="en-US" w:eastAsia="zh-CN"/>
              </w:rPr>
              <w:t>应按照相关要求编制环境影响报告表</w:t>
            </w:r>
            <w:r>
              <w:t>。</w:t>
            </w:r>
            <w:r>
              <w:rPr>
                <w:rFonts w:hint="eastAsia"/>
                <w:sz w:val="24"/>
                <w:lang w:val="en-US" w:eastAsia="zh-CN"/>
              </w:rPr>
              <w:t>河南新弘电力科技有限公司于2014年12月委托许昌环境工程研究有限公司编制完成了《河南新弘电力科技有限公司高压输电线路高性能外绝缘配套项目环境影响报告表》，项目建成后于2015年06月进行了建设项目环境保护竣工验收。</w:t>
            </w:r>
            <w:r>
              <w:t>根据《固定污染源排污许可分类管理名录（2019年版）》，该项目排污许可管理类别为登记管理，已</w:t>
            </w:r>
            <w:r>
              <w:rPr>
                <w:rFonts w:hint="eastAsia"/>
                <w:lang w:val="en-US" w:eastAsia="zh-CN"/>
              </w:rPr>
              <w:t>于2020年06月06日</w:t>
            </w:r>
            <w:r>
              <w:t>在全国排污许可证信息管理平台进行了排污登记，登记编号：</w:t>
            </w:r>
            <w:r>
              <w:rPr>
                <w:rFonts w:hint="eastAsia"/>
              </w:rPr>
              <w:t>914110000713510789001W</w:t>
            </w:r>
            <w:r>
              <w:rPr>
                <w:rFonts w:hint="eastAsia"/>
                <w:lang w:eastAsia="zh-CN"/>
              </w:rPr>
              <w:t>，</w:t>
            </w:r>
            <w:r>
              <w:rPr>
                <w:rFonts w:hint="eastAsia"/>
                <w:lang w:val="en-US" w:eastAsia="zh-CN"/>
              </w:rPr>
              <w:t>排污许可证登记回执见附件八</w:t>
            </w:r>
            <w:r>
              <w:t>。</w:t>
            </w:r>
          </w:p>
          <w:p>
            <w:pPr>
              <w:bidi w:val="0"/>
              <w:rPr>
                <w:rFonts w:hint="eastAsia"/>
              </w:rPr>
            </w:pPr>
            <w:r>
              <w:rPr>
                <w:rFonts w:hint="eastAsia"/>
                <w:lang w:val="en-US" w:eastAsia="zh-CN"/>
              </w:rPr>
              <w:t>现有项</w:t>
            </w:r>
            <w:r>
              <w:rPr>
                <w:rFonts w:hint="eastAsia"/>
              </w:rPr>
              <w:t>目租用中原电气谷核心区许昌留学人员创业园标准化厂房一层南部房屋，主体工程共1层，总面积为2500m</w:t>
            </w:r>
            <w:r>
              <w:rPr>
                <w:rFonts w:hint="eastAsia"/>
                <w:vertAlign w:val="superscript"/>
              </w:rPr>
              <w:t>2</w:t>
            </w:r>
            <w:r>
              <w:rPr>
                <w:rFonts w:hint="eastAsia"/>
              </w:rPr>
              <w:t>。</w:t>
            </w:r>
            <w:r>
              <w:rPr>
                <w:rFonts w:hint="eastAsia"/>
                <w:lang w:val="en-US" w:eastAsia="zh-CN"/>
              </w:rPr>
              <w:t>现有</w:t>
            </w:r>
            <w:r>
              <w:rPr>
                <w:rFonts w:hint="eastAsia"/>
              </w:rPr>
              <w:t>项目主要建设内容见表2</w:t>
            </w:r>
            <w:r>
              <w:rPr>
                <w:rFonts w:hint="eastAsia"/>
                <w:lang w:val="en-US" w:eastAsia="zh-CN"/>
              </w:rPr>
              <w:t>-7</w:t>
            </w:r>
            <w:r>
              <w:rPr>
                <w:rFonts w:hint="eastAsia"/>
              </w:rPr>
              <w:t>。</w:t>
            </w:r>
          </w:p>
          <w:p>
            <w:pPr>
              <w:pStyle w:val="12"/>
              <w:widowControl w:val="0"/>
              <w:bidi w:val="0"/>
            </w:pPr>
            <w:r>
              <w:t>表2-</w:t>
            </w:r>
            <w:r>
              <w:rPr>
                <w:rFonts w:hint="eastAsia"/>
                <w:lang w:val="en-US" w:eastAsia="zh-CN"/>
              </w:rPr>
              <w:t>7</w:t>
            </w:r>
            <w:r>
              <w:t xml:space="preserve"> </w:t>
            </w:r>
            <w:r>
              <w:rPr>
                <w:rFonts w:hint="eastAsia"/>
                <w:lang w:val="en-US" w:eastAsia="zh-CN"/>
              </w:rPr>
              <w:t xml:space="preserve"> </w:t>
            </w:r>
            <w:r>
              <w:t xml:space="preserve"> </w:t>
            </w:r>
            <w:r>
              <w:rPr>
                <w:rFonts w:hint="eastAsia"/>
                <w:lang w:val="en-US" w:eastAsia="zh-CN"/>
              </w:rPr>
              <w:t>现有项目主要工程内容</w:t>
            </w:r>
            <w:r>
              <w:t>一览表</w:t>
            </w:r>
          </w:p>
          <w:tbl>
            <w:tblPr>
              <w:tblStyle w:val="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1119"/>
              <w:gridCol w:w="639"/>
              <w:gridCol w:w="1204"/>
              <w:gridCol w:w="52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678" w:type="pct"/>
                  <w:noWrap w:val="0"/>
                  <w:vAlign w:val="center"/>
                </w:tcPr>
                <w:p>
                  <w:pPr>
                    <w:pStyle w:val="11"/>
                    <w:bidi w:val="0"/>
                    <w:rPr>
                      <w:rFonts w:hint="eastAsia" w:eastAsia="宋体"/>
                      <w:lang w:val="en-US" w:eastAsia="zh-CN"/>
                    </w:rPr>
                  </w:pPr>
                  <w:r>
                    <w:rPr>
                      <w:rFonts w:hint="eastAsia"/>
                      <w:lang w:val="en-US" w:eastAsia="zh-CN"/>
                    </w:rPr>
                    <w:t>类别</w:t>
                  </w:r>
                </w:p>
              </w:tc>
              <w:tc>
                <w:tcPr>
                  <w:tcW w:w="1116" w:type="pct"/>
                  <w:gridSpan w:val="2"/>
                  <w:noWrap w:val="0"/>
                  <w:vAlign w:val="center"/>
                </w:tcPr>
                <w:p>
                  <w:pPr>
                    <w:pStyle w:val="11"/>
                    <w:bidi w:val="0"/>
                    <w:rPr>
                      <w:rFonts w:hint="eastAsia" w:eastAsia="宋体"/>
                      <w:lang w:val="en-US" w:eastAsia="zh-CN"/>
                    </w:rPr>
                  </w:pPr>
                  <w:r>
                    <w:rPr>
                      <w:rFonts w:hint="eastAsia"/>
                      <w:lang w:val="en-US" w:eastAsia="zh-CN"/>
                    </w:rPr>
                    <w:t>项目内容</w:t>
                  </w:r>
                </w:p>
              </w:tc>
              <w:tc>
                <w:tcPr>
                  <w:tcW w:w="3204" w:type="pct"/>
                  <w:noWrap w:val="0"/>
                  <w:vAlign w:val="center"/>
                </w:tcPr>
                <w:p>
                  <w:pPr>
                    <w:pStyle w:val="11"/>
                    <w:bidi w:val="0"/>
                    <w:rPr>
                      <w:rFonts w:hint="default" w:eastAsia="宋体"/>
                      <w:lang w:val="en-US" w:eastAsia="zh-CN"/>
                    </w:rPr>
                  </w:pPr>
                  <w:r>
                    <w:rPr>
                      <w:rFonts w:hint="eastAsia"/>
                      <w:lang w:val="en-US" w:eastAsia="zh-CN"/>
                    </w:rPr>
                    <w:t>项目组成及规模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678" w:type="pct"/>
                  <w:noWrap w:val="0"/>
                  <w:vAlign w:val="center"/>
                </w:tcPr>
                <w:p>
                  <w:pPr>
                    <w:pStyle w:val="11"/>
                    <w:bidi w:val="0"/>
                    <w:rPr>
                      <w:rFonts w:hint="eastAsia" w:eastAsia="宋体"/>
                      <w:lang w:val="en-US" w:eastAsia="zh-CN"/>
                    </w:rPr>
                  </w:pPr>
                  <w:r>
                    <w:rPr>
                      <w:rFonts w:hint="eastAsia"/>
                      <w:lang w:val="en-US" w:eastAsia="zh-CN"/>
                    </w:rPr>
                    <w:t>主体工程</w:t>
                  </w:r>
                </w:p>
              </w:tc>
              <w:tc>
                <w:tcPr>
                  <w:tcW w:w="1116" w:type="pct"/>
                  <w:gridSpan w:val="2"/>
                  <w:noWrap w:val="0"/>
                  <w:vAlign w:val="center"/>
                </w:tcPr>
                <w:p>
                  <w:pPr>
                    <w:pStyle w:val="11"/>
                    <w:bidi w:val="0"/>
                  </w:pPr>
                  <w:r>
                    <w:rPr>
                      <w:rFonts w:hint="eastAsia"/>
                    </w:rPr>
                    <w:t>生产区</w:t>
                  </w:r>
                </w:p>
              </w:tc>
              <w:tc>
                <w:tcPr>
                  <w:tcW w:w="3204" w:type="pct"/>
                  <w:noWrap w:val="0"/>
                  <w:vAlign w:val="center"/>
                </w:tcPr>
                <w:p>
                  <w:pPr>
                    <w:pStyle w:val="11"/>
                    <w:bidi w:val="0"/>
                  </w:pPr>
                  <w:r>
                    <w:rPr>
                      <w:rFonts w:hint="eastAsia"/>
                      <w:color w:val="000000" w:themeColor="text1"/>
                      <w:szCs w:val="21"/>
                      <w14:textFill>
                        <w14:solidFill>
                          <w14:schemeClr w14:val="tx1"/>
                        </w14:solidFill>
                      </w14:textFill>
                    </w:rPr>
                    <w:t>建筑面积1970</w:t>
                  </w:r>
                  <w:r>
                    <w:rPr>
                      <w:color w:val="000000" w:themeColor="text1"/>
                      <w:szCs w:val="21"/>
                      <w14:textFill>
                        <w14:solidFill>
                          <w14:schemeClr w14:val="tx1"/>
                        </w14:solidFill>
                      </w14:textFill>
                    </w:rPr>
                    <w:t>m</w:t>
                  </w:r>
                  <w:r>
                    <w:rPr>
                      <w:rFonts w:hint="eastAsia"/>
                      <w:color w:val="000000" w:themeColor="text1"/>
                      <w:szCs w:val="21"/>
                      <w:vertAlign w:val="superscript"/>
                      <w14:textFill>
                        <w14:solidFill>
                          <w14:schemeClr w14:val="tx1"/>
                        </w14:solidFill>
                      </w14:textFill>
                    </w:rPr>
                    <w:t>2</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砖混结构1栋1层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678" w:type="pct"/>
                  <w:vMerge w:val="restart"/>
                  <w:noWrap w:val="0"/>
                  <w:vAlign w:val="center"/>
                </w:tcPr>
                <w:p>
                  <w:pPr>
                    <w:pStyle w:val="11"/>
                    <w:bidi w:val="0"/>
                  </w:pPr>
                  <w:r>
                    <w:rPr>
                      <w:rFonts w:hint="eastAsia" w:ascii="Times New Roman" w:hAnsi="Times New Roman" w:eastAsia="宋体" w:cs="Times New Roman"/>
                      <w:kern w:val="44"/>
                      <w:sz w:val="21"/>
                      <w:szCs w:val="22"/>
                      <w:lang w:val="en-US" w:eastAsia="zh-CN" w:bidi="ar-SA"/>
                    </w:rPr>
                    <w:t>辅助工程</w:t>
                  </w:r>
                </w:p>
              </w:tc>
              <w:tc>
                <w:tcPr>
                  <w:tcW w:w="1116" w:type="pct"/>
                  <w:gridSpan w:val="2"/>
                  <w:noWrap w:val="0"/>
                  <w:vAlign w:val="center"/>
                </w:tcPr>
                <w:p>
                  <w:pPr>
                    <w:pStyle w:val="11"/>
                    <w:bidi w:val="0"/>
                    <w:ind w:firstLine="0" w:firstLineChars="0"/>
                    <w:rPr>
                      <w:rFonts w:hint="eastAsia" w:ascii="Times New Roman" w:hAnsi="Times New Roman" w:eastAsia="宋体" w:cs="Times New Roman"/>
                      <w:kern w:val="44"/>
                      <w:sz w:val="21"/>
                      <w:szCs w:val="22"/>
                      <w:lang w:val="en-US" w:eastAsia="zh-CN" w:bidi="ar-SA"/>
                    </w:rPr>
                  </w:pPr>
                  <w:r>
                    <w:rPr>
                      <w:rFonts w:hint="eastAsia" w:hAnsi="宋体"/>
                      <w:color w:val="000000" w:themeColor="text1"/>
                      <w:szCs w:val="21"/>
                      <w14:textFill>
                        <w14:solidFill>
                          <w14:schemeClr w14:val="tx1"/>
                        </w14:solidFill>
                      </w14:textFill>
                    </w:rPr>
                    <w:t>办公区</w:t>
                  </w:r>
                </w:p>
              </w:tc>
              <w:tc>
                <w:tcPr>
                  <w:tcW w:w="3204" w:type="pct"/>
                  <w:noWrap w:val="0"/>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ascii="Times New Roman" w:hAnsi="Times New Roman" w:eastAsia="宋体" w:cs="Times New Roman"/>
                      <w:kern w:val="44"/>
                      <w:sz w:val="21"/>
                      <w:szCs w:val="22"/>
                      <w:lang w:val="en-US" w:eastAsia="zh-CN" w:bidi="ar-SA"/>
                    </w:rPr>
                    <w:t>设在厂房内部东面，建筑面积100m</w:t>
                  </w:r>
                  <w:r>
                    <w:rPr>
                      <w:rFonts w:hint="eastAsia" w:ascii="Times New Roman" w:hAnsi="Times New Roman" w:eastAsia="宋体" w:cs="Times New Roman"/>
                      <w:kern w:val="44"/>
                      <w:sz w:val="21"/>
                      <w:szCs w:val="22"/>
                      <w:vertAlign w:val="superscript"/>
                      <w:lang w:val="en-US" w:eastAsia="zh-CN" w:bidi="ar-SA"/>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678" w:type="pct"/>
                  <w:vMerge w:val="continue"/>
                  <w:noWrap w:val="0"/>
                  <w:vAlign w:val="center"/>
                </w:tcPr>
                <w:p>
                  <w:pPr>
                    <w:pStyle w:val="11"/>
                    <w:bidi w:val="0"/>
                  </w:pPr>
                </w:p>
              </w:tc>
              <w:tc>
                <w:tcPr>
                  <w:tcW w:w="1116" w:type="pct"/>
                  <w:gridSpan w:val="2"/>
                  <w:noWrap w:val="0"/>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ascii="Times New Roman" w:hAnsi="Times New Roman" w:eastAsia="宋体" w:cs="Times New Roman"/>
                      <w:kern w:val="44"/>
                      <w:sz w:val="21"/>
                      <w:szCs w:val="22"/>
                      <w:lang w:val="en-US" w:eastAsia="zh-CN" w:bidi="ar-SA"/>
                    </w:rPr>
                    <w:t>原料区</w:t>
                  </w:r>
                </w:p>
              </w:tc>
              <w:tc>
                <w:tcPr>
                  <w:tcW w:w="3204" w:type="pct"/>
                  <w:noWrap w:val="0"/>
                  <w:vAlign w:val="center"/>
                </w:tcPr>
                <w:p>
                  <w:pPr>
                    <w:pStyle w:val="11"/>
                    <w:bidi w:val="0"/>
                    <w:ind w:firstLine="0" w:firstLineChars="0"/>
                    <w:rPr>
                      <w:rFonts w:hint="eastAsia" w:ascii="Times New Roman" w:hAnsi="Times New Roman" w:eastAsia="宋体" w:cs="Times New Roman"/>
                      <w:kern w:val="44"/>
                      <w:sz w:val="21"/>
                      <w:szCs w:val="22"/>
                      <w:lang w:val="en-US" w:eastAsia="zh-CN" w:bidi="ar-SA"/>
                    </w:rPr>
                  </w:pPr>
                  <w:r>
                    <w:rPr>
                      <w:rFonts w:hint="eastAsia" w:ascii="Times New Roman" w:hAnsi="Times New Roman" w:eastAsia="宋体" w:cs="Times New Roman"/>
                      <w:kern w:val="44"/>
                      <w:sz w:val="21"/>
                      <w:szCs w:val="22"/>
                      <w:lang w:val="en-US" w:eastAsia="zh-CN" w:bidi="ar-SA"/>
                    </w:rPr>
                    <w:t>设在厂房内部北面，建筑面积150m</w:t>
                  </w:r>
                  <w:r>
                    <w:rPr>
                      <w:rFonts w:hint="eastAsia" w:ascii="Times New Roman" w:hAnsi="Times New Roman" w:eastAsia="宋体" w:cs="Times New Roman"/>
                      <w:kern w:val="44"/>
                      <w:sz w:val="21"/>
                      <w:szCs w:val="22"/>
                      <w:vertAlign w:val="superscript"/>
                      <w:lang w:val="en-US" w:eastAsia="zh-CN" w:bidi="ar-SA"/>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678" w:type="pct"/>
                  <w:vMerge w:val="continue"/>
                  <w:noWrap w:val="0"/>
                  <w:vAlign w:val="center"/>
                </w:tcPr>
                <w:p>
                  <w:pPr>
                    <w:pStyle w:val="11"/>
                    <w:bidi w:val="0"/>
                  </w:pPr>
                </w:p>
              </w:tc>
              <w:tc>
                <w:tcPr>
                  <w:tcW w:w="1116" w:type="pct"/>
                  <w:gridSpan w:val="2"/>
                  <w:noWrap w:val="0"/>
                  <w:vAlign w:val="center"/>
                </w:tcPr>
                <w:p>
                  <w:pPr>
                    <w:pStyle w:val="11"/>
                    <w:bidi w:val="0"/>
                  </w:pPr>
                  <w:r>
                    <w:rPr>
                      <w:rFonts w:hint="eastAsia" w:ascii="Times New Roman" w:hAnsi="Times New Roman" w:eastAsia="宋体" w:cs="Times New Roman"/>
                      <w:kern w:val="44"/>
                      <w:sz w:val="21"/>
                      <w:szCs w:val="22"/>
                      <w:lang w:val="en-US" w:eastAsia="zh-CN" w:bidi="ar-SA"/>
                    </w:rPr>
                    <w:t>成品仓库区</w:t>
                  </w:r>
                </w:p>
              </w:tc>
              <w:tc>
                <w:tcPr>
                  <w:tcW w:w="3204" w:type="pct"/>
                  <w:noWrap w:val="0"/>
                  <w:vAlign w:val="center"/>
                </w:tcPr>
                <w:p>
                  <w:pPr>
                    <w:pStyle w:val="11"/>
                    <w:bidi w:val="0"/>
                  </w:pPr>
                  <w:r>
                    <w:rPr>
                      <w:rFonts w:hint="eastAsia" w:ascii="Times New Roman" w:hAnsi="Times New Roman" w:eastAsia="宋体" w:cs="Times New Roman"/>
                      <w:kern w:val="44"/>
                      <w:sz w:val="21"/>
                      <w:szCs w:val="22"/>
                      <w:lang w:val="en-US" w:eastAsia="zh-CN" w:bidi="ar-SA"/>
                    </w:rPr>
                    <w:t>设在厂房内部北面，建筑面积100m</w:t>
                  </w:r>
                  <w:r>
                    <w:rPr>
                      <w:rFonts w:hint="eastAsia" w:ascii="Times New Roman" w:hAnsi="Times New Roman" w:eastAsia="宋体" w:cs="Times New Roman"/>
                      <w:kern w:val="44"/>
                      <w:sz w:val="21"/>
                      <w:szCs w:val="22"/>
                      <w:vertAlign w:val="superscript"/>
                      <w:lang w:val="en-US" w:eastAsia="zh-CN" w:bidi="ar-SA"/>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678" w:type="pct"/>
                  <w:vMerge w:val="continue"/>
                  <w:noWrap w:val="0"/>
                  <w:vAlign w:val="center"/>
                </w:tcPr>
                <w:p>
                  <w:pPr>
                    <w:pStyle w:val="11"/>
                    <w:bidi w:val="0"/>
                  </w:pPr>
                </w:p>
              </w:tc>
              <w:tc>
                <w:tcPr>
                  <w:tcW w:w="1116" w:type="pct"/>
                  <w:gridSpan w:val="2"/>
                  <w:noWrap w:val="0"/>
                  <w:vAlign w:val="center"/>
                </w:tcPr>
                <w:p>
                  <w:pPr>
                    <w:pStyle w:val="11"/>
                    <w:bidi w:val="0"/>
                    <w:rPr>
                      <w:rFonts w:hint="eastAsia" w:ascii="Times New Roman" w:hAnsi="Times New Roman" w:eastAsia="宋体" w:cs="Times New Roman"/>
                      <w:kern w:val="44"/>
                      <w:sz w:val="21"/>
                      <w:szCs w:val="22"/>
                      <w:lang w:val="en-US" w:eastAsia="zh-CN" w:bidi="ar-SA"/>
                    </w:rPr>
                  </w:pPr>
                  <w:r>
                    <w:rPr>
                      <w:rFonts w:hint="eastAsia" w:ascii="Times New Roman" w:hAnsi="Times New Roman" w:eastAsia="宋体" w:cs="Times New Roman"/>
                      <w:kern w:val="44"/>
                      <w:sz w:val="21"/>
                      <w:szCs w:val="22"/>
                      <w:lang w:val="en-US" w:eastAsia="zh-CN" w:bidi="ar-SA"/>
                    </w:rPr>
                    <w:t>冷却室</w:t>
                  </w:r>
                </w:p>
              </w:tc>
              <w:tc>
                <w:tcPr>
                  <w:tcW w:w="3204" w:type="pct"/>
                  <w:noWrap w:val="0"/>
                  <w:vAlign w:val="center"/>
                </w:tcPr>
                <w:p>
                  <w:pPr>
                    <w:pStyle w:val="11"/>
                    <w:bidi w:val="0"/>
                  </w:pPr>
                  <w:r>
                    <w:rPr>
                      <w:rFonts w:hint="eastAsia" w:ascii="Times New Roman" w:hAnsi="Times New Roman" w:eastAsia="宋体" w:cs="Times New Roman"/>
                      <w:kern w:val="44"/>
                      <w:sz w:val="21"/>
                      <w:szCs w:val="22"/>
                      <w:lang w:val="en-US" w:eastAsia="zh-CN" w:bidi="ar-SA"/>
                    </w:rPr>
                    <w:t>设在厂房内部背面，建筑面积100m</w:t>
                  </w:r>
                  <w:r>
                    <w:rPr>
                      <w:rFonts w:hint="eastAsia" w:ascii="Times New Roman" w:hAnsi="Times New Roman" w:eastAsia="宋体" w:cs="Times New Roman"/>
                      <w:kern w:val="44"/>
                      <w:sz w:val="21"/>
                      <w:szCs w:val="22"/>
                      <w:vertAlign w:val="superscript"/>
                      <w:lang w:val="en-US" w:eastAsia="zh-CN" w:bidi="ar-SA"/>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678" w:type="pct"/>
                  <w:vMerge w:val="restart"/>
                  <w:noWrap w:val="0"/>
                  <w:vAlign w:val="center"/>
                </w:tcPr>
                <w:p>
                  <w:pPr>
                    <w:pStyle w:val="11"/>
                    <w:bidi w:val="0"/>
                  </w:pPr>
                  <w:r>
                    <w:rPr>
                      <w:rFonts w:hint="eastAsia"/>
                    </w:rPr>
                    <w:t>公用工程</w:t>
                  </w:r>
                </w:p>
              </w:tc>
              <w:tc>
                <w:tcPr>
                  <w:tcW w:w="1116" w:type="pct"/>
                  <w:gridSpan w:val="2"/>
                  <w:noWrap w:val="0"/>
                  <w:vAlign w:val="center"/>
                </w:tcPr>
                <w:p>
                  <w:pPr>
                    <w:pStyle w:val="11"/>
                    <w:bidi w:val="0"/>
                    <w:rPr>
                      <w:rFonts w:hint="eastAsia" w:ascii="Times New Roman" w:hAnsi="Times New Roman" w:eastAsia="宋体" w:cs="Times New Roman"/>
                      <w:kern w:val="44"/>
                      <w:sz w:val="21"/>
                      <w:szCs w:val="22"/>
                      <w:lang w:val="en-US" w:eastAsia="zh-CN" w:bidi="ar-SA"/>
                    </w:rPr>
                  </w:pPr>
                  <w:r>
                    <w:rPr>
                      <w:rFonts w:hint="eastAsia"/>
                    </w:rPr>
                    <w:t>供电工程</w:t>
                  </w:r>
                </w:p>
              </w:tc>
              <w:tc>
                <w:tcPr>
                  <w:tcW w:w="3204" w:type="pct"/>
                  <w:noWrap w:val="0"/>
                  <w:vAlign w:val="center"/>
                </w:tcPr>
                <w:p>
                  <w:pPr>
                    <w:pStyle w:val="11"/>
                    <w:bidi w:val="0"/>
                  </w:pPr>
                  <w:r>
                    <w:rPr>
                      <w:rFonts w:hint="eastAsia"/>
                    </w:rPr>
                    <w:t>供电来自市政电网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678" w:type="pct"/>
                  <w:vMerge w:val="continue"/>
                  <w:noWrap w:val="0"/>
                  <w:vAlign w:val="center"/>
                </w:tcPr>
                <w:p>
                  <w:pPr>
                    <w:pStyle w:val="11"/>
                    <w:bidi w:val="0"/>
                  </w:pPr>
                </w:p>
              </w:tc>
              <w:tc>
                <w:tcPr>
                  <w:tcW w:w="1116" w:type="pct"/>
                  <w:gridSpan w:val="2"/>
                  <w:noWrap w:val="0"/>
                  <w:vAlign w:val="center"/>
                </w:tcPr>
                <w:p>
                  <w:pPr>
                    <w:pStyle w:val="11"/>
                    <w:bidi w:val="0"/>
                    <w:rPr>
                      <w:rFonts w:hint="eastAsia" w:ascii="Times New Roman" w:hAnsi="Times New Roman" w:eastAsia="宋体" w:cs="Times New Roman"/>
                      <w:kern w:val="44"/>
                      <w:sz w:val="21"/>
                      <w:szCs w:val="22"/>
                      <w:lang w:val="en-US" w:eastAsia="zh-CN" w:bidi="ar-SA"/>
                    </w:rPr>
                  </w:pPr>
                  <w:r>
                    <w:rPr>
                      <w:rFonts w:hint="eastAsia"/>
                    </w:rPr>
                    <w:t>给水工程</w:t>
                  </w:r>
                </w:p>
              </w:tc>
              <w:tc>
                <w:tcPr>
                  <w:tcW w:w="3204" w:type="pct"/>
                  <w:noWrap w:val="0"/>
                  <w:vAlign w:val="center"/>
                </w:tcPr>
                <w:p>
                  <w:pPr>
                    <w:pStyle w:val="11"/>
                    <w:bidi w:val="0"/>
                  </w:pPr>
                  <w:r>
                    <w:rPr>
                      <w:rFonts w:hint="eastAsia"/>
                    </w:rPr>
                    <w:t>利用市政集中供水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678" w:type="pct"/>
                  <w:vMerge w:val="continue"/>
                  <w:noWrap w:val="0"/>
                  <w:vAlign w:val="center"/>
                </w:tcPr>
                <w:p>
                  <w:pPr>
                    <w:pStyle w:val="11"/>
                    <w:bidi w:val="0"/>
                  </w:pPr>
                </w:p>
              </w:tc>
              <w:tc>
                <w:tcPr>
                  <w:tcW w:w="1116" w:type="pct"/>
                  <w:gridSpan w:val="2"/>
                  <w:noWrap w:val="0"/>
                  <w:vAlign w:val="center"/>
                </w:tcPr>
                <w:p>
                  <w:pPr>
                    <w:pStyle w:val="11"/>
                    <w:bidi w:val="0"/>
                    <w:rPr>
                      <w:rFonts w:hint="eastAsia" w:ascii="Times New Roman" w:hAnsi="Times New Roman" w:eastAsia="宋体" w:cs="Times New Roman"/>
                      <w:kern w:val="44"/>
                      <w:sz w:val="21"/>
                      <w:szCs w:val="22"/>
                      <w:lang w:val="en-US" w:eastAsia="zh-CN" w:bidi="ar-SA"/>
                    </w:rPr>
                  </w:pPr>
                  <w:r>
                    <w:rPr>
                      <w:rFonts w:hint="eastAsia"/>
                    </w:rPr>
                    <w:t>排水工程</w:t>
                  </w:r>
                </w:p>
              </w:tc>
              <w:tc>
                <w:tcPr>
                  <w:tcW w:w="3204" w:type="pct"/>
                  <w:noWrap w:val="0"/>
                  <w:vAlign w:val="center"/>
                </w:tcPr>
                <w:p>
                  <w:pPr>
                    <w:pStyle w:val="11"/>
                    <w:bidi w:val="0"/>
                  </w:pPr>
                  <w:r>
                    <w:rPr>
                      <w:rFonts w:hint="eastAsia"/>
                    </w:rPr>
                    <w:t>雨污分流，雨水汇集后沿</w:t>
                  </w:r>
                  <w:r>
                    <w:rPr>
                      <w:rFonts w:hint="eastAsia"/>
                      <w:lang w:val="en-US" w:eastAsia="zh-CN"/>
                    </w:rPr>
                    <w:t>雨水管网</w:t>
                  </w:r>
                  <w:r>
                    <w:rPr>
                      <w:rFonts w:hint="eastAsia"/>
                    </w:rPr>
                    <w:t>排入小洪河。生活污水经化粪池处理后，排入魏武大道污水管网，进入许昌瑞贝卡污水净化公司处理后排入清潩河。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678" w:type="pct"/>
                  <w:vMerge w:val="restart"/>
                  <w:noWrap w:val="0"/>
                  <w:vAlign w:val="center"/>
                </w:tcPr>
                <w:p>
                  <w:pPr>
                    <w:pStyle w:val="11"/>
                    <w:bidi w:val="0"/>
                  </w:pPr>
                  <w:r>
                    <w:rPr>
                      <w:rFonts w:hint="eastAsia"/>
                    </w:rPr>
                    <w:t>环保工程</w:t>
                  </w:r>
                </w:p>
              </w:tc>
              <w:tc>
                <w:tcPr>
                  <w:tcW w:w="1116" w:type="pct"/>
                  <w:gridSpan w:val="2"/>
                  <w:noWrap w:val="0"/>
                  <w:vAlign w:val="center"/>
                </w:tcPr>
                <w:p>
                  <w:pPr>
                    <w:pStyle w:val="11"/>
                    <w:bidi w:val="0"/>
                    <w:rPr>
                      <w:rFonts w:hint="eastAsia" w:ascii="Times New Roman" w:hAnsi="Times New Roman" w:eastAsia="宋体" w:cs="Times New Roman"/>
                      <w:kern w:val="44"/>
                      <w:sz w:val="21"/>
                      <w:szCs w:val="22"/>
                      <w:lang w:val="en-US" w:eastAsia="zh-CN" w:bidi="ar-SA"/>
                    </w:rPr>
                  </w:pPr>
                  <w:r>
                    <w:rPr>
                      <w:rFonts w:hAnsi="宋体"/>
                      <w:color w:val="000000" w:themeColor="text1"/>
                      <w:szCs w:val="21"/>
                      <w14:textFill>
                        <w14:solidFill>
                          <w14:schemeClr w14:val="tx1"/>
                        </w14:solidFill>
                      </w14:textFill>
                    </w:rPr>
                    <w:t>废水处理设施</w:t>
                  </w:r>
                </w:p>
              </w:tc>
              <w:tc>
                <w:tcPr>
                  <w:tcW w:w="3204" w:type="pct"/>
                  <w:noWrap w:val="0"/>
                  <w:vAlign w:val="center"/>
                </w:tcPr>
                <w:p>
                  <w:pPr>
                    <w:pStyle w:val="11"/>
                    <w:bidi w:val="0"/>
                  </w:pPr>
                  <w:r>
                    <w:rPr>
                      <w:rFonts w:hint="eastAsia"/>
                    </w:rPr>
                    <w:t>化粪池（10m</w:t>
                  </w:r>
                  <w:r>
                    <w:rPr>
                      <w:rFonts w:hint="eastAsia"/>
                      <w:vertAlign w:val="superscript"/>
                    </w:rPr>
                    <w:t>3</w:t>
                  </w:r>
                  <w:r>
                    <w:rPr>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678" w:type="pct"/>
                  <w:vMerge w:val="continue"/>
                  <w:noWrap w:val="0"/>
                  <w:vAlign w:val="center"/>
                </w:tcPr>
                <w:p>
                  <w:pPr>
                    <w:pStyle w:val="11"/>
                    <w:bidi w:val="0"/>
                  </w:pPr>
                </w:p>
              </w:tc>
              <w:tc>
                <w:tcPr>
                  <w:tcW w:w="1116" w:type="pct"/>
                  <w:gridSpan w:val="2"/>
                  <w:noWrap w:val="0"/>
                  <w:vAlign w:val="center"/>
                </w:tcPr>
                <w:p>
                  <w:pPr>
                    <w:pStyle w:val="11"/>
                    <w:bidi w:val="0"/>
                    <w:rPr>
                      <w:rFonts w:hint="eastAsia" w:ascii="Times New Roman" w:hAnsi="Times New Roman" w:eastAsia="宋体" w:cs="Times New Roman"/>
                      <w:kern w:val="44"/>
                      <w:sz w:val="21"/>
                      <w:szCs w:val="22"/>
                      <w:lang w:val="en-US" w:eastAsia="zh-CN" w:bidi="ar-SA"/>
                    </w:rPr>
                  </w:pPr>
                  <w:r>
                    <w:rPr>
                      <w:rFonts w:hint="eastAsia"/>
                    </w:rPr>
                    <w:t>废气处理设施</w:t>
                  </w:r>
                </w:p>
              </w:tc>
              <w:tc>
                <w:tcPr>
                  <w:tcW w:w="3204" w:type="pct"/>
                  <w:noWrap w:val="0"/>
                  <w:vAlign w:val="center"/>
                </w:tcPr>
                <w:p>
                  <w:pPr>
                    <w:pStyle w:val="11"/>
                    <w:bidi w:val="0"/>
                  </w:pPr>
                  <w:r>
                    <w:rPr>
                      <w:rFonts w:hint="eastAsia"/>
                    </w:rPr>
                    <w:t>涂胶工作台安装移动式集气罩，冷却室安装负压抽风系统，预热、压制过程产生的废气经引风机收集、活性炭吸附后，经15m排气筒排放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678" w:type="pct"/>
                  <w:vMerge w:val="continue"/>
                  <w:noWrap w:val="0"/>
                  <w:vAlign w:val="center"/>
                </w:tcPr>
                <w:p>
                  <w:pPr>
                    <w:pStyle w:val="11"/>
                    <w:bidi w:val="0"/>
                  </w:pPr>
                </w:p>
              </w:tc>
              <w:tc>
                <w:tcPr>
                  <w:tcW w:w="1116" w:type="pct"/>
                  <w:gridSpan w:val="2"/>
                  <w:noWrap w:val="0"/>
                  <w:vAlign w:val="center"/>
                </w:tcPr>
                <w:p>
                  <w:pPr>
                    <w:pStyle w:val="11"/>
                    <w:bidi w:val="0"/>
                    <w:rPr>
                      <w:rFonts w:hint="eastAsia"/>
                    </w:rPr>
                  </w:pPr>
                  <w:r>
                    <w:rPr>
                      <w:rFonts w:hint="eastAsia"/>
                    </w:rPr>
                    <w:t>噪声处理设施</w:t>
                  </w:r>
                </w:p>
              </w:tc>
              <w:tc>
                <w:tcPr>
                  <w:tcW w:w="3204" w:type="pct"/>
                  <w:noWrap w:val="0"/>
                  <w:vAlign w:val="center"/>
                </w:tcPr>
                <w:p>
                  <w:pPr>
                    <w:pStyle w:val="11"/>
                    <w:bidi w:val="0"/>
                    <w:rPr>
                      <w:rFonts w:hint="eastAsia"/>
                    </w:rPr>
                  </w:pPr>
                  <w:r>
                    <w:rPr>
                      <w:rFonts w:hint="eastAsia"/>
                    </w:rPr>
                    <w:t>基础减震，厂房隔音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678" w:type="pct"/>
                  <w:vMerge w:val="continue"/>
                  <w:noWrap w:val="0"/>
                  <w:vAlign w:val="center"/>
                </w:tcPr>
                <w:p>
                  <w:pPr>
                    <w:pStyle w:val="11"/>
                    <w:bidi w:val="0"/>
                  </w:pPr>
                </w:p>
              </w:tc>
              <w:tc>
                <w:tcPr>
                  <w:tcW w:w="387" w:type="pct"/>
                  <w:vMerge w:val="restart"/>
                  <w:noWrap w:val="0"/>
                  <w:vAlign w:val="center"/>
                </w:tcPr>
                <w:p>
                  <w:pPr>
                    <w:pStyle w:val="11"/>
                    <w:bidi w:val="0"/>
                    <w:rPr>
                      <w:rFonts w:hint="default" w:ascii="Times New Roman" w:hAnsi="Times New Roman" w:eastAsia="宋体" w:cs="Times New Roman"/>
                      <w:kern w:val="44"/>
                      <w:sz w:val="21"/>
                      <w:szCs w:val="22"/>
                      <w:lang w:val="en-US" w:eastAsia="zh-CN" w:bidi="ar-SA"/>
                    </w:rPr>
                  </w:pPr>
                  <w:r>
                    <w:rPr>
                      <w:rFonts w:hint="eastAsia" w:cs="Times New Roman"/>
                      <w:kern w:val="44"/>
                      <w:sz w:val="21"/>
                      <w:szCs w:val="22"/>
                      <w:lang w:val="en-US" w:eastAsia="zh-CN" w:bidi="ar-SA"/>
                    </w:rPr>
                    <w:t>固废处理措施</w:t>
                  </w:r>
                </w:p>
              </w:tc>
              <w:tc>
                <w:tcPr>
                  <w:tcW w:w="728" w:type="pct"/>
                  <w:noWrap w:val="0"/>
                  <w:vAlign w:val="center"/>
                </w:tcPr>
                <w:p>
                  <w:pPr>
                    <w:pStyle w:val="11"/>
                    <w:bidi w:val="0"/>
                    <w:rPr>
                      <w:rFonts w:hint="default" w:cs="Times New Roman"/>
                      <w:kern w:val="44"/>
                      <w:sz w:val="21"/>
                      <w:szCs w:val="22"/>
                      <w:lang w:val="en-US" w:eastAsia="zh-CN" w:bidi="ar-SA"/>
                    </w:rPr>
                  </w:pPr>
                  <w:r>
                    <w:rPr>
                      <w:rFonts w:hint="eastAsia" w:cs="Times New Roman"/>
                      <w:kern w:val="44"/>
                      <w:sz w:val="21"/>
                      <w:szCs w:val="22"/>
                      <w:lang w:val="en-US" w:eastAsia="zh-CN" w:bidi="ar-SA"/>
                    </w:rPr>
                    <w:t>生活垃圾</w:t>
                  </w:r>
                </w:p>
              </w:tc>
              <w:tc>
                <w:tcPr>
                  <w:tcW w:w="3204" w:type="pct"/>
                  <w:noWrap w:val="0"/>
                  <w:vAlign w:val="center"/>
                </w:tcPr>
                <w:p>
                  <w:pPr>
                    <w:pStyle w:val="11"/>
                    <w:bidi w:val="0"/>
                  </w:pPr>
                  <w:r>
                    <w:rPr>
                      <w:rFonts w:hint="eastAsia"/>
                    </w:rPr>
                    <w:t>垃圾桶10个</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678" w:type="pct"/>
                  <w:vMerge w:val="continue"/>
                  <w:noWrap w:val="0"/>
                  <w:vAlign w:val="center"/>
                </w:tcPr>
                <w:p>
                  <w:pPr>
                    <w:pStyle w:val="11"/>
                    <w:bidi w:val="0"/>
                  </w:pPr>
                </w:p>
              </w:tc>
              <w:tc>
                <w:tcPr>
                  <w:tcW w:w="387" w:type="pct"/>
                  <w:vMerge w:val="continue"/>
                  <w:noWrap w:val="0"/>
                  <w:vAlign w:val="center"/>
                </w:tcPr>
                <w:p>
                  <w:pPr>
                    <w:pStyle w:val="11"/>
                    <w:bidi w:val="0"/>
                    <w:rPr>
                      <w:rFonts w:hint="eastAsia" w:cs="Times New Roman"/>
                      <w:kern w:val="44"/>
                      <w:sz w:val="21"/>
                      <w:szCs w:val="22"/>
                      <w:lang w:val="en-US" w:eastAsia="zh-CN" w:bidi="ar-SA"/>
                    </w:rPr>
                  </w:pPr>
                </w:p>
              </w:tc>
              <w:tc>
                <w:tcPr>
                  <w:tcW w:w="728" w:type="pct"/>
                  <w:noWrap w:val="0"/>
                  <w:vAlign w:val="center"/>
                </w:tcPr>
                <w:p>
                  <w:pPr>
                    <w:pStyle w:val="11"/>
                    <w:bidi w:val="0"/>
                    <w:rPr>
                      <w:rFonts w:hint="eastAsia" w:cs="Times New Roman"/>
                      <w:kern w:val="44"/>
                      <w:sz w:val="21"/>
                      <w:szCs w:val="22"/>
                      <w:lang w:val="en-US" w:eastAsia="zh-CN" w:bidi="ar-SA"/>
                    </w:rPr>
                  </w:pPr>
                  <w:r>
                    <w:rPr>
                      <w:rFonts w:hint="eastAsia"/>
                    </w:rPr>
                    <w:t>一般固废</w:t>
                  </w:r>
                </w:p>
              </w:tc>
              <w:tc>
                <w:tcPr>
                  <w:tcW w:w="3204" w:type="pct"/>
                  <w:noWrap w:val="0"/>
                  <w:vAlign w:val="center"/>
                </w:tcPr>
                <w:p>
                  <w:pPr>
                    <w:pStyle w:val="11"/>
                    <w:bidi w:val="0"/>
                    <w:rPr>
                      <w:rFonts w:hint="eastAsia"/>
                    </w:rPr>
                  </w:pPr>
                  <w:r>
                    <w:rPr>
                      <w:rFonts w:hint="eastAsia"/>
                    </w:rPr>
                    <w:t>一般固废暂存区设在厂房内部西面，建筑面积50m</w:t>
                  </w:r>
                  <w:r>
                    <w:rPr>
                      <w:rFonts w:hint="eastAsia"/>
                      <w:vertAlign w:val="superscript"/>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678" w:type="pct"/>
                  <w:vMerge w:val="continue"/>
                  <w:noWrap w:val="0"/>
                  <w:vAlign w:val="center"/>
                </w:tcPr>
                <w:p>
                  <w:pPr>
                    <w:pStyle w:val="11"/>
                    <w:bidi w:val="0"/>
                  </w:pPr>
                </w:p>
              </w:tc>
              <w:tc>
                <w:tcPr>
                  <w:tcW w:w="387" w:type="pct"/>
                  <w:vMerge w:val="continue"/>
                  <w:noWrap w:val="0"/>
                  <w:vAlign w:val="center"/>
                </w:tcPr>
                <w:p>
                  <w:pPr>
                    <w:pStyle w:val="11"/>
                    <w:bidi w:val="0"/>
                    <w:rPr>
                      <w:rFonts w:hint="eastAsia" w:cs="Times New Roman"/>
                      <w:kern w:val="44"/>
                      <w:sz w:val="21"/>
                      <w:szCs w:val="22"/>
                      <w:lang w:val="en-US" w:eastAsia="zh-CN" w:bidi="ar-SA"/>
                    </w:rPr>
                  </w:pPr>
                </w:p>
              </w:tc>
              <w:tc>
                <w:tcPr>
                  <w:tcW w:w="728" w:type="pct"/>
                  <w:noWrap w:val="0"/>
                  <w:vAlign w:val="center"/>
                </w:tcPr>
                <w:p>
                  <w:pPr>
                    <w:pStyle w:val="11"/>
                    <w:bidi w:val="0"/>
                    <w:rPr>
                      <w:rFonts w:hint="default" w:cs="Times New Roman"/>
                      <w:kern w:val="44"/>
                      <w:sz w:val="21"/>
                      <w:szCs w:val="22"/>
                      <w:lang w:val="en-US" w:eastAsia="zh-CN" w:bidi="ar-SA"/>
                    </w:rPr>
                  </w:pPr>
                  <w:r>
                    <w:rPr>
                      <w:rFonts w:hint="eastAsia" w:cs="Times New Roman"/>
                      <w:kern w:val="44"/>
                      <w:sz w:val="21"/>
                      <w:szCs w:val="22"/>
                      <w:lang w:val="en-US" w:eastAsia="zh-CN" w:bidi="ar-SA"/>
                    </w:rPr>
                    <w:t>危险废物</w:t>
                  </w:r>
                </w:p>
              </w:tc>
              <w:tc>
                <w:tcPr>
                  <w:tcW w:w="3204" w:type="pct"/>
                  <w:noWrap w:val="0"/>
                  <w:vAlign w:val="center"/>
                </w:tcPr>
                <w:p>
                  <w:pPr>
                    <w:pStyle w:val="11"/>
                    <w:bidi w:val="0"/>
                    <w:rPr>
                      <w:rFonts w:hint="eastAsia"/>
                    </w:rPr>
                  </w:pPr>
                  <w:r>
                    <w:rPr>
                      <w:rFonts w:hint="eastAsia"/>
                    </w:rPr>
                    <w:t>危废暂存间设在厂房内部西面，建筑面积30m</w:t>
                  </w:r>
                  <w:r>
                    <w:rPr>
                      <w:rFonts w:hint="eastAsia"/>
                      <w:vertAlign w:val="superscript"/>
                    </w:rPr>
                    <w:t>2</w:t>
                  </w:r>
                </w:p>
              </w:tc>
            </w:tr>
          </w:tbl>
          <w:p>
            <w:pPr>
              <w:pStyle w:val="4"/>
              <w:bidi w:val="0"/>
            </w:pPr>
            <w:r>
              <w:rPr>
                <w:rFonts w:hint="eastAsia"/>
                <w:lang w:val="en-US" w:eastAsia="zh-CN"/>
              </w:rPr>
              <w:t>2、</w:t>
            </w:r>
            <w:r>
              <w:t>现有工程生产工艺及产污环节分析</w:t>
            </w:r>
          </w:p>
          <w:p>
            <w:pPr>
              <w:bidi w:val="0"/>
            </w:pPr>
            <w:r>
              <w:t>工艺流程简述如下：</w:t>
            </w:r>
          </w:p>
          <w:p>
            <w:pPr>
              <w:bidi w:val="0"/>
              <w:rPr>
                <w:rFonts w:hint="eastAsia"/>
              </w:rPr>
            </w:pPr>
            <w:r>
              <w:rPr>
                <w:rFonts w:hint="eastAsia"/>
              </w:rPr>
              <w:t>（1）备料、涂胶：外购原料瓷芯经检验合格后，人工用小毛刷在瓷芯外表面涂上一层厚度均匀有机硅胶黏剂的过程。此过程会有有机废气产生，主要是有机硅胶黏剂挥发出来的非甲烷总烃。</w:t>
            </w:r>
          </w:p>
          <w:p>
            <w:pPr>
              <w:bidi w:val="0"/>
              <w:rPr>
                <w:rFonts w:hint="eastAsia"/>
              </w:rPr>
            </w:pPr>
            <w:r>
              <w:rPr>
                <w:rFonts w:hint="eastAsia"/>
              </w:rPr>
              <w:t>（2）测量：根据瓷芯的规格计算出生产每批绝缘子所需有机硅橡胶的量，用台秤进行称重。</w:t>
            </w:r>
          </w:p>
          <w:p>
            <w:pPr>
              <w:bidi w:val="0"/>
              <w:rPr>
                <w:rFonts w:hint="eastAsia"/>
              </w:rPr>
            </w:pPr>
            <w:r>
              <w:rPr>
                <w:rFonts w:hint="eastAsia"/>
              </w:rPr>
              <w:t>（3）预热、配比、压制：将涂过有机硅胶黏剂的瓷芯放入烘箱中进行预热（电炉丝加热），温度40℃，加热时间30min。把预热后的涂胶瓷芯人工送入数控压力机（</w:t>
            </w:r>
            <w:r>
              <w:rPr>
                <w:rFonts w:hint="eastAsia"/>
                <w:lang w:val="en-US" w:eastAsia="zh-CN"/>
              </w:rPr>
              <w:t>成型</w:t>
            </w:r>
            <w:r>
              <w:rPr>
                <w:rFonts w:hint="eastAsia"/>
              </w:rPr>
              <w:t>机）模腔内（模腔外层夹套采用电加热装置），同时将上步测量称重好的有机硅橡胶人工放入数控压力（</w:t>
            </w:r>
            <w:r>
              <w:rPr>
                <w:rFonts w:hint="eastAsia"/>
                <w:lang w:val="en-US" w:eastAsia="zh-CN"/>
              </w:rPr>
              <w:t>成型</w:t>
            </w:r>
            <w:r>
              <w:rPr>
                <w:rFonts w:hint="eastAsia"/>
              </w:rPr>
              <w:t>机）机模腔内，与预热后的涂胶瓷芯配比，在涂胶瓷芯的表面形成一层有机硅橡胶层，利用液压机50吨的压力将有机硅橡胶和涂胶瓷芯压接在一起，在数控压力机（</w:t>
            </w:r>
            <w:r>
              <w:rPr>
                <w:rFonts w:hint="eastAsia"/>
                <w:lang w:val="en-US" w:eastAsia="zh-CN"/>
              </w:rPr>
              <w:t>成型</w:t>
            </w:r>
            <w:r>
              <w:rPr>
                <w:rFonts w:hint="eastAsia"/>
              </w:rPr>
              <w:t>机）模腔内部140℃固化15min，即可得到固定形状的半成品。此过程会有有机废气产生，主要为非甲烷总烃。</w:t>
            </w:r>
          </w:p>
          <w:p>
            <w:pPr>
              <w:bidi w:val="0"/>
              <w:rPr>
                <w:rFonts w:hint="eastAsia"/>
                <w:lang w:eastAsia="zh-CN"/>
              </w:rPr>
            </w:pPr>
            <w:r>
              <w:t>现有项目生产工艺流程见图2</w:t>
            </w:r>
            <w:r>
              <w:rPr>
                <w:rFonts w:hint="eastAsia"/>
                <w:lang w:val="en-US" w:eastAsia="zh-CN"/>
              </w:rPr>
              <w:t>-4</w:t>
            </w:r>
            <w:r>
              <w:rPr>
                <w:rFonts w:hint="eastAsia"/>
                <w:lang w:eastAsia="zh-CN"/>
              </w:rPr>
              <w:t>。</w:t>
            </w:r>
          </w:p>
          <w:p>
            <w:pPr>
              <w:bidi w:val="0"/>
              <w:ind w:left="0" w:leftChars="0" w:firstLine="0" w:firstLineChars="0"/>
              <w:jc w:val="center"/>
              <w:rPr>
                <w:rFonts w:hint="eastAsia" w:eastAsia="宋体"/>
                <w:lang w:eastAsia="zh-CN"/>
              </w:rPr>
            </w:pPr>
            <w:r>
              <w:drawing>
                <wp:inline distT="0" distB="0" distL="114300" distR="114300">
                  <wp:extent cx="4789805" cy="2261235"/>
                  <wp:effectExtent l="0" t="0" r="0" b="5715"/>
                  <wp:docPr id="8" name="图片 8" descr="原有生产工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原有生产工艺"/>
                          <pic:cNvPicPr>
                            <a:picLocks noChangeAspect="1"/>
                          </pic:cNvPicPr>
                        </pic:nvPicPr>
                        <pic:blipFill>
                          <a:blip r:embed="rId10"/>
                          <a:srcRect b="3260"/>
                          <a:stretch>
                            <a:fillRect/>
                          </a:stretch>
                        </pic:blipFill>
                        <pic:spPr>
                          <a:xfrm>
                            <a:off x="0" y="0"/>
                            <a:ext cx="4789805" cy="2261235"/>
                          </a:xfrm>
                          <a:prstGeom prst="rect">
                            <a:avLst/>
                          </a:prstGeom>
                        </pic:spPr>
                      </pic:pic>
                    </a:graphicData>
                  </a:graphic>
                </wp:inline>
              </w:drawing>
            </w:r>
          </w:p>
          <w:p>
            <w:pPr>
              <w:pStyle w:val="12"/>
              <w:widowControl w:val="0"/>
              <w:bidi w:val="0"/>
            </w:pPr>
            <w:r>
              <w:t>图2-</w:t>
            </w:r>
            <w:r>
              <w:rPr>
                <w:rFonts w:hint="eastAsia"/>
                <w:lang w:val="en-US" w:eastAsia="zh-CN"/>
              </w:rPr>
              <w:t xml:space="preserve">4 </w:t>
            </w:r>
            <w:r>
              <w:t xml:space="preserve">  </w:t>
            </w:r>
            <w:r>
              <w:rPr>
                <w:rFonts w:ascii="黑体" w:hAnsi="黑体" w:eastAsia="黑体"/>
                <w:sz w:val="24"/>
                <w:szCs w:val="32"/>
              </w:rPr>
              <w:t>现有工程</w:t>
            </w:r>
            <w:r>
              <w:rPr>
                <w:rFonts w:hint="eastAsia" w:ascii="黑体" w:hAnsi="黑体" w:eastAsia="黑体"/>
                <w:sz w:val="24"/>
                <w:szCs w:val="32"/>
              </w:rPr>
              <w:t>生产工艺流程及产污环节示意图</w:t>
            </w:r>
          </w:p>
          <w:p>
            <w:pPr>
              <w:bidi w:val="0"/>
              <w:rPr>
                <w:rFonts w:hint="eastAsia"/>
              </w:rPr>
            </w:pPr>
            <w:r>
              <w:rPr>
                <w:rFonts w:hint="eastAsia"/>
              </w:rPr>
              <w:t>（4）冷却：经过压制、固化成型后的半成品，由于其温度高达130~140℃、强度小，绝缘子表面固化不彻底，应进行冷却。人工把半成品绝缘子从数控压力机（</w:t>
            </w:r>
            <w:r>
              <w:rPr>
                <w:rFonts w:hint="eastAsia"/>
                <w:lang w:val="en-US" w:eastAsia="zh-CN"/>
              </w:rPr>
              <w:t>成型</w:t>
            </w:r>
            <w:r>
              <w:rPr>
                <w:rFonts w:hint="eastAsia"/>
              </w:rPr>
              <w:t>机）模腔中拿出来，放置在冷却室地面上进行降温，本项目采用自然降温冷却，产品冷却至20℃，用时5h。</w:t>
            </w:r>
          </w:p>
          <w:p>
            <w:pPr>
              <w:bidi w:val="0"/>
              <w:rPr>
                <w:rFonts w:hint="eastAsia"/>
              </w:rPr>
            </w:pPr>
            <w:r>
              <w:rPr>
                <w:rFonts w:hint="eastAsia"/>
              </w:rPr>
              <w:t>（5）检验：冷却后的产品在多功能质检台上人工进行外观检验、修整，外观合格的产品直接进入下一试验环节，不合格产品重新送入数控压力机（</w:t>
            </w:r>
            <w:r>
              <w:rPr>
                <w:rFonts w:hint="eastAsia"/>
                <w:lang w:val="en-US" w:eastAsia="zh-CN"/>
              </w:rPr>
              <w:t>成型</w:t>
            </w:r>
            <w:r>
              <w:rPr>
                <w:rFonts w:hint="eastAsia"/>
              </w:rPr>
              <w:t>机）进行压制。修整过程会有废边角料产生。</w:t>
            </w:r>
          </w:p>
          <w:p>
            <w:pPr>
              <w:bidi w:val="0"/>
              <w:rPr>
                <w:rFonts w:hint="eastAsia"/>
              </w:rPr>
            </w:pPr>
            <w:r>
              <w:rPr>
                <w:rFonts w:hint="eastAsia"/>
              </w:rPr>
              <w:t>（6）试验、组装、包装：通过高压试验变压器和拉力机进行试压试验和拉力试验（本过程不进行破坏性试验，高压实验变压器电流为10kVA，无射线装置，实验过程中不产生放射源和电磁影响）。检验合格的产品进行组装（通过数控压接机对绝缘子端部进行压接，使之端部形成一定形状，以利于在后期使用过程中对高压线的咬合），包装入库。</w:t>
            </w:r>
          </w:p>
          <w:p>
            <w:pPr>
              <w:pStyle w:val="4"/>
              <w:bidi w:val="0"/>
            </w:pPr>
            <w:r>
              <w:t>3</w:t>
            </w:r>
            <w:r>
              <w:rPr>
                <w:rFonts w:hint="eastAsia"/>
                <w:lang w:eastAsia="zh-CN"/>
              </w:rPr>
              <w:t>、</w:t>
            </w:r>
            <w:r>
              <w:t>现有工程污染物排放情况分析</w:t>
            </w:r>
          </w:p>
          <w:p>
            <w:pPr>
              <w:bidi w:val="0"/>
              <w:rPr>
                <w:rFonts w:hint="default" w:eastAsia="宋体"/>
                <w:lang w:val="en-US" w:eastAsia="zh-CN"/>
              </w:rPr>
            </w:pPr>
            <w:r>
              <w:rPr>
                <w:rFonts w:hint="eastAsia"/>
              </w:rPr>
              <w:t>现有工程于2</w:t>
            </w:r>
            <w:r>
              <w:t>0</w:t>
            </w:r>
            <w:r>
              <w:rPr>
                <w:rFonts w:hint="eastAsia"/>
                <w:lang w:val="en-US" w:eastAsia="zh-CN"/>
              </w:rPr>
              <w:t>15</w:t>
            </w:r>
            <w:r>
              <w:rPr>
                <w:rFonts w:hint="eastAsia"/>
              </w:rPr>
              <w:t>年</w:t>
            </w:r>
            <w:r>
              <w:rPr>
                <w:rFonts w:hint="eastAsia"/>
                <w:lang w:val="en-US" w:eastAsia="zh-CN"/>
              </w:rPr>
              <w:t>03</w:t>
            </w:r>
            <w:r>
              <w:rPr>
                <w:rFonts w:hint="eastAsia"/>
              </w:rPr>
              <w:t>月建成投产，</w:t>
            </w:r>
            <w:r>
              <w:rPr>
                <w:rFonts w:hint="eastAsia"/>
                <w:lang w:val="en-US" w:eastAsia="zh-CN"/>
              </w:rPr>
              <w:t>运营期间河南新弘电力科技有限公司积极开展自行检测工作，</w:t>
            </w:r>
            <w:r>
              <w:rPr>
                <w:rFonts w:hint="eastAsia"/>
              </w:rPr>
              <w:t>现有工程污染物排放情况根据</w:t>
            </w:r>
            <w:r>
              <w:rPr>
                <w:rFonts w:hint="eastAsia"/>
                <w:lang w:val="en-US" w:eastAsia="zh-CN"/>
              </w:rPr>
              <w:t>河南叁点壹肆检测技术有限公司于2020年09月27日出具的检测报告进行核算分析。</w:t>
            </w:r>
          </w:p>
          <w:p>
            <w:pPr>
              <w:bidi w:val="0"/>
              <w:rPr>
                <w:b/>
                <w:bCs/>
              </w:rPr>
            </w:pPr>
            <w:r>
              <w:rPr>
                <w:b/>
                <w:bCs/>
              </w:rPr>
              <w:t>3.1</w:t>
            </w:r>
            <w:r>
              <w:rPr>
                <w:rFonts w:hint="eastAsia"/>
                <w:b/>
                <w:bCs/>
                <w:lang w:val="en-US" w:eastAsia="zh-CN"/>
              </w:rPr>
              <w:t xml:space="preserve"> </w:t>
            </w:r>
            <w:r>
              <w:rPr>
                <w:b/>
                <w:bCs/>
              </w:rPr>
              <w:t>废气</w:t>
            </w:r>
          </w:p>
          <w:p>
            <w:pPr>
              <w:bidi w:val="0"/>
              <w:rPr>
                <w:rFonts w:hint="default"/>
                <w:lang w:val="en-US"/>
              </w:rPr>
            </w:pPr>
            <w:r>
              <w:t>现有工程</w:t>
            </w:r>
            <w:r>
              <w:rPr>
                <w:rFonts w:hint="eastAsia"/>
                <w:lang w:val="en-US" w:eastAsia="zh-CN"/>
              </w:rPr>
              <w:t>废气主要包括涂胶、预热、压制、冷却等环节产生的非甲烷总烃，通过活性炭吸附装置处理后经15m高排气筒排放。根据检测结果可知，项目活性炭吸附装置进口平均风量</w:t>
            </w:r>
            <w:r>
              <w:rPr>
                <w:rFonts w:hint="eastAsia"/>
                <w:color w:val="auto"/>
                <w:lang w:val="en-US" w:eastAsia="zh-CN"/>
              </w:rPr>
              <w:t>为1540m</w:t>
            </w:r>
            <w:r>
              <w:rPr>
                <w:rFonts w:hint="eastAsia"/>
                <w:color w:val="auto"/>
                <w:vertAlign w:val="superscript"/>
                <w:lang w:val="en-US" w:eastAsia="zh-CN"/>
              </w:rPr>
              <w:t>3</w:t>
            </w:r>
            <w:r>
              <w:rPr>
                <w:rFonts w:hint="eastAsia"/>
                <w:color w:val="auto"/>
                <w:lang w:val="en-US" w:eastAsia="zh-CN"/>
              </w:rPr>
              <w:t>/h、非甲烷总烃进口浓度为56.7mg/m</w:t>
            </w:r>
            <w:r>
              <w:rPr>
                <w:rFonts w:hint="eastAsia"/>
                <w:color w:val="auto"/>
                <w:vertAlign w:val="superscript"/>
                <w:lang w:val="en-US" w:eastAsia="zh-CN"/>
              </w:rPr>
              <w:t>3</w:t>
            </w:r>
            <w:r>
              <w:rPr>
                <w:rFonts w:hint="eastAsia"/>
                <w:color w:val="auto"/>
                <w:lang w:val="en-US" w:eastAsia="zh-CN"/>
              </w:rPr>
              <w:t>、进口速率为0.0873kg/h，出口平均风量为1840m</w:t>
            </w:r>
            <w:r>
              <w:rPr>
                <w:rFonts w:hint="eastAsia"/>
                <w:color w:val="auto"/>
                <w:vertAlign w:val="superscript"/>
                <w:lang w:val="en-US" w:eastAsia="zh-CN"/>
              </w:rPr>
              <w:t>3</w:t>
            </w:r>
            <w:r>
              <w:rPr>
                <w:rFonts w:hint="eastAsia"/>
                <w:color w:val="auto"/>
                <w:lang w:val="en-US" w:eastAsia="zh-CN"/>
              </w:rPr>
              <w:t>/h，非甲烷总烃出口浓度为19.4mg/m</w:t>
            </w:r>
            <w:r>
              <w:rPr>
                <w:rFonts w:hint="eastAsia"/>
                <w:color w:val="auto"/>
                <w:vertAlign w:val="superscript"/>
                <w:lang w:val="en-US" w:eastAsia="zh-CN"/>
              </w:rPr>
              <w:t>3</w:t>
            </w:r>
            <w:r>
              <w:rPr>
                <w:rFonts w:hint="eastAsia"/>
                <w:color w:val="auto"/>
                <w:lang w:val="en-US" w:eastAsia="zh-CN"/>
              </w:rPr>
              <w:t>，出口速率为0.0357kg/h。现有工程非甲烷总烃排放浓度能够满足</w:t>
            </w:r>
            <w:r>
              <w:rPr>
                <w:rFonts w:hint="eastAsia"/>
                <w:color w:val="auto"/>
              </w:rPr>
              <w:t>《关于全省开展工业企业挥发性有机物专项治理工作中排放建议值的通知》（豫环攻坚办</w:t>
            </w:r>
            <w:r>
              <w:rPr>
                <w:rFonts w:hint="eastAsia"/>
                <w:color w:val="auto"/>
                <w:lang w:eastAsia="zh-CN"/>
              </w:rPr>
              <w:t>〔</w:t>
            </w:r>
            <w:r>
              <w:rPr>
                <w:rFonts w:hint="eastAsia"/>
                <w:color w:val="auto"/>
              </w:rPr>
              <w:t>2017</w:t>
            </w:r>
            <w:r>
              <w:rPr>
                <w:rFonts w:hint="eastAsia"/>
                <w:color w:val="auto"/>
                <w:lang w:eastAsia="zh-CN"/>
              </w:rPr>
              <w:t>〕</w:t>
            </w:r>
            <w:r>
              <w:rPr>
                <w:rFonts w:hint="eastAsia"/>
                <w:color w:val="auto"/>
              </w:rPr>
              <w:t>162号）附件1（</w:t>
            </w:r>
            <w:r>
              <w:rPr>
                <w:rFonts w:hint="eastAsia"/>
                <w:color w:val="auto"/>
                <w:lang w:val="en-US" w:eastAsia="zh-CN"/>
              </w:rPr>
              <w:t>其他行业</w:t>
            </w:r>
            <w:r>
              <w:rPr>
                <w:rFonts w:hint="eastAsia"/>
                <w:color w:val="auto"/>
              </w:rPr>
              <w:t>，</w:t>
            </w:r>
            <w:r>
              <w:rPr>
                <w:rFonts w:hint="eastAsia"/>
                <w:color w:val="auto"/>
                <w:lang w:val="en-US" w:eastAsia="zh-CN"/>
              </w:rPr>
              <w:t>NMHC</w:t>
            </w:r>
            <w:r>
              <w:rPr>
                <w:rFonts w:hint="eastAsia"/>
                <w:color w:val="auto"/>
              </w:rPr>
              <w:t>排放浓度</w:t>
            </w:r>
            <w:r>
              <w:rPr>
                <w:rFonts w:hint="default" w:ascii="Arial" w:hAnsi="Arial" w:cs="Arial"/>
                <w:color w:val="auto"/>
              </w:rPr>
              <w:t>≤</w:t>
            </w:r>
            <w:r>
              <w:rPr>
                <w:rFonts w:hint="eastAsia"/>
                <w:color w:val="auto"/>
                <w:lang w:val="en-US" w:eastAsia="zh-CN"/>
              </w:rPr>
              <w:t>8</w:t>
            </w:r>
            <w:r>
              <w:rPr>
                <w:rFonts w:hint="eastAsia"/>
                <w:color w:val="auto"/>
              </w:rPr>
              <w:t>0mg/m</w:t>
            </w:r>
            <w:r>
              <w:rPr>
                <w:rFonts w:hint="eastAsia"/>
                <w:color w:val="auto"/>
                <w:vertAlign w:val="superscript"/>
              </w:rPr>
              <w:t>3</w:t>
            </w:r>
            <w:r>
              <w:rPr>
                <w:rFonts w:hint="eastAsia"/>
                <w:color w:val="auto"/>
              </w:rPr>
              <w:t>）的标准要求</w:t>
            </w:r>
            <w:r>
              <w:rPr>
                <w:rFonts w:hint="eastAsia"/>
                <w:color w:val="auto"/>
                <w:lang w:val="en-US" w:eastAsia="zh-CN"/>
              </w:rPr>
              <w:t>。现有项</w:t>
            </w:r>
            <w:r>
              <w:rPr>
                <w:rFonts w:hint="eastAsia"/>
                <w:lang w:val="en-US" w:eastAsia="zh-CN"/>
              </w:rPr>
              <w:t>目实行单班8h工作制，年生产200天，因此非甲烷总烃排放量为0.0576t/a，非甲烷总烃去除效率为59.1%。</w:t>
            </w:r>
          </w:p>
          <w:p>
            <w:pPr>
              <w:bidi w:val="0"/>
              <w:rPr>
                <w:b/>
                <w:bCs/>
              </w:rPr>
            </w:pPr>
            <w:r>
              <w:rPr>
                <w:b/>
                <w:bCs/>
              </w:rPr>
              <w:t>3.2</w:t>
            </w:r>
            <w:r>
              <w:rPr>
                <w:rFonts w:hint="eastAsia"/>
                <w:b/>
                <w:bCs/>
                <w:lang w:val="en-US" w:eastAsia="zh-CN"/>
              </w:rPr>
              <w:t xml:space="preserve"> </w:t>
            </w:r>
            <w:r>
              <w:rPr>
                <w:b/>
                <w:bCs/>
              </w:rPr>
              <w:t>废水</w:t>
            </w:r>
          </w:p>
          <w:p>
            <w:pPr>
              <w:bidi w:val="0"/>
              <w:rPr>
                <w:rFonts w:hint="default" w:eastAsia="宋体"/>
                <w:lang w:val="en-US" w:eastAsia="zh-CN"/>
              </w:rPr>
            </w:pPr>
            <w:r>
              <w:t>现有工程无生产性废水产排，废水主要为职工生活污水。项目现有职工</w:t>
            </w:r>
            <w:r>
              <w:rPr>
                <w:rFonts w:hint="eastAsia"/>
                <w:lang w:val="en-US" w:eastAsia="zh-CN"/>
              </w:rPr>
              <w:t>20</w:t>
            </w:r>
            <w:r>
              <w:t>人，均不在厂内住宿，根据《给排水设计手册（第2版）建筑给水排水》（第二版）中用水定额，非住宿人员按35L/（人•d）计算，则现有工程职工生活用水量为0.7m</w:t>
            </w:r>
            <w:r>
              <w:rPr>
                <w:vertAlign w:val="superscript"/>
              </w:rPr>
              <w:t>3</w:t>
            </w:r>
            <w:r>
              <w:t>/d，年用水量为210m</w:t>
            </w:r>
            <w:r>
              <w:rPr>
                <w:vertAlign w:val="superscript"/>
              </w:rPr>
              <w:t>3</w:t>
            </w:r>
            <w:r>
              <w:t>/a，污水产生系数按80%计，则生活污水产生量为0.56m</w:t>
            </w:r>
            <w:r>
              <w:rPr>
                <w:vertAlign w:val="superscript"/>
              </w:rPr>
              <w:t>3</w:t>
            </w:r>
            <w:r>
              <w:t>/d（168m</w:t>
            </w:r>
            <w:r>
              <w:rPr>
                <w:vertAlign w:val="superscript"/>
              </w:rPr>
              <w:t>3</w:t>
            </w:r>
            <w:r>
              <w:t>/a）。生活污水经化粪池处理后排入市政污水管网，生活污水经化粪池处理后废水中主要污染物排放浓度为COD247mg/L、BOD</w:t>
            </w:r>
            <w:r>
              <w:rPr>
                <w:vertAlign w:val="subscript"/>
              </w:rPr>
              <w:t>5</w:t>
            </w:r>
            <w:r>
              <w:t>120mg/L、SS120mg/L、氨氮30mg/L。则现有工程废水污染物产生量为COD：0.0415t/a、BOD</w:t>
            </w:r>
            <w:r>
              <w:rPr>
                <w:vertAlign w:val="subscript"/>
              </w:rPr>
              <w:t>5</w:t>
            </w:r>
            <w:r>
              <w:t>：0.0202t/a、SS：0.0202t/a、氨氮：0.005t/a。</w:t>
            </w:r>
            <w:r>
              <w:rPr>
                <w:rFonts w:hint="eastAsia"/>
                <w:lang w:val="en-US" w:eastAsia="zh-CN"/>
              </w:rPr>
              <w:t>现有工程废水污染物排放浓度能够满足《污水综合排放标准》（GB8978-1996）表4三级排放标准及许昌瑞贝卡水业污水净化分公司进水水质要求。</w:t>
            </w:r>
          </w:p>
          <w:p>
            <w:pPr>
              <w:bidi w:val="0"/>
              <w:rPr>
                <w:b/>
                <w:bCs/>
              </w:rPr>
            </w:pPr>
            <w:r>
              <w:rPr>
                <w:b/>
                <w:bCs/>
              </w:rPr>
              <w:t>3.3</w:t>
            </w:r>
            <w:r>
              <w:rPr>
                <w:rFonts w:hint="eastAsia"/>
                <w:b/>
                <w:bCs/>
                <w:lang w:val="en-US" w:eastAsia="zh-CN"/>
              </w:rPr>
              <w:t xml:space="preserve"> </w:t>
            </w:r>
            <w:r>
              <w:rPr>
                <w:b/>
                <w:bCs/>
              </w:rPr>
              <w:t>固废</w:t>
            </w:r>
          </w:p>
          <w:p>
            <w:pPr>
              <w:bidi w:val="0"/>
              <w:rPr>
                <w:rFonts w:hint="default" w:eastAsia="宋体"/>
                <w:lang w:val="en-US" w:eastAsia="zh-CN"/>
              </w:rPr>
            </w:pPr>
            <w:r>
              <w:t>现有工程</w:t>
            </w:r>
            <w:r>
              <w:rPr>
                <w:rFonts w:hint="eastAsia"/>
                <w:lang w:val="en-US" w:eastAsia="zh-CN"/>
              </w:rPr>
              <w:t>固体废物主要为废边角料、生活垃圾和废机油、废液压油、废机油桶、废活性炭等危险废物。</w:t>
            </w:r>
          </w:p>
          <w:p>
            <w:pPr>
              <w:bidi w:val="0"/>
              <w:rPr>
                <w:rFonts w:hint="eastAsia"/>
                <w:lang w:val="en-US" w:eastAsia="zh-CN"/>
              </w:rPr>
            </w:pPr>
            <w:r>
              <w:rPr>
                <w:rFonts w:hint="eastAsia"/>
                <w:lang w:val="en-US" w:eastAsia="zh-CN"/>
              </w:rPr>
              <w:t>①生活垃圾</w:t>
            </w:r>
          </w:p>
          <w:p>
            <w:pPr>
              <w:bidi w:val="0"/>
            </w:pPr>
            <w:r>
              <w:rPr>
                <w:rFonts w:hint="eastAsia"/>
                <w:lang w:val="en-US" w:eastAsia="zh-CN"/>
              </w:rPr>
              <w:t>现有项目共</w:t>
            </w:r>
            <w:r>
              <w:t>有职工20人，年工作300天。生活垃圾产生量按每人每天0.5kg计，则产生量为10kg/d，3t/a。厂区内设置垃圾箱，生活垃圾收集分类后交由环卫部门处置。</w:t>
            </w:r>
          </w:p>
          <w:p>
            <w:pPr>
              <w:bidi w:val="0"/>
              <w:rPr>
                <w:rFonts w:hint="eastAsia"/>
                <w:lang w:val="en-US" w:eastAsia="zh-CN"/>
              </w:rPr>
            </w:pPr>
            <w:r>
              <w:rPr>
                <w:rFonts w:hint="eastAsia"/>
                <w:lang w:val="en-US" w:eastAsia="zh-CN"/>
              </w:rPr>
              <w:t>②废边角料</w:t>
            </w:r>
          </w:p>
          <w:p>
            <w:pPr>
              <w:bidi w:val="0"/>
              <w:rPr>
                <w:rFonts w:hint="eastAsia"/>
                <w:lang w:val="en-US" w:eastAsia="zh-CN"/>
              </w:rPr>
            </w:pPr>
            <w:r>
              <w:rPr>
                <w:rFonts w:hint="eastAsia"/>
                <w:lang w:val="en-US" w:eastAsia="zh-CN"/>
              </w:rPr>
              <w:t>现有项目每年产生废边角料250kg，废弃原料包装纸箱1.8t/a。生产固废收集至一般固废暂存间，定期外售给资源回收企业。</w:t>
            </w:r>
          </w:p>
          <w:p>
            <w:pPr>
              <w:bidi w:val="0"/>
              <w:rPr>
                <w:rFonts w:hint="eastAsia"/>
                <w:lang w:val="en-US" w:eastAsia="zh-CN"/>
              </w:rPr>
            </w:pPr>
            <w:r>
              <w:rPr>
                <w:rFonts w:hint="eastAsia"/>
                <w:lang w:val="en-US" w:eastAsia="zh-CN"/>
              </w:rPr>
              <w:t>③危险废物</w:t>
            </w:r>
          </w:p>
          <w:p>
            <w:pPr>
              <w:bidi w:val="0"/>
              <w:rPr>
                <w:rFonts w:hint="default"/>
                <w:lang w:val="en-US" w:eastAsia="zh-CN"/>
              </w:rPr>
            </w:pPr>
            <w:r>
              <w:rPr>
                <w:rFonts w:hint="eastAsia"/>
                <w:lang w:val="en-US" w:eastAsia="zh-CN"/>
              </w:rPr>
              <w:t>现有项目各类机械加工设备维护过程中会产生少量废液压油和废机油桶，活性炭吸附装置会产生少量废活性炭。根据现场勘查，废机油产生量为0.2t/a，废液压油产生量为0.1t/a，废机油桶产生量为0.046t/a，废活性炭产生量为0.138t/a。危险废物暂存于危废暂存间，定期委托有相应危险废物处理资质的单位进行处置。</w:t>
            </w:r>
          </w:p>
          <w:p>
            <w:pPr>
              <w:bidi w:val="0"/>
            </w:pPr>
            <w:r>
              <w:t>现有工程污染物排放情况</w:t>
            </w:r>
            <w:r>
              <w:rPr>
                <w:rFonts w:hint="eastAsia"/>
                <w:lang w:val="en-US" w:eastAsia="zh-CN"/>
              </w:rPr>
              <w:t>详</w:t>
            </w:r>
            <w:r>
              <w:t>见表2-</w:t>
            </w:r>
            <w:r>
              <w:rPr>
                <w:rFonts w:hint="eastAsia"/>
                <w:lang w:val="en-US" w:eastAsia="zh-CN"/>
              </w:rPr>
              <w:t>8</w:t>
            </w:r>
            <w:r>
              <w:t>。</w:t>
            </w:r>
          </w:p>
          <w:p>
            <w:pPr>
              <w:pStyle w:val="12"/>
              <w:widowControl w:val="0"/>
              <w:bidi w:val="0"/>
            </w:pPr>
            <w:r>
              <w:t>表2-</w:t>
            </w:r>
            <w:r>
              <w:rPr>
                <w:rFonts w:hint="eastAsia"/>
                <w:lang w:val="en-US" w:eastAsia="zh-CN"/>
              </w:rPr>
              <w:t>8</w:t>
            </w:r>
            <w:r>
              <w:t xml:space="preserve"> </w:t>
            </w:r>
            <w:r>
              <w:rPr>
                <w:rFonts w:hint="eastAsia"/>
                <w:lang w:val="en-US" w:eastAsia="zh-CN"/>
              </w:rPr>
              <w:t xml:space="preserve"> </w:t>
            </w:r>
            <w:r>
              <w:t xml:space="preserve"> 现有工程污染物排放情况汇总一览表</w:t>
            </w:r>
          </w:p>
          <w:tbl>
            <w:tblPr>
              <w:tblStyle w:val="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2384"/>
              <w:gridCol w:w="2384"/>
              <w:gridCol w:w="23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66" w:type="pct"/>
                  <w:shd w:val="clear" w:color="auto" w:fill="auto"/>
                  <w:vAlign w:val="center"/>
                </w:tcPr>
                <w:p>
                  <w:pPr>
                    <w:pStyle w:val="11"/>
                    <w:bidi w:val="0"/>
                  </w:pPr>
                  <w:r>
                    <w:t>项目</w:t>
                  </w:r>
                </w:p>
              </w:tc>
              <w:tc>
                <w:tcPr>
                  <w:tcW w:w="1444" w:type="pct"/>
                  <w:shd w:val="clear" w:color="auto" w:fill="auto"/>
                  <w:vAlign w:val="center"/>
                </w:tcPr>
                <w:p>
                  <w:pPr>
                    <w:pStyle w:val="11"/>
                    <w:bidi w:val="0"/>
                  </w:pPr>
                  <w:r>
                    <w:t>污染物</w:t>
                  </w:r>
                </w:p>
              </w:tc>
              <w:tc>
                <w:tcPr>
                  <w:tcW w:w="1444" w:type="pct"/>
                  <w:shd w:val="clear" w:color="auto" w:fill="auto"/>
                  <w:vAlign w:val="center"/>
                </w:tcPr>
                <w:p>
                  <w:pPr>
                    <w:pStyle w:val="11"/>
                    <w:bidi w:val="0"/>
                  </w:pPr>
                  <w:r>
                    <w:t>排放量（t/a）</w:t>
                  </w:r>
                </w:p>
              </w:tc>
              <w:tc>
                <w:tcPr>
                  <w:tcW w:w="1444" w:type="pct"/>
                  <w:shd w:val="clear" w:color="auto" w:fill="auto"/>
                  <w:vAlign w:val="center"/>
                </w:tcPr>
                <w:p>
                  <w:pPr>
                    <w:pStyle w:val="11"/>
                    <w:bidi w:val="0"/>
                    <w:rPr>
                      <w:rFonts w:hint="eastAsia" w:eastAsia="宋体"/>
                      <w:lang w:val="en-US" w:eastAsia="zh-CN"/>
                    </w:rPr>
                  </w:pPr>
                  <w:r>
                    <w:rPr>
                      <w:rFonts w:hint="eastAsia"/>
                      <w:lang w:val="en-US" w:eastAsia="zh-CN"/>
                    </w:rPr>
                    <w:t>许可排放量</w:t>
                  </w:r>
                  <w: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66" w:type="pct"/>
                  <w:shd w:val="clear" w:color="auto" w:fill="auto"/>
                  <w:vAlign w:val="center"/>
                </w:tcPr>
                <w:p>
                  <w:pPr>
                    <w:pStyle w:val="11"/>
                    <w:bidi w:val="0"/>
                  </w:pPr>
                  <w:r>
                    <w:t>废气</w:t>
                  </w:r>
                </w:p>
              </w:tc>
              <w:tc>
                <w:tcPr>
                  <w:tcW w:w="1444" w:type="pct"/>
                  <w:shd w:val="clear" w:color="auto" w:fill="auto"/>
                  <w:vAlign w:val="center"/>
                </w:tcPr>
                <w:p>
                  <w:pPr>
                    <w:pStyle w:val="11"/>
                    <w:bidi w:val="0"/>
                    <w:ind w:firstLine="0" w:firstLineChars="0"/>
                    <w:rPr>
                      <w:rFonts w:ascii="Times New Roman" w:hAnsi="Times New Roman" w:eastAsia="宋体" w:cs="Times New Roman"/>
                      <w:kern w:val="44"/>
                      <w:sz w:val="21"/>
                      <w:szCs w:val="22"/>
                      <w:lang w:val="en-US" w:eastAsia="zh-CN" w:bidi="ar-SA"/>
                    </w:rPr>
                  </w:pPr>
                  <w:r>
                    <w:t>非甲烷总烃</w:t>
                  </w:r>
                </w:p>
              </w:tc>
              <w:tc>
                <w:tcPr>
                  <w:tcW w:w="1444" w:type="pct"/>
                  <w:shd w:val="clear" w:color="auto" w:fill="auto"/>
                  <w:vAlign w:val="center"/>
                </w:tcPr>
                <w:p>
                  <w:pPr>
                    <w:pStyle w:val="11"/>
                    <w:bidi w:val="0"/>
                    <w:ind w:firstLine="0" w:firstLineChars="0"/>
                    <w:rPr>
                      <w:rFonts w:ascii="Times New Roman" w:hAnsi="Times New Roman" w:eastAsia="宋体" w:cs="Times New Roman"/>
                      <w:kern w:val="44"/>
                      <w:sz w:val="21"/>
                      <w:szCs w:val="22"/>
                      <w:lang w:val="en-US" w:eastAsia="zh-CN" w:bidi="ar-SA"/>
                    </w:rPr>
                  </w:pPr>
                  <w:r>
                    <w:rPr>
                      <w:rFonts w:hint="eastAsia"/>
                      <w:lang w:val="en-US" w:eastAsia="zh-CN"/>
                    </w:rPr>
                    <w:t>0.0576t/a</w:t>
                  </w:r>
                </w:p>
              </w:tc>
              <w:tc>
                <w:tcPr>
                  <w:tcW w:w="1444" w:type="pct"/>
                  <w:shd w:val="clear" w:color="auto" w:fill="auto"/>
                  <w:vAlign w:val="center"/>
                </w:tcPr>
                <w:p>
                  <w:pPr>
                    <w:pStyle w:val="11"/>
                    <w:bidi w:val="0"/>
                    <w:ind w:firstLine="0" w:firstLineChars="0"/>
                    <w:rPr>
                      <w:rFonts w:hint="default"/>
                      <w:lang w:val="en-US" w:eastAsia="zh-CN"/>
                    </w:rPr>
                  </w:pPr>
                  <w:r>
                    <w:rPr>
                      <w:rFonts w:hint="eastAsia"/>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66" w:type="pct"/>
                  <w:vMerge w:val="restart"/>
                  <w:shd w:val="clear" w:color="auto" w:fill="auto"/>
                  <w:vAlign w:val="center"/>
                </w:tcPr>
                <w:p>
                  <w:pPr>
                    <w:pStyle w:val="11"/>
                    <w:bidi w:val="0"/>
                  </w:pPr>
                  <w:r>
                    <w:t>废水</w:t>
                  </w:r>
                </w:p>
              </w:tc>
              <w:tc>
                <w:tcPr>
                  <w:tcW w:w="1444" w:type="pct"/>
                  <w:shd w:val="clear" w:color="auto" w:fill="auto"/>
                  <w:vAlign w:val="center"/>
                </w:tcPr>
                <w:p>
                  <w:pPr>
                    <w:pStyle w:val="11"/>
                    <w:bidi w:val="0"/>
                  </w:pPr>
                  <w:r>
                    <w:t>废水量</w:t>
                  </w:r>
                </w:p>
              </w:tc>
              <w:tc>
                <w:tcPr>
                  <w:tcW w:w="1444" w:type="pct"/>
                  <w:shd w:val="clear" w:color="auto" w:fill="auto"/>
                  <w:vAlign w:val="center"/>
                </w:tcPr>
                <w:p>
                  <w:pPr>
                    <w:pStyle w:val="11"/>
                    <w:bidi w:val="0"/>
                  </w:pPr>
                  <w:r>
                    <w:t>168m</w:t>
                  </w:r>
                  <w:r>
                    <w:rPr>
                      <w:vertAlign w:val="superscript"/>
                    </w:rPr>
                    <w:t>3</w:t>
                  </w:r>
                  <w:r>
                    <w:t>/a</w:t>
                  </w:r>
                </w:p>
              </w:tc>
              <w:tc>
                <w:tcPr>
                  <w:tcW w:w="1444" w:type="pct"/>
                  <w:shd w:val="clear" w:color="auto" w:fill="auto"/>
                  <w:vAlign w:val="center"/>
                </w:tcPr>
                <w:p>
                  <w:pPr>
                    <w:pStyle w:val="11"/>
                    <w:bidi w:val="0"/>
                    <w:rPr>
                      <w:rFonts w:hint="default" w:eastAsia="宋体"/>
                      <w:lang w:val="en-US" w:eastAsia="zh-CN"/>
                    </w:rPr>
                  </w:pPr>
                  <w:r>
                    <w:rPr>
                      <w:rFonts w:hint="eastAsia"/>
                      <w:lang w:val="en-US" w:eastAsia="zh-CN"/>
                    </w:rPr>
                    <w:t>336</w:t>
                  </w:r>
                  <w:r>
                    <w:t>m</w:t>
                  </w:r>
                  <w:r>
                    <w:rPr>
                      <w:vertAlign w:val="superscript"/>
                    </w:rPr>
                    <w:t>3</w:t>
                  </w:r>
                  <w: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66" w:type="pct"/>
                  <w:vMerge w:val="continue"/>
                  <w:shd w:val="clear" w:color="auto" w:fill="auto"/>
                  <w:vAlign w:val="center"/>
                </w:tcPr>
                <w:p>
                  <w:pPr>
                    <w:pStyle w:val="11"/>
                    <w:bidi w:val="0"/>
                  </w:pPr>
                </w:p>
              </w:tc>
              <w:tc>
                <w:tcPr>
                  <w:tcW w:w="1444" w:type="pct"/>
                  <w:shd w:val="clear" w:color="auto" w:fill="auto"/>
                  <w:vAlign w:val="center"/>
                </w:tcPr>
                <w:p>
                  <w:pPr>
                    <w:pStyle w:val="11"/>
                    <w:bidi w:val="0"/>
                  </w:pPr>
                  <w:r>
                    <w:t>COD</w:t>
                  </w:r>
                </w:p>
              </w:tc>
              <w:tc>
                <w:tcPr>
                  <w:tcW w:w="1444" w:type="pct"/>
                  <w:shd w:val="clear" w:color="auto" w:fill="auto"/>
                  <w:vAlign w:val="center"/>
                </w:tcPr>
                <w:p>
                  <w:pPr>
                    <w:pStyle w:val="11"/>
                    <w:bidi w:val="0"/>
                  </w:pPr>
                  <w:r>
                    <w:t>0.0415</w:t>
                  </w:r>
                </w:p>
              </w:tc>
              <w:tc>
                <w:tcPr>
                  <w:tcW w:w="1444" w:type="pct"/>
                  <w:shd w:val="clear" w:color="auto" w:fill="auto"/>
                  <w:vAlign w:val="center"/>
                </w:tcPr>
                <w:p>
                  <w:pPr>
                    <w:pStyle w:val="11"/>
                    <w:bidi w:val="0"/>
                    <w:rPr>
                      <w:rFonts w:hint="default" w:eastAsia="宋体"/>
                      <w:lang w:val="en-US" w:eastAsia="zh-CN"/>
                    </w:rPr>
                  </w:pPr>
                  <w:r>
                    <w:rPr>
                      <w:rFonts w:hint="default" w:eastAsia="宋体"/>
                      <w:lang w:val="en-US" w:eastAsia="zh-CN"/>
                    </w:rPr>
                    <w:t>0.0830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66" w:type="pct"/>
                  <w:vMerge w:val="continue"/>
                  <w:shd w:val="clear" w:color="auto" w:fill="auto"/>
                  <w:vAlign w:val="center"/>
                </w:tcPr>
                <w:p>
                  <w:pPr>
                    <w:pStyle w:val="11"/>
                    <w:bidi w:val="0"/>
                  </w:pPr>
                </w:p>
              </w:tc>
              <w:tc>
                <w:tcPr>
                  <w:tcW w:w="1444" w:type="pct"/>
                  <w:shd w:val="clear" w:color="auto" w:fill="auto"/>
                  <w:vAlign w:val="center"/>
                </w:tcPr>
                <w:p>
                  <w:pPr>
                    <w:pStyle w:val="11"/>
                    <w:bidi w:val="0"/>
                  </w:pPr>
                  <w:r>
                    <w:t>BOD</w:t>
                  </w:r>
                  <w:r>
                    <w:rPr>
                      <w:vertAlign w:val="subscript"/>
                    </w:rPr>
                    <w:t>5</w:t>
                  </w:r>
                </w:p>
              </w:tc>
              <w:tc>
                <w:tcPr>
                  <w:tcW w:w="1444" w:type="pct"/>
                  <w:shd w:val="clear" w:color="auto" w:fill="auto"/>
                  <w:vAlign w:val="center"/>
                </w:tcPr>
                <w:p>
                  <w:pPr>
                    <w:pStyle w:val="11"/>
                    <w:bidi w:val="0"/>
                  </w:pPr>
                  <w:r>
                    <w:t>0.0202</w:t>
                  </w:r>
                </w:p>
              </w:tc>
              <w:tc>
                <w:tcPr>
                  <w:tcW w:w="1444" w:type="pct"/>
                  <w:shd w:val="clear" w:color="auto" w:fill="auto"/>
                  <w:vAlign w:val="center"/>
                </w:tcPr>
                <w:p>
                  <w:pPr>
                    <w:pStyle w:val="11"/>
                    <w:bidi w:val="0"/>
                  </w:pPr>
                  <w:r>
                    <w:rPr>
                      <w:rFonts w:hint="eastAsia" w:hAnsi="宋体"/>
                      <w:color w:val="000000"/>
                      <w:szCs w:val="21"/>
                    </w:rPr>
                    <w:t>0.0460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66" w:type="pct"/>
                  <w:vMerge w:val="continue"/>
                  <w:shd w:val="clear" w:color="auto" w:fill="auto"/>
                  <w:vAlign w:val="center"/>
                </w:tcPr>
                <w:p>
                  <w:pPr>
                    <w:pStyle w:val="11"/>
                    <w:bidi w:val="0"/>
                  </w:pPr>
                </w:p>
              </w:tc>
              <w:tc>
                <w:tcPr>
                  <w:tcW w:w="1444" w:type="pct"/>
                  <w:shd w:val="clear" w:color="auto" w:fill="auto"/>
                  <w:vAlign w:val="center"/>
                </w:tcPr>
                <w:p>
                  <w:pPr>
                    <w:pStyle w:val="11"/>
                    <w:bidi w:val="0"/>
                  </w:pPr>
                  <w:r>
                    <w:t>SS</w:t>
                  </w:r>
                </w:p>
              </w:tc>
              <w:tc>
                <w:tcPr>
                  <w:tcW w:w="1444" w:type="pct"/>
                  <w:shd w:val="clear" w:color="auto" w:fill="auto"/>
                  <w:vAlign w:val="center"/>
                </w:tcPr>
                <w:p>
                  <w:pPr>
                    <w:pStyle w:val="11"/>
                    <w:bidi w:val="0"/>
                  </w:pPr>
                  <w:r>
                    <w:t>0.0202</w:t>
                  </w:r>
                </w:p>
              </w:tc>
              <w:tc>
                <w:tcPr>
                  <w:tcW w:w="1444" w:type="pct"/>
                  <w:shd w:val="clear" w:color="auto" w:fill="auto"/>
                  <w:vAlign w:val="center"/>
                </w:tcPr>
                <w:p>
                  <w:pPr>
                    <w:pStyle w:val="11"/>
                    <w:bidi w:val="0"/>
                    <w:rPr>
                      <w:rFonts w:hint="default" w:eastAsia="宋体"/>
                      <w:lang w:val="en-US" w:eastAsia="zh-CN"/>
                    </w:rPr>
                  </w:pPr>
                  <w:r>
                    <w:rPr>
                      <w:rFonts w:hint="eastAsia"/>
                      <w:lang w:val="en-US" w:eastAsia="zh-CN"/>
                    </w:rPr>
                    <w:t>0.0282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66" w:type="pct"/>
                  <w:vMerge w:val="continue"/>
                  <w:shd w:val="clear" w:color="auto" w:fill="auto"/>
                  <w:vAlign w:val="center"/>
                </w:tcPr>
                <w:p>
                  <w:pPr>
                    <w:pStyle w:val="11"/>
                    <w:bidi w:val="0"/>
                  </w:pPr>
                </w:p>
              </w:tc>
              <w:tc>
                <w:tcPr>
                  <w:tcW w:w="1444" w:type="pct"/>
                  <w:shd w:val="clear" w:color="auto" w:fill="auto"/>
                  <w:vAlign w:val="center"/>
                </w:tcPr>
                <w:p>
                  <w:pPr>
                    <w:pStyle w:val="11"/>
                    <w:bidi w:val="0"/>
                  </w:pPr>
                  <w:r>
                    <w:t>氨氮</w:t>
                  </w:r>
                </w:p>
              </w:tc>
              <w:tc>
                <w:tcPr>
                  <w:tcW w:w="1444" w:type="pct"/>
                  <w:shd w:val="clear" w:color="auto" w:fill="auto"/>
                  <w:vAlign w:val="center"/>
                </w:tcPr>
                <w:p>
                  <w:pPr>
                    <w:pStyle w:val="11"/>
                    <w:bidi w:val="0"/>
                  </w:pPr>
                  <w:r>
                    <w:t>0.0</w:t>
                  </w:r>
                  <w:r>
                    <w:rPr>
                      <w:rFonts w:hint="eastAsia"/>
                      <w:lang w:val="en-US" w:eastAsia="zh-CN"/>
                    </w:rPr>
                    <w:t>0</w:t>
                  </w:r>
                  <w:r>
                    <w:t>5</w:t>
                  </w:r>
                </w:p>
              </w:tc>
              <w:tc>
                <w:tcPr>
                  <w:tcW w:w="1444" w:type="pct"/>
                  <w:shd w:val="clear" w:color="auto" w:fill="auto"/>
                  <w:vAlign w:val="center"/>
                </w:tcPr>
                <w:p>
                  <w:pPr>
                    <w:pStyle w:val="11"/>
                    <w:bidi w:val="0"/>
                    <w:rPr>
                      <w:rFonts w:hint="default" w:eastAsia="宋体"/>
                      <w:lang w:val="en-US" w:eastAsia="zh-CN"/>
                    </w:rPr>
                  </w:pPr>
                  <w:r>
                    <w:rPr>
                      <w:rFonts w:hint="eastAsia"/>
                      <w:lang w:val="en-US" w:eastAsia="zh-CN"/>
                    </w:rPr>
                    <w:t>0.011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66" w:type="pct"/>
                  <w:vMerge w:val="restart"/>
                  <w:shd w:val="clear" w:color="auto" w:fill="auto"/>
                  <w:vAlign w:val="center"/>
                </w:tcPr>
                <w:p>
                  <w:pPr>
                    <w:pStyle w:val="11"/>
                    <w:bidi w:val="0"/>
                  </w:pPr>
                  <w:r>
                    <w:t>固废</w:t>
                  </w:r>
                </w:p>
              </w:tc>
              <w:tc>
                <w:tcPr>
                  <w:tcW w:w="1444" w:type="pct"/>
                  <w:shd w:val="clear" w:color="auto" w:fill="auto"/>
                  <w:vAlign w:val="center"/>
                </w:tcPr>
                <w:p>
                  <w:pPr>
                    <w:pStyle w:val="11"/>
                    <w:bidi w:val="0"/>
                  </w:pPr>
                  <w:r>
                    <w:t>一般固废</w:t>
                  </w:r>
                </w:p>
              </w:tc>
              <w:tc>
                <w:tcPr>
                  <w:tcW w:w="1444" w:type="pct"/>
                  <w:shd w:val="clear" w:color="auto" w:fill="auto"/>
                  <w:vAlign w:val="center"/>
                </w:tcPr>
                <w:p>
                  <w:pPr>
                    <w:pStyle w:val="11"/>
                    <w:bidi w:val="0"/>
                  </w:pPr>
                  <w:r>
                    <w:t>0</w:t>
                  </w:r>
                </w:p>
              </w:tc>
              <w:tc>
                <w:tcPr>
                  <w:tcW w:w="1444" w:type="pct"/>
                  <w:shd w:val="clear" w:color="auto" w:fill="auto"/>
                  <w:vAlign w:val="center"/>
                </w:tcPr>
                <w:p>
                  <w:pPr>
                    <w:pStyle w:val="11"/>
                    <w:bidi w:val="0"/>
                    <w:rPr>
                      <w:rFonts w:hint="eastAsia" w:eastAsia="宋体"/>
                      <w:lang w:val="en-US" w:eastAsia="zh-CN"/>
                    </w:rPr>
                  </w:pPr>
                  <w:r>
                    <w:rPr>
                      <w:rFonts w:hint="eastAsia"/>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66" w:type="pct"/>
                  <w:vMerge w:val="continue"/>
                  <w:shd w:val="clear" w:color="auto" w:fill="auto"/>
                  <w:vAlign w:val="center"/>
                </w:tcPr>
                <w:p>
                  <w:pPr>
                    <w:pStyle w:val="11"/>
                    <w:bidi w:val="0"/>
                  </w:pPr>
                </w:p>
              </w:tc>
              <w:tc>
                <w:tcPr>
                  <w:tcW w:w="1444" w:type="pct"/>
                  <w:shd w:val="clear" w:color="auto" w:fill="auto"/>
                  <w:vAlign w:val="center"/>
                </w:tcPr>
                <w:p>
                  <w:pPr>
                    <w:pStyle w:val="11"/>
                    <w:bidi w:val="0"/>
                  </w:pPr>
                  <w:r>
                    <w:t>危险废物</w:t>
                  </w:r>
                </w:p>
              </w:tc>
              <w:tc>
                <w:tcPr>
                  <w:tcW w:w="1444" w:type="pct"/>
                  <w:shd w:val="clear" w:color="auto" w:fill="auto"/>
                  <w:vAlign w:val="center"/>
                </w:tcPr>
                <w:p>
                  <w:pPr>
                    <w:pStyle w:val="11"/>
                    <w:bidi w:val="0"/>
                  </w:pPr>
                  <w:r>
                    <w:t>0</w:t>
                  </w:r>
                </w:p>
              </w:tc>
              <w:tc>
                <w:tcPr>
                  <w:tcW w:w="1444" w:type="pct"/>
                  <w:shd w:val="clear" w:color="auto" w:fill="auto"/>
                  <w:vAlign w:val="center"/>
                </w:tcPr>
                <w:p>
                  <w:pPr>
                    <w:pStyle w:val="11"/>
                    <w:bidi w:val="0"/>
                    <w:rPr>
                      <w:rFonts w:hint="eastAsia" w:eastAsia="宋体"/>
                      <w:lang w:val="en-US" w:eastAsia="zh-CN"/>
                    </w:rPr>
                  </w:pPr>
                  <w:r>
                    <w:rPr>
                      <w:rFonts w:hint="eastAsia"/>
                      <w:lang w:val="en-US" w:eastAsia="zh-CN"/>
                    </w:rPr>
                    <w:t>0</w:t>
                  </w:r>
                </w:p>
              </w:tc>
            </w:tr>
          </w:tbl>
          <w:p>
            <w:pPr>
              <w:bidi w:val="0"/>
              <w:ind w:left="0" w:leftChars="0" w:firstLine="0" w:firstLineChars="0"/>
              <w:rPr>
                <w:rFonts w:hint="default"/>
                <w:sz w:val="24"/>
                <w:lang w:val="en-US" w:eastAsia="zh-CN"/>
              </w:rPr>
            </w:pPr>
          </w:p>
        </w:tc>
      </w:tr>
    </w:tbl>
    <w:p>
      <w:pPr>
        <w:rPr>
          <w:rFonts w:hint="eastAsia"/>
          <w:lang w:eastAsia="zh-CN"/>
        </w:rPr>
        <w:sectPr>
          <w:pgSz w:w="11906" w:h="16838"/>
          <w:pgMar w:top="1701" w:right="1587" w:bottom="1984" w:left="1587" w:header="851" w:footer="992" w:gutter="0"/>
          <w:pgNumType w:fmt="numberInDash"/>
          <w:cols w:space="425" w:num="1"/>
          <w:docGrid w:type="lines" w:linePitch="312" w:charSpace="0"/>
        </w:sectPr>
      </w:pPr>
    </w:p>
    <w:p>
      <w:pPr>
        <w:pStyle w:val="2"/>
        <w:bidi w:val="0"/>
        <w:jc w:val="center"/>
        <w:rPr>
          <w:rFonts w:hint="eastAsia"/>
          <w:vertAlign w:val="baseline"/>
          <w:lang w:eastAsia="zh-CN"/>
        </w:rPr>
      </w:pPr>
      <w:r>
        <w:rPr>
          <w:rFonts w:hint="eastAsia"/>
          <w:lang w:eastAsia="zh-CN"/>
        </w:rPr>
        <w:t>三、区域环境质量现状、环境保护目标及评价标准</w:t>
      </w:r>
    </w:p>
    <w:tbl>
      <w:tblPr>
        <w:tblStyle w:val="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84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4" w:type="dxa"/>
            <w:vAlign w:val="center"/>
          </w:tcPr>
          <w:p>
            <w:pPr>
              <w:pStyle w:val="11"/>
              <w:bidi w:val="0"/>
              <w:rPr>
                <w:rFonts w:hint="eastAsia"/>
                <w:sz w:val="24"/>
                <w:szCs w:val="24"/>
                <w:lang w:eastAsia="zh-CN"/>
              </w:rPr>
            </w:pPr>
            <w:r>
              <w:rPr>
                <w:rFonts w:hint="eastAsia"/>
                <w:sz w:val="24"/>
                <w:szCs w:val="24"/>
                <w:lang w:eastAsia="zh-CN"/>
              </w:rPr>
              <w:t>区域环境质量现状</w:t>
            </w:r>
          </w:p>
        </w:tc>
        <w:tc>
          <w:tcPr>
            <w:tcW w:w="8554" w:type="dxa"/>
            <w:vAlign w:val="center"/>
          </w:tcPr>
          <w:p>
            <w:pPr>
              <w:pStyle w:val="4"/>
              <w:bidi w:val="0"/>
            </w:pPr>
            <w:r>
              <w:t>1、环境空气质量现状</w:t>
            </w:r>
          </w:p>
          <w:p>
            <w:pPr>
              <w:wordWrap w:val="0"/>
              <w:spacing w:line="360" w:lineRule="auto"/>
              <w:ind w:firstLine="480" w:firstLineChars="200"/>
              <w:rPr>
                <w:rFonts w:hint="default" w:eastAsia="宋体"/>
                <w:sz w:val="24"/>
                <w:lang w:val="en-US" w:eastAsia="zh-CN"/>
              </w:rPr>
            </w:pPr>
            <w:r>
              <w:rPr>
                <w:rFonts w:hint="eastAsia"/>
                <w:sz w:val="24"/>
              </w:rPr>
              <w:t>环境空气质量现状基本污染物采用评价范围内评价基准年连续3年的监测数据，其他污染物进行补充监测</w:t>
            </w:r>
            <w:r>
              <w:rPr>
                <w:sz w:val="24"/>
              </w:rPr>
              <w:t>。</w:t>
            </w:r>
            <w:r>
              <w:rPr>
                <w:rFonts w:hint="eastAsia"/>
                <w:sz w:val="24"/>
                <w:lang w:val="en-US" w:eastAsia="zh-CN"/>
              </w:rPr>
              <w:t>本项目位于</w:t>
            </w:r>
            <w:r>
              <w:rPr>
                <w:rFonts w:hint="eastAsia"/>
                <w:lang w:val="en-US" w:eastAsia="zh-CN"/>
              </w:rPr>
              <w:t>许昌市城乡一体化示范区高新技术产业园东北角，项目所在区域为环境空气二类区，执行《环境空气质量标准》（GB3095-2012）二级标准，环境空气质量现状引用《许昌市环境监测年鉴（2020 年度）》中的数据，监测统计结果见表3-1。</w:t>
            </w:r>
          </w:p>
          <w:p>
            <w:pPr>
              <w:pStyle w:val="12"/>
              <w:widowControl w:val="0"/>
              <w:bidi w:val="0"/>
              <w:rPr>
                <w:rFonts w:eastAsia="黑体"/>
                <w:bCs/>
                <w:sz w:val="24"/>
              </w:rPr>
            </w:pPr>
            <w:r>
              <w:rPr>
                <w:rFonts w:eastAsia="黑体"/>
                <w:bCs/>
                <w:sz w:val="24"/>
              </w:rPr>
              <w:t xml:space="preserve">表3-1 </w:t>
            </w:r>
            <w:r>
              <w:rPr>
                <w:rFonts w:hint="eastAsia"/>
                <w:bCs/>
                <w:sz w:val="24"/>
                <w:lang w:val="en-US" w:eastAsia="zh-CN"/>
              </w:rPr>
              <w:t xml:space="preserve"> </w:t>
            </w:r>
            <w:r>
              <w:rPr>
                <w:rFonts w:eastAsia="黑体"/>
                <w:bCs/>
                <w:sz w:val="24"/>
              </w:rPr>
              <w:t xml:space="preserve"> </w:t>
            </w:r>
            <w:r>
              <w:rPr>
                <w:rFonts w:hint="eastAsia"/>
                <w:bCs/>
                <w:sz w:val="24"/>
                <w:lang w:val="en-US" w:eastAsia="zh-CN"/>
              </w:rPr>
              <w:t>2020年</w:t>
            </w:r>
            <w:r>
              <w:rPr>
                <w:rFonts w:eastAsia="黑体"/>
                <w:bCs/>
                <w:sz w:val="24"/>
              </w:rPr>
              <w:t>许昌市环境空气质量现状评价结果一览表  单位：μg/m</w:t>
            </w:r>
            <w:r>
              <w:rPr>
                <w:rFonts w:eastAsia="黑体"/>
                <w:bCs/>
                <w:sz w:val="24"/>
                <w:vertAlign w:val="superscript"/>
              </w:rPr>
              <w:t>3</w:t>
            </w:r>
          </w:p>
          <w:tbl>
            <w:tblPr>
              <w:tblStyle w:val="8"/>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978"/>
              <w:gridCol w:w="2592"/>
              <w:gridCol w:w="1176"/>
              <w:gridCol w:w="1176"/>
              <w:gridCol w:w="1176"/>
              <w:gridCol w:w="11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91" w:type="pct"/>
                  <w:noWrap w:val="0"/>
                  <w:vAlign w:val="center"/>
                </w:tcPr>
                <w:p>
                  <w:pPr>
                    <w:pStyle w:val="11"/>
                    <w:bidi w:val="0"/>
                  </w:pPr>
                  <w:r>
                    <w:t>污染物</w:t>
                  </w:r>
                </w:p>
              </w:tc>
              <w:tc>
                <w:tcPr>
                  <w:tcW w:w="1565" w:type="pct"/>
                  <w:noWrap w:val="0"/>
                  <w:vAlign w:val="center"/>
                </w:tcPr>
                <w:p>
                  <w:pPr>
                    <w:pStyle w:val="11"/>
                    <w:bidi w:val="0"/>
                  </w:pPr>
                  <w:r>
                    <w:t>年评价指标</w:t>
                  </w:r>
                </w:p>
              </w:tc>
              <w:tc>
                <w:tcPr>
                  <w:tcW w:w="710" w:type="pct"/>
                  <w:noWrap w:val="0"/>
                  <w:vAlign w:val="center"/>
                </w:tcPr>
                <w:p>
                  <w:pPr>
                    <w:pStyle w:val="11"/>
                    <w:bidi w:val="0"/>
                  </w:pPr>
                  <w:r>
                    <w:t>现状浓度</w:t>
                  </w:r>
                </w:p>
              </w:tc>
              <w:tc>
                <w:tcPr>
                  <w:tcW w:w="710" w:type="pct"/>
                  <w:noWrap w:val="0"/>
                  <w:vAlign w:val="center"/>
                </w:tcPr>
                <w:p>
                  <w:pPr>
                    <w:pStyle w:val="11"/>
                    <w:bidi w:val="0"/>
                  </w:pPr>
                  <w:r>
                    <w:t>标准值</w:t>
                  </w:r>
                </w:p>
              </w:tc>
              <w:tc>
                <w:tcPr>
                  <w:tcW w:w="710" w:type="pct"/>
                  <w:noWrap w:val="0"/>
                  <w:vAlign w:val="center"/>
                </w:tcPr>
                <w:p>
                  <w:pPr>
                    <w:pStyle w:val="11"/>
                    <w:bidi w:val="0"/>
                  </w:pPr>
                  <w:r>
                    <w:t>占标率%</w:t>
                  </w:r>
                </w:p>
              </w:tc>
              <w:tc>
                <w:tcPr>
                  <w:tcW w:w="711" w:type="pct"/>
                  <w:noWrap w:val="0"/>
                  <w:vAlign w:val="center"/>
                </w:tcPr>
                <w:p>
                  <w:pPr>
                    <w:pStyle w:val="11"/>
                    <w:bidi w:val="0"/>
                  </w:pPr>
                  <w: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91" w:type="pct"/>
                  <w:vMerge w:val="restart"/>
                  <w:noWrap w:val="0"/>
                  <w:vAlign w:val="center"/>
                </w:tcPr>
                <w:p>
                  <w:pPr>
                    <w:pStyle w:val="11"/>
                    <w:bidi w:val="0"/>
                  </w:pPr>
                  <w:r>
                    <w:t>PM</w:t>
                  </w:r>
                  <w:r>
                    <w:rPr>
                      <w:vertAlign w:val="subscript"/>
                    </w:rPr>
                    <w:t>2.5</w:t>
                  </w:r>
                </w:p>
              </w:tc>
              <w:tc>
                <w:tcPr>
                  <w:tcW w:w="1565" w:type="pct"/>
                  <w:noWrap w:val="0"/>
                  <w:vAlign w:val="center"/>
                </w:tcPr>
                <w:p>
                  <w:pPr>
                    <w:pStyle w:val="11"/>
                    <w:bidi w:val="0"/>
                  </w:pPr>
                  <w:r>
                    <w:rPr>
                      <w:rFonts w:hint="eastAsia"/>
                    </w:rPr>
                    <w:t>年平均质量浓度</w:t>
                  </w:r>
                </w:p>
              </w:tc>
              <w:tc>
                <w:tcPr>
                  <w:tcW w:w="710" w:type="pct"/>
                  <w:noWrap w:val="0"/>
                  <w:vAlign w:val="center"/>
                </w:tcPr>
                <w:p>
                  <w:pPr>
                    <w:pStyle w:val="11"/>
                    <w:bidi w:val="0"/>
                  </w:pPr>
                  <w:r>
                    <w:t>53</w:t>
                  </w:r>
                </w:p>
              </w:tc>
              <w:tc>
                <w:tcPr>
                  <w:tcW w:w="710" w:type="pct"/>
                  <w:noWrap w:val="0"/>
                  <w:vAlign w:val="center"/>
                </w:tcPr>
                <w:p>
                  <w:pPr>
                    <w:pStyle w:val="11"/>
                    <w:bidi w:val="0"/>
                  </w:pPr>
                  <w:r>
                    <w:t>35</w:t>
                  </w:r>
                </w:p>
              </w:tc>
              <w:tc>
                <w:tcPr>
                  <w:tcW w:w="710" w:type="pct"/>
                  <w:noWrap w:val="0"/>
                  <w:vAlign w:val="center"/>
                </w:tcPr>
                <w:p>
                  <w:pPr>
                    <w:pStyle w:val="11"/>
                    <w:bidi w:val="0"/>
                    <w:rPr>
                      <w:rFonts w:hint="eastAsia" w:eastAsia="宋体"/>
                      <w:lang w:val="en-US" w:eastAsia="zh-CN"/>
                    </w:rPr>
                  </w:pPr>
                  <w:r>
                    <w:t>151.4</w:t>
                  </w:r>
                  <w:r>
                    <w:rPr>
                      <w:rFonts w:hint="eastAsia"/>
                      <w:lang w:val="en-US" w:eastAsia="zh-CN"/>
                    </w:rPr>
                    <w:t>3</w:t>
                  </w:r>
                </w:p>
              </w:tc>
              <w:tc>
                <w:tcPr>
                  <w:tcW w:w="711" w:type="pct"/>
                  <w:noWrap w:val="0"/>
                  <w:vAlign w:val="center"/>
                </w:tcPr>
                <w:p>
                  <w:pPr>
                    <w:pStyle w:val="11"/>
                    <w:bidi w:val="0"/>
                  </w:pPr>
                  <w:r>
                    <w:t>不达标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91" w:type="pct"/>
                  <w:vMerge w:val="continue"/>
                  <w:noWrap w:val="0"/>
                  <w:vAlign w:val="center"/>
                </w:tcPr>
                <w:p>
                  <w:pPr>
                    <w:pStyle w:val="11"/>
                    <w:bidi w:val="0"/>
                  </w:pPr>
                </w:p>
              </w:tc>
              <w:tc>
                <w:tcPr>
                  <w:tcW w:w="1565" w:type="pct"/>
                  <w:noWrap w:val="0"/>
                  <w:vAlign w:val="center"/>
                </w:tcPr>
                <w:p>
                  <w:pPr>
                    <w:pStyle w:val="11"/>
                    <w:bidi w:val="0"/>
                    <w:rPr>
                      <w:rFonts w:hint="eastAsia" w:eastAsia="宋体"/>
                      <w:lang w:val="en-US" w:eastAsia="zh-CN"/>
                    </w:rPr>
                  </w:pPr>
                  <w:r>
                    <w:t>95百分位数</w:t>
                  </w:r>
                  <w:r>
                    <w:rPr>
                      <w:rFonts w:hint="eastAsia"/>
                      <w:lang w:val="en-US" w:eastAsia="zh-CN"/>
                    </w:rPr>
                    <w:t>日平均</w:t>
                  </w:r>
                </w:p>
              </w:tc>
              <w:tc>
                <w:tcPr>
                  <w:tcW w:w="710" w:type="pct"/>
                  <w:noWrap w:val="0"/>
                  <w:vAlign w:val="center"/>
                </w:tcPr>
                <w:p>
                  <w:pPr>
                    <w:pStyle w:val="11"/>
                    <w:bidi w:val="0"/>
                    <w:rPr>
                      <w:rFonts w:hint="eastAsia" w:eastAsia="宋体"/>
                      <w:lang w:eastAsia="zh-CN"/>
                    </w:rPr>
                  </w:pPr>
                  <w:r>
                    <w:t>13</w:t>
                  </w:r>
                  <w:r>
                    <w:rPr>
                      <w:rFonts w:hint="eastAsia"/>
                      <w:lang w:val="en-US" w:eastAsia="zh-CN"/>
                    </w:rPr>
                    <w:t>9</w:t>
                  </w:r>
                </w:p>
              </w:tc>
              <w:tc>
                <w:tcPr>
                  <w:tcW w:w="710" w:type="pct"/>
                  <w:noWrap w:val="0"/>
                  <w:vAlign w:val="center"/>
                </w:tcPr>
                <w:p>
                  <w:pPr>
                    <w:pStyle w:val="11"/>
                    <w:bidi w:val="0"/>
                  </w:pPr>
                  <w:r>
                    <w:t>75</w:t>
                  </w:r>
                </w:p>
              </w:tc>
              <w:tc>
                <w:tcPr>
                  <w:tcW w:w="710" w:type="pct"/>
                  <w:noWrap w:val="0"/>
                  <w:vAlign w:val="center"/>
                </w:tcPr>
                <w:p>
                  <w:pPr>
                    <w:pStyle w:val="11"/>
                    <w:bidi w:val="0"/>
                    <w:rPr>
                      <w:rFonts w:hint="default" w:eastAsia="宋体"/>
                      <w:lang w:val="en-US" w:eastAsia="zh-CN"/>
                    </w:rPr>
                  </w:pPr>
                  <w:r>
                    <w:t>18</w:t>
                  </w:r>
                  <w:r>
                    <w:rPr>
                      <w:rFonts w:hint="eastAsia"/>
                      <w:lang w:val="en-US" w:eastAsia="zh-CN"/>
                    </w:rPr>
                    <w:t>5.33</w:t>
                  </w:r>
                </w:p>
              </w:tc>
              <w:tc>
                <w:tcPr>
                  <w:tcW w:w="711" w:type="pct"/>
                  <w:noWrap w:val="0"/>
                  <w:vAlign w:val="center"/>
                </w:tcPr>
                <w:p>
                  <w:pPr>
                    <w:pStyle w:val="11"/>
                    <w:bidi w:val="0"/>
                  </w:pPr>
                  <w:r>
                    <w:t>不达标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91" w:type="pct"/>
                  <w:vMerge w:val="restart"/>
                  <w:noWrap w:val="0"/>
                  <w:vAlign w:val="center"/>
                </w:tcPr>
                <w:p>
                  <w:pPr>
                    <w:pStyle w:val="11"/>
                    <w:bidi w:val="0"/>
                  </w:pPr>
                  <w:r>
                    <w:t>PM</w:t>
                  </w:r>
                  <w:r>
                    <w:rPr>
                      <w:vertAlign w:val="subscript"/>
                    </w:rPr>
                    <w:t>10</w:t>
                  </w:r>
                </w:p>
              </w:tc>
              <w:tc>
                <w:tcPr>
                  <w:tcW w:w="1565" w:type="pct"/>
                  <w:noWrap w:val="0"/>
                  <w:vAlign w:val="center"/>
                </w:tcPr>
                <w:p>
                  <w:pPr>
                    <w:pStyle w:val="11"/>
                    <w:bidi w:val="0"/>
                    <w:ind w:firstLine="0" w:firstLineChars="0"/>
                  </w:pPr>
                  <w:r>
                    <w:rPr>
                      <w:rFonts w:hint="eastAsia"/>
                    </w:rPr>
                    <w:t>年平均质量浓度</w:t>
                  </w:r>
                </w:p>
              </w:tc>
              <w:tc>
                <w:tcPr>
                  <w:tcW w:w="710" w:type="pct"/>
                  <w:noWrap w:val="0"/>
                  <w:vAlign w:val="center"/>
                </w:tcPr>
                <w:p>
                  <w:pPr>
                    <w:pStyle w:val="11"/>
                    <w:bidi w:val="0"/>
                  </w:pPr>
                  <w:r>
                    <w:t>79</w:t>
                  </w:r>
                </w:p>
              </w:tc>
              <w:tc>
                <w:tcPr>
                  <w:tcW w:w="710" w:type="pct"/>
                  <w:noWrap w:val="0"/>
                  <w:vAlign w:val="center"/>
                </w:tcPr>
                <w:p>
                  <w:pPr>
                    <w:pStyle w:val="11"/>
                    <w:bidi w:val="0"/>
                  </w:pPr>
                  <w:r>
                    <w:t>70</w:t>
                  </w:r>
                </w:p>
              </w:tc>
              <w:tc>
                <w:tcPr>
                  <w:tcW w:w="710" w:type="pct"/>
                  <w:noWrap w:val="0"/>
                  <w:vAlign w:val="center"/>
                </w:tcPr>
                <w:p>
                  <w:pPr>
                    <w:pStyle w:val="11"/>
                    <w:bidi w:val="0"/>
                    <w:rPr>
                      <w:rFonts w:hint="default" w:eastAsia="宋体"/>
                      <w:lang w:val="en-US" w:eastAsia="zh-CN"/>
                    </w:rPr>
                  </w:pPr>
                  <w:r>
                    <w:t>112.</w:t>
                  </w:r>
                  <w:r>
                    <w:rPr>
                      <w:rFonts w:hint="eastAsia"/>
                      <w:lang w:val="en-US" w:eastAsia="zh-CN"/>
                    </w:rPr>
                    <w:t>86</w:t>
                  </w:r>
                </w:p>
              </w:tc>
              <w:tc>
                <w:tcPr>
                  <w:tcW w:w="711" w:type="pct"/>
                  <w:noWrap w:val="0"/>
                  <w:vAlign w:val="center"/>
                </w:tcPr>
                <w:p>
                  <w:pPr>
                    <w:pStyle w:val="11"/>
                    <w:bidi w:val="0"/>
                  </w:pPr>
                  <w:r>
                    <w:t>不达标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91" w:type="pct"/>
                  <w:vMerge w:val="continue"/>
                  <w:noWrap w:val="0"/>
                  <w:vAlign w:val="center"/>
                </w:tcPr>
                <w:p>
                  <w:pPr>
                    <w:pStyle w:val="11"/>
                    <w:bidi w:val="0"/>
                  </w:pPr>
                </w:p>
              </w:tc>
              <w:tc>
                <w:tcPr>
                  <w:tcW w:w="1565" w:type="pct"/>
                  <w:noWrap w:val="0"/>
                  <w:vAlign w:val="center"/>
                </w:tcPr>
                <w:p>
                  <w:pPr>
                    <w:pStyle w:val="11"/>
                    <w:bidi w:val="0"/>
                    <w:ind w:firstLine="0" w:firstLineChars="0"/>
                  </w:pPr>
                  <w:r>
                    <w:t>95百分位数</w:t>
                  </w:r>
                  <w:r>
                    <w:rPr>
                      <w:rFonts w:hint="eastAsia"/>
                      <w:lang w:val="en-US" w:eastAsia="zh-CN"/>
                    </w:rPr>
                    <w:t>日平均</w:t>
                  </w:r>
                </w:p>
              </w:tc>
              <w:tc>
                <w:tcPr>
                  <w:tcW w:w="710" w:type="pct"/>
                  <w:noWrap w:val="0"/>
                  <w:vAlign w:val="center"/>
                </w:tcPr>
                <w:p>
                  <w:pPr>
                    <w:pStyle w:val="11"/>
                    <w:bidi w:val="0"/>
                  </w:pPr>
                  <w:r>
                    <w:t>151</w:t>
                  </w:r>
                </w:p>
              </w:tc>
              <w:tc>
                <w:tcPr>
                  <w:tcW w:w="710" w:type="pct"/>
                  <w:noWrap w:val="0"/>
                  <w:vAlign w:val="center"/>
                </w:tcPr>
                <w:p>
                  <w:pPr>
                    <w:pStyle w:val="11"/>
                    <w:bidi w:val="0"/>
                  </w:pPr>
                  <w:r>
                    <w:t>150</w:t>
                  </w:r>
                </w:p>
              </w:tc>
              <w:tc>
                <w:tcPr>
                  <w:tcW w:w="710" w:type="pct"/>
                  <w:noWrap w:val="0"/>
                  <w:vAlign w:val="center"/>
                </w:tcPr>
                <w:p>
                  <w:pPr>
                    <w:pStyle w:val="11"/>
                    <w:bidi w:val="0"/>
                  </w:pPr>
                  <w:r>
                    <w:t>100.</w:t>
                  </w:r>
                  <w:r>
                    <w:rPr>
                      <w:rFonts w:hint="eastAsia"/>
                      <w:lang w:val="en-US" w:eastAsia="zh-CN"/>
                    </w:rPr>
                    <w:t>6</w:t>
                  </w:r>
                  <w:r>
                    <w:t>7</w:t>
                  </w:r>
                </w:p>
              </w:tc>
              <w:tc>
                <w:tcPr>
                  <w:tcW w:w="711" w:type="pct"/>
                  <w:noWrap w:val="0"/>
                  <w:vAlign w:val="center"/>
                </w:tcPr>
                <w:p>
                  <w:pPr>
                    <w:pStyle w:val="11"/>
                    <w:bidi w:val="0"/>
                  </w:pPr>
                  <w:r>
                    <w:t>不达标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91" w:type="pct"/>
                  <w:vMerge w:val="restart"/>
                  <w:noWrap w:val="0"/>
                  <w:vAlign w:val="center"/>
                </w:tcPr>
                <w:p>
                  <w:pPr>
                    <w:pStyle w:val="11"/>
                    <w:bidi w:val="0"/>
                  </w:pPr>
                  <w:r>
                    <w:t>SO</w:t>
                  </w:r>
                  <w:r>
                    <w:rPr>
                      <w:vertAlign w:val="subscript"/>
                    </w:rPr>
                    <w:t>2</w:t>
                  </w:r>
                </w:p>
              </w:tc>
              <w:tc>
                <w:tcPr>
                  <w:tcW w:w="1565" w:type="pct"/>
                  <w:noWrap w:val="0"/>
                  <w:vAlign w:val="center"/>
                </w:tcPr>
                <w:p>
                  <w:pPr>
                    <w:pStyle w:val="11"/>
                    <w:bidi w:val="0"/>
                    <w:ind w:firstLine="0" w:firstLineChars="0"/>
                    <w:rPr>
                      <w:rFonts w:ascii="Times New Roman" w:hAnsi="Times New Roman" w:eastAsia="宋体" w:cs="Times New Roman"/>
                      <w:kern w:val="44"/>
                      <w:sz w:val="21"/>
                      <w:szCs w:val="22"/>
                      <w:lang w:val="en-US" w:eastAsia="zh-CN" w:bidi="ar-SA"/>
                    </w:rPr>
                  </w:pPr>
                  <w:r>
                    <w:rPr>
                      <w:rFonts w:hint="eastAsia"/>
                    </w:rPr>
                    <w:t>年平均质量浓度</w:t>
                  </w:r>
                </w:p>
              </w:tc>
              <w:tc>
                <w:tcPr>
                  <w:tcW w:w="710" w:type="pct"/>
                  <w:noWrap w:val="0"/>
                  <w:vAlign w:val="center"/>
                </w:tcPr>
                <w:p>
                  <w:pPr>
                    <w:pStyle w:val="11"/>
                    <w:bidi w:val="0"/>
                    <w:ind w:firstLine="0" w:firstLineChars="0"/>
                    <w:rPr>
                      <w:rFonts w:ascii="Times New Roman" w:hAnsi="Times New Roman" w:eastAsia="宋体" w:cs="Times New Roman"/>
                      <w:kern w:val="44"/>
                      <w:sz w:val="21"/>
                      <w:szCs w:val="22"/>
                      <w:lang w:val="en-US" w:eastAsia="zh-CN" w:bidi="ar-SA"/>
                    </w:rPr>
                  </w:pPr>
                  <w:r>
                    <w:t>11</w:t>
                  </w:r>
                </w:p>
              </w:tc>
              <w:tc>
                <w:tcPr>
                  <w:tcW w:w="710" w:type="pct"/>
                  <w:noWrap w:val="0"/>
                  <w:vAlign w:val="center"/>
                </w:tcPr>
                <w:p>
                  <w:pPr>
                    <w:pStyle w:val="11"/>
                    <w:bidi w:val="0"/>
                    <w:ind w:firstLine="0" w:firstLineChars="0"/>
                    <w:rPr>
                      <w:rFonts w:ascii="Times New Roman" w:hAnsi="Times New Roman" w:eastAsia="宋体" w:cs="Times New Roman"/>
                      <w:kern w:val="44"/>
                      <w:sz w:val="21"/>
                      <w:szCs w:val="22"/>
                      <w:lang w:val="en-US" w:eastAsia="zh-CN" w:bidi="ar-SA"/>
                    </w:rPr>
                  </w:pPr>
                  <w:r>
                    <w:t>60</w:t>
                  </w:r>
                </w:p>
              </w:tc>
              <w:tc>
                <w:tcPr>
                  <w:tcW w:w="710" w:type="pct"/>
                  <w:noWrap w:val="0"/>
                  <w:vAlign w:val="center"/>
                </w:tcPr>
                <w:p>
                  <w:pPr>
                    <w:pStyle w:val="11"/>
                    <w:bidi w:val="0"/>
                    <w:ind w:firstLine="0" w:firstLineChars="0"/>
                    <w:rPr>
                      <w:rFonts w:hint="eastAsia" w:ascii="Times New Roman" w:hAnsi="Times New Roman" w:eastAsia="宋体" w:cs="Times New Roman"/>
                      <w:kern w:val="44"/>
                      <w:sz w:val="21"/>
                      <w:szCs w:val="22"/>
                      <w:lang w:val="en-US" w:eastAsia="zh-CN" w:bidi="ar-SA"/>
                    </w:rPr>
                  </w:pPr>
                  <w:r>
                    <w:t>18.3</w:t>
                  </w:r>
                  <w:r>
                    <w:rPr>
                      <w:rFonts w:hint="eastAsia"/>
                      <w:lang w:val="en-US" w:eastAsia="zh-CN"/>
                    </w:rPr>
                    <w:t>3</w:t>
                  </w:r>
                </w:p>
              </w:tc>
              <w:tc>
                <w:tcPr>
                  <w:tcW w:w="711" w:type="pct"/>
                  <w:noWrap w:val="0"/>
                  <w:vAlign w:val="center"/>
                </w:tcPr>
                <w:p>
                  <w:pPr>
                    <w:pStyle w:val="11"/>
                    <w:bidi w:val="0"/>
                    <w:ind w:firstLine="0" w:firstLineChars="0"/>
                    <w:rPr>
                      <w:rFonts w:ascii="Times New Roman" w:hAnsi="Times New Roman" w:eastAsia="宋体" w:cs="Times New Roman"/>
                      <w:kern w:val="44"/>
                      <w:sz w:val="21"/>
                      <w:szCs w:val="22"/>
                      <w:lang w:val="en-US" w:eastAsia="zh-CN" w:bidi="ar-SA"/>
                    </w:rPr>
                  </w:pPr>
                  <w: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91" w:type="pct"/>
                  <w:vMerge w:val="continue"/>
                  <w:noWrap w:val="0"/>
                  <w:vAlign w:val="center"/>
                </w:tcPr>
                <w:p>
                  <w:pPr>
                    <w:pStyle w:val="11"/>
                    <w:bidi w:val="0"/>
                  </w:pPr>
                </w:p>
              </w:tc>
              <w:tc>
                <w:tcPr>
                  <w:tcW w:w="1565" w:type="pct"/>
                  <w:noWrap w:val="0"/>
                  <w:vAlign w:val="center"/>
                </w:tcPr>
                <w:p>
                  <w:pPr>
                    <w:pStyle w:val="11"/>
                    <w:bidi w:val="0"/>
                    <w:ind w:firstLine="0" w:firstLineChars="0"/>
                    <w:rPr>
                      <w:rFonts w:hint="eastAsia" w:ascii="Times New Roman" w:hAnsi="Times New Roman" w:eastAsia="宋体" w:cs="Times New Roman"/>
                      <w:kern w:val="44"/>
                      <w:sz w:val="21"/>
                      <w:szCs w:val="22"/>
                      <w:lang w:val="en-US" w:eastAsia="zh-CN" w:bidi="ar-SA"/>
                    </w:rPr>
                  </w:pPr>
                  <w:r>
                    <w:t>9</w:t>
                  </w:r>
                  <w:r>
                    <w:rPr>
                      <w:rFonts w:hint="eastAsia"/>
                      <w:lang w:val="en-US" w:eastAsia="zh-CN"/>
                    </w:rPr>
                    <w:t>8</w:t>
                  </w:r>
                  <w:r>
                    <w:t>百分位数</w:t>
                  </w:r>
                  <w:r>
                    <w:rPr>
                      <w:rFonts w:hint="eastAsia"/>
                      <w:lang w:val="en-US" w:eastAsia="zh-CN"/>
                    </w:rPr>
                    <w:t>日平均</w:t>
                  </w:r>
                </w:p>
              </w:tc>
              <w:tc>
                <w:tcPr>
                  <w:tcW w:w="710" w:type="pct"/>
                  <w:noWrap w:val="0"/>
                  <w:vAlign w:val="center"/>
                </w:tcPr>
                <w:p>
                  <w:pPr>
                    <w:pStyle w:val="11"/>
                    <w:bidi w:val="0"/>
                    <w:ind w:firstLine="0" w:firstLineChars="0"/>
                    <w:rPr>
                      <w:rFonts w:ascii="Times New Roman" w:hAnsi="Times New Roman" w:eastAsia="宋体" w:cs="Times New Roman"/>
                      <w:kern w:val="44"/>
                      <w:sz w:val="21"/>
                      <w:szCs w:val="22"/>
                      <w:lang w:val="en-US" w:eastAsia="zh-CN" w:bidi="ar-SA"/>
                    </w:rPr>
                  </w:pPr>
                  <w:r>
                    <w:t>24</w:t>
                  </w:r>
                </w:p>
              </w:tc>
              <w:tc>
                <w:tcPr>
                  <w:tcW w:w="710" w:type="pct"/>
                  <w:noWrap w:val="0"/>
                  <w:vAlign w:val="center"/>
                </w:tcPr>
                <w:p>
                  <w:pPr>
                    <w:pStyle w:val="11"/>
                    <w:bidi w:val="0"/>
                    <w:ind w:firstLine="0" w:firstLineChars="0"/>
                    <w:rPr>
                      <w:rFonts w:ascii="Times New Roman" w:hAnsi="Times New Roman" w:eastAsia="宋体" w:cs="Times New Roman"/>
                      <w:kern w:val="44"/>
                      <w:sz w:val="21"/>
                      <w:szCs w:val="22"/>
                      <w:lang w:val="en-US" w:eastAsia="zh-CN" w:bidi="ar-SA"/>
                    </w:rPr>
                  </w:pPr>
                  <w:r>
                    <w:t>150</w:t>
                  </w:r>
                </w:p>
              </w:tc>
              <w:tc>
                <w:tcPr>
                  <w:tcW w:w="710" w:type="pct"/>
                  <w:noWrap w:val="0"/>
                  <w:vAlign w:val="center"/>
                </w:tcPr>
                <w:p>
                  <w:pPr>
                    <w:pStyle w:val="11"/>
                    <w:bidi w:val="0"/>
                    <w:ind w:firstLine="0" w:firstLineChars="0"/>
                    <w:rPr>
                      <w:rFonts w:ascii="Times New Roman" w:hAnsi="Times New Roman" w:eastAsia="宋体" w:cs="Times New Roman"/>
                      <w:kern w:val="44"/>
                      <w:sz w:val="21"/>
                      <w:szCs w:val="22"/>
                      <w:lang w:val="en-US" w:eastAsia="zh-CN" w:bidi="ar-SA"/>
                    </w:rPr>
                  </w:pPr>
                  <w:r>
                    <w:t>16</w:t>
                  </w:r>
                </w:p>
              </w:tc>
              <w:tc>
                <w:tcPr>
                  <w:tcW w:w="711" w:type="pct"/>
                  <w:noWrap w:val="0"/>
                  <w:vAlign w:val="center"/>
                </w:tcPr>
                <w:p>
                  <w:pPr>
                    <w:pStyle w:val="11"/>
                    <w:bidi w:val="0"/>
                    <w:ind w:firstLine="0" w:firstLineChars="0"/>
                    <w:rPr>
                      <w:rFonts w:ascii="Times New Roman" w:hAnsi="Times New Roman" w:eastAsia="宋体" w:cs="Times New Roman"/>
                      <w:kern w:val="44"/>
                      <w:sz w:val="21"/>
                      <w:szCs w:val="22"/>
                      <w:lang w:val="en-US" w:eastAsia="zh-CN" w:bidi="ar-SA"/>
                    </w:rPr>
                  </w:pPr>
                  <w: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91" w:type="pct"/>
                  <w:vMerge w:val="restart"/>
                  <w:noWrap w:val="0"/>
                  <w:vAlign w:val="center"/>
                </w:tcPr>
                <w:p>
                  <w:pPr>
                    <w:pStyle w:val="11"/>
                    <w:bidi w:val="0"/>
                  </w:pPr>
                  <w:r>
                    <w:t>NO</w:t>
                  </w:r>
                  <w:r>
                    <w:rPr>
                      <w:vertAlign w:val="subscript"/>
                    </w:rPr>
                    <w:t>2</w:t>
                  </w:r>
                </w:p>
              </w:tc>
              <w:tc>
                <w:tcPr>
                  <w:tcW w:w="1565" w:type="pct"/>
                  <w:noWrap w:val="0"/>
                  <w:vAlign w:val="center"/>
                </w:tcPr>
                <w:p>
                  <w:pPr>
                    <w:pStyle w:val="11"/>
                    <w:bidi w:val="0"/>
                    <w:ind w:firstLine="0" w:firstLineChars="0"/>
                    <w:rPr>
                      <w:rFonts w:ascii="Times New Roman" w:hAnsi="Times New Roman" w:eastAsia="宋体" w:cs="Times New Roman"/>
                      <w:kern w:val="44"/>
                      <w:sz w:val="21"/>
                      <w:szCs w:val="22"/>
                      <w:lang w:val="en-US" w:eastAsia="zh-CN" w:bidi="ar-SA"/>
                    </w:rPr>
                  </w:pPr>
                  <w:r>
                    <w:rPr>
                      <w:rFonts w:hint="eastAsia"/>
                    </w:rPr>
                    <w:t>年平均质量浓度</w:t>
                  </w:r>
                </w:p>
              </w:tc>
              <w:tc>
                <w:tcPr>
                  <w:tcW w:w="710" w:type="pct"/>
                  <w:noWrap w:val="0"/>
                  <w:vAlign w:val="center"/>
                </w:tcPr>
                <w:p>
                  <w:pPr>
                    <w:pStyle w:val="11"/>
                    <w:bidi w:val="0"/>
                    <w:ind w:firstLine="0" w:firstLineChars="0"/>
                    <w:rPr>
                      <w:rFonts w:ascii="Times New Roman" w:hAnsi="Times New Roman" w:eastAsia="宋体" w:cs="Times New Roman"/>
                      <w:kern w:val="44"/>
                      <w:sz w:val="21"/>
                      <w:szCs w:val="22"/>
                      <w:lang w:val="en-US" w:eastAsia="zh-CN" w:bidi="ar-SA"/>
                    </w:rPr>
                  </w:pPr>
                  <w:r>
                    <w:t>30</w:t>
                  </w:r>
                </w:p>
              </w:tc>
              <w:tc>
                <w:tcPr>
                  <w:tcW w:w="710" w:type="pct"/>
                  <w:noWrap w:val="0"/>
                  <w:vAlign w:val="center"/>
                </w:tcPr>
                <w:p>
                  <w:pPr>
                    <w:pStyle w:val="11"/>
                    <w:bidi w:val="0"/>
                    <w:ind w:firstLine="0" w:firstLineChars="0"/>
                    <w:rPr>
                      <w:rFonts w:ascii="Times New Roman" w:hAnsi="Times New Roman" w:eastAsia="宋体" w:cs="Times New Roman"/>
                      <w:kern w:val="44"/>
                      <w:sz w:val="21"/>
                      <w:szCs w:val="22"/>
                      <w:lang w:val="en-US" w:eastAsia="zh-CN" w:bidi="ar-SA"/>
                    </w:rPr>
                  </w:pPr>
                  <w:r>
                    <w:t>40</w:t>
                  </w:r>
                </w:p>
              </w:tc>
              <w:tc>
                <w:tcPr>
                  <w:tcW w:w="710" w:type="pct"/>
                  <w:noWrap w:val="0"/>
                  <w:vAlign w:val="center"/>
                </w:tcPr>
                <w:p>
                  <w:pPr>
                    <w:pStyle w:val="11"/>
                    <w:bidi w:val="0"/>
                    <w:ind w:firstLine="0" w:firstLineChars="0"/>
                    <w:rPr>
                      <w:rFonts w:ascii="Times New Roman" w:hAnsi="Times New Roman" w:eastAsia="宋体" w:cs="Times New Roman"/>
                      <w:kern w:val="44"/>
                      <w:sz w:val="21"/>
                      <w:szCs w:val="22"/>
                      <w:lang w:val="en-US" w:eastAsia="zh-CN" w:bidi="ar-SA"/>
                    </w:rPr>
                  </w:pPr>
                  <w:r>
                    <w:t>75</w:t>
                  </w:r>
                </w:p>
              </w:tc>
              <w:tc>
                <w:tcPr>
                  <w:tcW w:w="711" w:type="pct"/>
                  <w:noWrap w:val="0"/>
                  <w:vAlign w:val="center"/>
                </w:tcPr>
                <w:p>
                  <w:pPr>
                    <w:pStyle w:val="11"/>
                    <w:bidi w:val="0"/>
                    <w:ind w:firstLine="0" w:firstLineChars="0"/>
                    <w:rPr>
                      <w:rFonts w:ascii="Times New Roman" w:hAnsi="Times New Roman" w:eastAsia="宋体" w:cs="Times New Roman"/>
                      <w:kern w:val="44"/>
                      <w:sz w:val="21"/>
                      <w:szCs w:val="22"/>
                      <w:lang w:val="en-US" w:eastAsia="zh-CN" w:bidi="ar-SA"/>
                    </w:rPr>
                  </w:pPr>
                  <w: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91" w:type="pct"/>
                  <w:vMerge w:val="continue"/>
                  <w:noWrap w:val="0"/>
                  <w:vAlign w:val="center"/>
                </w:tcPr>
                <w:p>
                  <w:pPr>
                    <w:pStyle w:val="11"/>
                    <w:bidi w:val="0"/>
                  </w:pPr>
                </w:p>
              </w:tc>
              <w:tc>
                <w:tcPr>
                  <w:tcW w:w="1565" w:type="pct"/>
                  <w:noWrap w:val="0"/>
                  <w:vAlign w:val="center"/>
                </w:tcPr>
                <w:p>
                  <w:pPr>
                    <w:pStyle w:val="11"/>
                    <w:bidi w:val="0"/>
                    <w:ind w:firstLine="0" w:firstLineChars="0"/>
                    <w:rPr>
                      <w:rFonts w:hint="eastAsia" w:ascii="Times New Roman" w:hAnsi="Times New Roman" w:eastAsia="宋体" w:cs="Times New Roman"/>
                      <w:kern w:val="44"/>
                      <w:sz w:val="21"/>
                      <w:szCs w:val="22"/>
                      <w:lang w:val="en-US" w:eastAsia="zh-CN" w:bidi="ar-SA"/>
                    </w:rPr>
                  </w:pPr>
                  <w:r>
                    <w:t>9</w:t>
                  </w:r>
                  <w:r>
                    <w:rPr>
                      <w:rFonts w:hint="eastAsia"/>
                      <w:lang w:val="en-US" w:eastAsia="zh-CN"/>
                    </w:rPr>
                    <w:t>8</w:t>
                  </w:r>
                  <w:r>
                    <w:t>百分位数</w:t>
                  </w:r>
                  <w:r>
                    <w:rPr>
                      <w:rFonts w:hint="eastAsia"/>
                      <w:lang w:val="en-US" w:eastAsia="zh-CN"/>
                    </w:rPr>
                    <w:t>日平均</w:t>
                  </w:r>
                </w:p>
              </w:tc>
              <w:tc>
                <w:tcPr>
                  <w:tcW w:w="710" w:type="pct"/>
                  <w:noWrap w:val="0"/>
                  <w:vAlign w:val="center"/>
                </w:tcPr>
                <w:p>
                  <w:pPr>
                    <w:pStyle w:val="11"/>
                    <w:bidi w:val="0"/>
                    <w:ind w:firstLine="0" w:firstLineChars="0"/>
                    <w:rPr>
                      <w:rFonts w:ascii="Times New Roman" w:hAnsi="Times New Roman" w:eastAsia="宋体" w:cs="Times New Roman"/>
                      <w:kern w:val="44"/>
                      <w:sz w:val="21"/>
                      <w:szCs w:val="22"/>
                      <w:lang w:val="en-US" w:eastAsia="zh-CN" w:bidi="ar-SA"/>
                    </w:rPr>
                  </w:pPr>
                  <w:r>
                    <w:t>58</w:t>
                  </w:r>
                </w:p>
              </w:tc>
              <w:tc>
                <w:tcPr>
                  <w:tcW w:w="710" w:type="pct"/>
                  <w:noWrap w:val="0"/>
                  <w:vAlign w:val="center"/>
                </w:tcPr>
                <w:p>
                  <w:pPr>
                    <w:pStyle w:val="11"/>
                    <w:bidi w:val="0"/>
                    <w:ind w:firstLine="0" w:firstLineChars="0"/>
                    <w:rPr>
                      <w:rFonts w:ascii="Times New Roman" w:hAnsi="Times New Roman" w:eastAsia="宋体" w:cs="Times New Roman"/>
                      <w:kern w:val="44"/>
                      <w:sz w:val="21"/>
                      <w:szCs w:val="22"/>
                      <w:lang w:val="en-US" w:eastAsia="zh-CN" w:bidi="ar-SA"/>
                    </w:rPr>
                  </w:pPr>
                  <w:r>
                    <w:t>80</w:t>
                  </w:r>
                </w:p>
              </w:tc>
              <w:tc>
                <w:tcPr>
                  <w:tcW w:w="710" w:type="pct"/>
                  <w:noWrap w:val="0"/>
                  <w:vAlign w:val="center"/>
                </w:tcPr>
                <w:p>
                  <w:pPr>
                    <w:pStyle w:val="11"/>
                    <w:bidi w:val="0"/>
                    <w:ind w:firstLine="0" w:firstLineChars="0"/>
                    <w:rPr>
                      <w:rFonts w:ascii="Times New Roman" w:hAnsi="Times New Roman" w:eastAsia="宋体" w:cs="Times New Roman"/>
                      <w:kern w:val="44"/>
                      <w:sz w:val="21"/>
                      <w:szCs w:val="22"/>
                      <w:lang w:val="en-US" w:eastAsia="zh-CN" w:bidi="ar-SA"/>
                    </w:rPr>
                  </w:pPr>
                  <w:r>
                    <w:t>72.5</w:t>
                  </w:r>
                </w:p>
              </w:tc>
              <w:tc>
                <w:tcPr>
                  <w:tcW w:w="711" w:type="pct"/>
                  <w:noWrap w:val="0"/>
                  <w:vAlign w:val="center"/>
                </w:tcPr>
                <w:p>
                  <w:pPr>
                    <w:pStyle w:val="11"/>
                    <w:bidi w:val="0"/>
                    <w:ind w:firstLine="0" w:firstLineChars="0"/>
                    <w:rPr>
                      <w:rFonts w:ascii="Times New Roman" w:hAnsi="Times New Roman" w:eastAsia="宋体" w:cs="Times New Roman"/>
                      <w:kern w:val="44"/>
                      <w:sz w:val="21"/>
                      <w:szCs w:val="22"/>
                      <w:lang w:val="en-US" w:eastAsia="zh-CN" w:bidi="ar-SA"/>
                    </w:rPr>
                  </w:pPr>
                  <w: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91" w:type="pct"/>
                  <w:noWrap w:val="0"/>
                  <w:vAlign w:val="center"/>
                </w:tcPr>
                <w:p>
                  <w:pPr>
                    <w:pStyle w:val="11"/>
                    <w:bidi w:val="0"/>
                  </w:pPr>
                  <w:r>
                    <w:t>CO</w:t>
                  </w:r>
                </w:p>
              </w:tc>
              <w:tc>
                <w:tcPr>
                  <w:tcW w:w="1565" w:type="pct"/>
                  <w:noWrap w:val="0"/>
                  <w:vAlign w:val="center"/>
                </w:tcPr>
                <w:p>
                  <w:pPr>
                    <w:pStyle w:val="11"/>
                    <w:bidi w:val="0"/>
                  </w:pPr>
                  <w:r>
                    <w:t>95百分位数</w:t>
                  </w:r>
                  <w:r>
                    <w:rPr>
                      <w:rFonts w:hint="eastAsia"/>
                      <w:lang w:val="en-US" w:eastAsia="zh-CN"/>
                    </w:rPr>
                    <w:t>日平均</w:t>
                  </w:r>
                </w:p>
              </w:tc>
              <w:tc>
                <w:tcPr>
                  <w:tcW w:w="710" w:type="pct"/>
                  <w:noWrap w:val="0"/>
                  <w:vAlign w:val="center"/>
                </w:tcPr>
                <w:p>
                  <w:pPr>
                    <w:pStyle w:val="11"/>
                    <w:bidi w:val="0"/>
                  </w:pPr>
                  <w:r>
                    <w:t>1.5</w:t>
                  </w:r>
                </w:p>
              </w:tc>
              <w:tc>
                <w:tcPr>
                  <w:tcW w:w="710" w:type="pct"/>
                  <w:noWrap w:val="0"/>
                  <w:vAlign w:val="center"/>
                </w:tcPr>
                <w:p>
                  <w:pPr>
                    <w:pStyle w:val="11"/>
                    <w:bidi w:val="0"/>
                  </w:pPr>
                  <w:r>
                    <w:t>4</w:t>
                  </w:r>
                </w:p>
              </w:tc>
              <w:tc>
                <w:tcPr>
                  <w:tcW w:w="710" w:type="pct"/>
                  <w:noWrap w:val="0"/>
                  <w:vAlign w:val="center"/>
                </w:tcPr>
                <w:p>
                  <w:pPr>
                    <w:pStyle w:val="11"/>
                    <w:bidi w:val="0"/>
                  </w:pPr>
                  <w:r>
                    <w:t>37.5</w:t>
                  </w:r>
                </w:p>
              </w:tc>
              <w:tc>
                <w:tcPr>
                  <w:tcW w:w="711" w:type="pct"/>
                  <w:noWrap w:val="0"/>
                  <w:vAlign w:val="center"/>
                </w:tcPr>
                <w:p>
                  <w:pPr>
                    <w:pStyle w:val="11"/>
                    <w:bidi w:val="0"/>
                  </w:pPr>
                  <w: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91" w:type="pct"/>
                  <w:noWrap w:val="0"/>
                  <w:vAlign w:val="center"/>
                </w:tcPr>
                <w:p>
                  <w:pPr>
                    <w:pStyle w:val="11"/>
                    <w:bidi w:val="0"/>
                  </w:pPr>
                  <w:r>
                    <w:t>O</w:t>
                  </w:r>
                  <w:r>
                    <w:rPr>
                      <w:vertAlign w:val="subscript"/>
                    </w:rPr>
                    <w:t>3</w:t>
                  </w:r>
                </w:p>
              </w:tc>
              <w:tc>
                <w:tcPr>
                  <w:tcW w:w="1565" w:type="pct"/>
                  <w:noWrap w:val="0"/>
                  <w:vAlign w:val="center"/>
                </w:tcPr>
                <w:p>
                  <w:pPr>
                    <w:pStyle w:val="11"/>
                    <w:bidi w:val="0"/>
                    <w:rPr>
                      <w:rFonts w:hint="eastAsia" w:eastAsia="宋体"/>
                      <w:lang w:val="en-US" w:eastAsia="zh-CN"/>
                    </w:rPr>
                  </w:pPr>
                  <w:r>
                    <w:t>90百分位数</w:t>
                  </w:r>
                  <w:r>
                    <w:rPr>
                      <w:rFonts w:hint="eastAsia"/>
                      <w:lang w:val="en-US" w:eastAsia="zh-CN"/>
                    </w:rPr>
                    <w:t>日平均（8h）</w:t>
                  </w:r>
                </w:p>
              </w:tc>
              <w:tc>
                <w:tcPr>
                  <w:tcW w:w="710" w:type="pct"/>
                  <w:noWrap w:val="0"/>
                  <w:vAlign w:val="center"/>
                </w:tcPr>
                <w:p>
                  <w:pPr>
                    <w:pStyle w:val="11"/>
                    <w:bidi w:val="0"/>
                  </w:pPr>
                  <w:r>
                    <w:t>158</w:t>
                  </w:r>
                </w:p>
              </w:tc>
              <w:tc>
                <w:tcPr>
                  <w:tcW w:w="710" w:type="pct"/>
                  <w:noWrap w:val="0"/>
                  <w:vAlign w:val="center"/>
                </w:tcPr>
                <w:p>
                  <w:pPr>
                    <w:pStyle w:val="11"/>
                    <w:bidi w:val="0"/>
                  </w:pPr>
                  <w:r>
                    <w:t>160</w:t>
                  </w:r>
                </w:p>
              </w:tc>
              <w:tc>
                <w:tcPr>
                  <w:tcW w:w="710" w:type="pct"/>
                  <w:noWrap w:val="0"/>
                  <w:vAlign w:val="center"/>
                </w:tcPr>
                <w:p>
                  <w:pPr>
                    <w:pStyle w:val="11"/>
                    <w:bidi w:val="0"/>
                  </w:pPr>
                  <w:r>
                    <w:t>98.75</w:t>
                  </w:r>
                </w:p>
              </w:tc>
              <w:tc>
                <w:tcPr>
                  <w:tcW w:w="711" w:type="pct"/>
                  <w:noWrap w:val="0"/>
                  <w:vAlign w:val="center"/>
                </w:tcPr>
                <w:p>
                  <w:pPr>
                    <w:pStyle w:val="11"/>
                    <w:bidi w:val="0"/>
                  </w:pPr>
                  <w:r>
                    <w:t>达标</w:t>
                  </w:r>
                </w:p>
              </w:tc>
            </w:tr>
          </w:tbl>
          <w:p>
            <w:pPr>
              <w:spacing w:line="360" w:lineRule="auto"/>
              <w:ind w:firstLine="480" w:firstLineChars="200"/>
              <w:rPr>
                <w:bCs/>
                <w:sz w:val="24"/>
                <w:szCs w:val="22"/>
              </w:rPr>
            </w:pPr>
            <w:r>
              <w:rPr>
                <w:sz w:val="24"/>
                <w:szCs w:val="22"/>
              </w:rPr>
              <w:t>由表3-1可知，</w:t>
            </w:r>
            <w:r>
              <w:rPr>
                <w:bCs/>
                <w:sz w:val="24"/>
                <w:szCs w:val="22"/>
              </w:rPr>
              <w:t>许昌市2020年SO</w:t>
            </w:r>
            <w:r>
              <w:rPr>
                <w:bCs/>
                <w:sz w:val="24"/>
                <w:szCs w:val="22"/>
                <w:vertAlign w:val="subscript"/>
              </w:rPr>
              <w:t>2</w:t>
            </w:r>
            <w:r>
              <w:rPr>
                <w:bCs/>
                <w:sz w:val="24"/>
                <w:szCs w:val="22"/>
              </w:rPr>
              <w:t>、NO</w:t>
            </w:r>
            <w:r>
              <w:rPr>
                <w:bCs/>
                <w:sz w:val="24"/>
                <w:szCs w:val="22"/>
                <w:vertAlign w:val="subscript"/>
              </w:rPr>
              <w:t>2</w:t>
            </w:r>
            <w:r>
              <w:rPr>
                <w:bCs/>
                <w:sz w:val="24"/>
                <w:szCs w:val="22"/>
              </w:rPr>
              <w:t>、CO、O</w:t>
            </w:r>
            <w:r>
              <w:rPr>
                <w:bCs/>
                <w:sz w:val="24"/>
                <w:szCs w:val="22"/>
                <w:vertAlign w:val="subscript"/>
              </w:rPr>
              <w:t>3</w:t>
            </w:r>
            <w:r>
              <w:rPr>
                <w:rFonts w:hint="eastAsia"/>
                <w:bCs/>
                <w:sz w:val="24"/>
                <w:szCs w:val="22"/>
                <w:lang w:val="en-US" w:eastAsia="zh-CN"/>
              </w:rPr>
              <w:t>环境质量浓度均</w:t>
            </w:r>
            <w:r>
              <w:rPr>
                <w:bCs/>
                <w:sz w:val="24"/>
                <w:szCs w:val="22"/>
              </w:rPr>
              <w:t>可满足《环境空气质量标准》（GB3095-2012）二级标准要求；PM</w:t>
            </w:r>
            <w:r>
              <w:rPr>
                <w:bCs/>
                <w:sz w:val="24"/>
                <w:szCs w:val="22"/>
                <w:vertAlign w:val="subscript"/>
              </w:rPr>
              <w:t>2.5</w:t>
            </w:r>
            <w:r>
              <w:rPr>
                <w:bCs/>
                <w:sz w:val="24"/>
                <w:szCs w:val="22"/>
              </w:rPr>
              <w:t>、PM</w:t>
            </w:r>
            <w:r>
              <w:rPr>
                <w:bCs/>
                <w:sz w:val="24"/>
                <w:szCs w:val="22"/>
                <w:vertAlign w:val="subscript"/>
              </w:rPr>
              <w:t>10</w:t>
            </w:r>
            <w:r>
              <w:rPr>
                <w:rFonts w:hint="eastAsia"/>
                <w:bCs/>
                <w:sz w:val="24"/>
                <w:szCs w:val="22"/>
                <w:lang w:val="en-US" w:eastAsia="zh-CN"/>
              </w:rPr>
              <w:t>环境质量浓度</w:t>
            </w:r>
            <w:r>
              <w:rPr>
                <w:bCs/>
                <w:sz w:val="24"/>
                <w:szCs w:val="22"/>
              </w:rPr>
              <w:t>不满足《环境空气质量标准》（GB3095-2012）二级标准要求</w:t>
            </w:r>
            <w:r>
              <w:rPr>
                <w:rFonts w:hint="eastAsia"/>
                <w:bCs/>
                <w:sz w:val="24"/>
                <w:szCs w:val="22"/>
                <w:lang w:eastAsia="zh-CN"/>
              </w:rPr>
              <w:t>。</w:t>
            </w:r>
            <w:r>
              <w:rPr>
                <w:bCs/>
                <w:sz w:val="24"/>
                <w:szCs w:val="22"/>
              </w:rPr>
              <w:t>根据《环境影响评价技术导则 大气环境》（HJ2.2-2018）区域达标判定要求，项目所在区域为不达标区，超标因子有PM</w:t>
            </w:r>
            <w:r>
              <w:rPr>
                <w:bCs/>
                <w:sz w:val="24"/>
                <w:szCs w:val="22"/>
                <w:vertAlign w:val="subscript"/>
              </w:rPr>
              <w:t>10</w:t>
            </w:r>
            <w:r>
              <w:rPr>
                <w:bCs/>
                <w:sz w:val="24"/>
                <w:szCs w:val="22"/>
              </w:rPr>
              <w:t>、PM</w:t>
            </w:r>
            <w:r>
              <w:rPr>
                <w:bCs/>
                <w:sz w:val="24"/>
                <w:szCs w:val="22"/>
                <w:vertAlign w:val="subscript"/>
              </w:rPr>
              <w:t>2.5</w:t>
            </w:r>
            <w:r>
              <w:rPr>
                <w:bCs/>
                <w:sz w:val="24"/>
                <w:szCs w:val="22"/>
              </w:rPr>
              <w:t>。</w:t>
            </w:r>
          </w:p>
          <w:p>
            <w:pPr>
              <w:spacing w:line="360" w:lineRule="auto"/>
              <w:ind w:firstLine="480" w:firstLineChars="200"/>
              <w:rPr>
                <w:sz w:val="24"/>
              </w:rPr>
            </w:pPr>
            <w:r>
              <w:rPr>
                <w:rFonts w:hint="eastAsia"/>
                <w:sz w:val="24"/>
                <w:lang w:val="en-US" w:eastAsia="zh-CN"/>
              </w:rPr>
              <w:t>根据工程的产物状况，</w:t>
            </w:r>
            <w:r>
              <w:rPr>
                <w:rFonts w:hint="eastAsia"/>
                <w:sz w:val="24"/>
              </w:rPr>
              <w:t>环境空气质量现状</w:t>
            </w:r>
            <w:r>
              <w:rPr>
                <w:rFonts w:hint="eastAsia"/>
                <w:sz w:val="24"/>
                <w:lang w:val="en-US" w:eastAsia="zh-CN"/>
              </w:rPr>
              <w:t>特征</w:t>
            </w:r>
            <w:r>
              <w:rPr>
                <w:rFonts w:hint="eastAsia"/>
                <w:sz w:val="24"/>
              </w:rPr>
              <w:t>污染物</w:t>
            </w:r>
            <w:r>
              <w:rPr>
                <w:rFonts w:hint="eastAsia"/>
                <w:sz w:val="24"/>
                <w:lang w:val="en-US" w:eastAsia="zh-CN"/>
              </w:rPr>
              <w:t>确定为非甲烷总烃、硫化氢。</w:t>
            </w:r>
            <w:r>
              <w:rPr>
                <w:sz w:val="24"/>
              </w:rPr>
              <w:t>根据《建设项目环境影响报告表编制技术指南（试行）》（污染影响型）</w:t>
            </w:r>
            <w:r>
              <w:rPr>
                <w:rFonts w:hint="eastAsia"/>
                <w:sz w:val="24"/>
                <w:lang w:val="en-US" w:eastAsia="zh-CN"/>
              </w:rPr>
              <w:t>要求</w:t>
            </w:r>
            <w:r>
              <w:rPr>
                <w:sz w:val="24"/>
              </w:rPr>
              <w:t>，</w:t>
            </w:r>
            <w:r>
              <w:rPr>
                <w:rFonts w:hint="eastAsia"/>
                <w:sz w:val="24"/>
                <w:lang w:val="en-US" w:eastAsia="zh-CN"/>
              </w:rPr>
              <w:t>本次特征污染物现状监测在项目区域下风向和项目北侧30m处的大罗庄村各设置一个监测点位，补充不少于3天的监测数据。</w:t>
            </w:r>
            <w:r>
              <w:rPr>
                <w:sz w:val="24"/>
              </w:rPr>
              <w:t>环境空气质量监测时间</w:t>
            </w:r>
            <w:r>
              <w:rPr>
                <w:color w:val="auto"/>
                <w:sz w:val="24"/>
              </w:rPr>
              <w:t>为2021年</w:t>
            </w:r>
            <w:r>
              <w:rPr>
                <w:rFonts w:hint="eastAsia"/>
                <w:color w:val="auto"/>
                <w:sz w:val="24"/>
                <w:lang w:val="en-US" w:eastAsia="zh-CN"/>
              </w:rPr>
              <w:t>08</w:t>
            </w:r>
            <w:r>
              <w:rPr>
                <w:color w:val="auto"/>
                <w:sz w:val="24"/>
              </w:rPr>
              <w:t>月</w:t>
            </w:r>
            <w:r>
              <w:rPr>
                <w:rFonts w:hint="eastAsia"/>
                <w:color w:val="auto"/>
                <w:sz w:val="24"/>
                <w:lang w:val="en-US" w:eastAsia="zh-CN"/>
              </w:rPr>
              <w:t>0</w:t>
            </w:r>
            <w:r>
              <w:rPr>
                <w:color w:val="auto"/>
                <w:sz w:val="24"/>
              </w:rPr>
              <w:t>1</w:t>
            </w:r>
            <w:r>
              <w:rPr>
                <w:rFonts w:hint="eastAsia"/>
                <w:color w:val="auto"/>
                <w:sz w:val="24"/>
              </w:rPr>
              <w:t>至</w:t>
            </w:r>
            <w:r>
              <w:rPr>
                <w:color w:val="auto"/>
                <w:sz w:val="24"/>
              </w:rPr>
              <w:t>2021年</w:t>
            </w:r>
            <w:r>
              <w:rPr>
                <w:rFonts w:hint="eastAsia"/>
                <w:color w:val="auto"/>
                <w:sz w:val="24"/>
                <w:lang w:val="en-US" w:eastAsia="zh-CN"/>
              </w:rPr>
              <w:t>08</w:t>
            </w:r>
            <w:r>
              <w:rPr>
                <w:color w:val="auto"/>
                <w:sz w:val="24"/>
              </w:rPr>
              <w:t>月</w:t>
            </w:r>
            <w:r>
              <w:rPr>
                <w:rFonts w:hint="eastAsia"/>
                <w:color w:val="auto"/>
                <w:sz w:val="24"/>
                <w:lang w:val="en-US" w:eastAsia="zh-CN"/>
              </w:rPr>
              <w:t>03</w:t>
            </w:r>
            <w:r>
              <w:rPr>
                <w:color w:val="auto"/>
                <w:sz w:val="24"/>
              </w:rPr>
              <w:t>日，监测单位为河南宜信检测技术有限公司。</w:t>
            </w:r>
            <w:r>
              <w:rPr>
                <w:rFonts w:hint="eastAsia"/>
                <w:color w:val="auto"/>
                <w:sz w:val="24"/>
              </w:rPr>
              <w:t>监测数据</w:t>
            </w:r>
            <w:r>
              <w:rPr>
                <w:rFonts w:hint="eastAsia"/>
                <w:sz w:val="24"/>
              </w:rPr>
              <w:t>见表3</w:t>
            </w:r>
            <w:r>
              <w:rPr>
                <w:sz w:val="24"/>
              </w:rPr>
              <w:t>-2</w:t>
            </w:r>
            <w:r>
              <w:rPr>
                <w:rFonts w:hint="eastAsia"/>
                <w:sz w:val="24"/>
              </w:rPr>
              <w:t>。</w:t>
            </w:r>
          </w:p>
          <w:p>
            <w:pPr>
              <w:pStyle w:val="12"/>
              <w:widowControl w:val="0"/>
              <w:bidi w:val="0"/>
            </w:pPr>
            <w:r>
              <w:t xml:space="preserve">表3-2 </w:t>
            </w:r>
            <w:r>
              <w:rPr>
                <w:rFonts w:hint="eastAsia"/>
                <w:lang w:val="en-US" w:eastAsia="zh-CN"/>
              </w:rPr>
              <w:t xml:space="preserve"> </w:t>
            </w:r>
            <w:r>
              <w:t xml:space="preserve"> 大气环境质量现状监测数据一览表</w:t>
            </w:r>
          </w:p>
          <w:tbl>
            <w:tblPr>
              <w:tblStyle w:val="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1649"/>
              <w:gridCol w:w="2114"/>
              <w:gridCol w:w="1487"/>
              <w:gridCol w:w="13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shd w:val="clear" w:color="auto" w:fill="auto"/>
                  <w:noWrap w:val="0"/>
                  <w:vAlign w:val="center"/>
                </w:tcPr>
                <w:p>
                  <w:pPr>
                    <w:pStyle w:val="11"/>
                    <w:bidi w:val="0"/>
                  </w:pPr>
                  <w:r>
                    <w:t>监测点位</w:t>
                  </w:r>
                </w:p>
              </w:tc>
              <w:tc>
                <w:tcPr>
                  <w:tcW w:w="996" w:type="pct"/>
                  <w:shd w:val="clear" w:color="auto" w:fill="auto"/>
                  <w:noWrap w:val="0"/>
                  <w:vAlign w:val="center"/>
                </w:tcPr>
                <w:p>
                  <w:pPr>
                    <w:pStyle w:val="11"/>
                    <w:bidi w:val="0"/>
                  </w:pPr>
                  <w:r>
                    <w:t>监测因子</w:t>
                  </w:r>
                </w:p>
              </w:tc>
              <w:tc>
                <w:tcPr>
                  <w:tcW w:w="1277" w:type="pct"/>
                  <w:shd w:val="clear" w:color="auto" w:fill="auto"/>
                  <w:noWrap w:val="0"/>
                  <w:vAlign w:val="center"/>
                </w:tcPr>
                <w:p>
                  <w:pPr>
                    <w:pStyle w:val="11"/>
                    <w:bidi w:val="0"/>
                  </w:pPr>
                  <w:r>
                    <w:t>监测浓度范围</w:t>
                  </w:r>
                </w:p>
              </w:tc>
              <w:tc>
                <w:tcPr>
                  <w:tcW w:w="898" w:type="pct"/>
                  <w:shd w:val="clear" w:color="auto" w:fill="auto"/>
                  <w:noWrap w:val="0"/>
                  <w:vAlign w:val="center"/>
                </w:tcPr>
                <w:p>
                  <w:pPr>
                    <w:pStyle w:val="11"/>
                    <w:bidi w:val="0"/>
                  </w:pPr>
                  <w:r>
                    <w:t>标准值</w:t>
                  </w:r>
                </w:p>
              </w:tc>
              <w:tc>
                <w:tcPr>
                  <w:tcW w:w="830" w:type="pct"/>
                  <w:shd w:val="clear" w:color="auto" w:fill="auto"/>
                  <w:noWrap w:val="0"/>
                  <w:vAlign w:val="center"/>
                </w:tcPr>
                <w:p>
                  <w:pPr>
                    <w:pStyle w:val="11"/>
                    <w:bidi w:val="0"/>
                    <w:rPr>
                      <w:rFonts w:hint="eastAsia" w:eastAsia="宋体"/>
                      <w:lang w:val="en-US" w:eastAsia="zh-CN"/>
                    </w:rPr>
                  </w:pPr>
                  <w:r>
                    <w:rPr>
                      <w:rFonts w:hint="eastAsia"/>
                      <w:lang w:val="en-US" w:eastAsia="zh-CN"/>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6" w:type="pct"/>
                  <w:vMerge w:val="restart"/>
                  <w:shd w:val="clear" w:color="auto" w:fill="auto"/>
                  <w:noWrap w:val="0"/>
                  <w:vAlign w:val="center"/>
                </w:tcPr>
                <w:p>
                  <w:pPr>
                    <w:pStyle w:val="11"/>
                    <w:bidi w:val="0"/>
                    <w:rPr>
                      <w:rFonts w:hint="default" w:eastAsia="宋体"/>
                      <w:color w:val="auto"/>
                      <w:lang w:val="en-US" w:eastAsia="zh-CN"/>
                    </w:rPr>
                  </w:pPr>
                  <w:r>
                    <w:rPr>
                      <w:rFonts w:hint="eastAsia"/>
                      <w:color w:val="auto"/>
                      <w:lang w:val="en-US" w:eastAsia="zh-CN"/>
                    </w:rPr>
                    <w:t>厂区下风向</w:t>
                  </w:r>
                </w:p>
              </w:tc>
              <w:tc>
                <w:tcPr>
                  <w:tcW w:w="996" w:type="pct"/>
                  <w:shd w:val="clear" w:color="auto" w:fill="auto"/>
                  <w:noWrap w:val="0"/>
                  <w:vAlign w:val="center"/>
                </w:tcPr>
                <w:p>
                  <w:pPr>
                    <w:pStyle w:val="11"/>
                    <w:bidi w:val="0"/>
                    <w:rPr>
                      <w:color w:val="auto"/>
                    </w:rPr>
                  </w:pPr>
                  <w:r>
                    <w:rPr>
                      <w:color w:val="auto"/>
                    </w:rPr>
                    <w:t>非甲烷总烃</w:t>
                  </w:r>
                </w:p>
              </w:tc>
              <w:tc>
                <w:tcPr>
                  <w:tcW w:w="1277" w:type="pct"/>
                  <w:shd w:val="clear" w:color="auto" w:fill="auto"/>
                  <w:noWrap w:val="0"/>
                  <w:vAlign w:val="center"/>
                </w:tcPr>
                <w:p>
                  <w:pPr>
                    <w:pStyle w:val="11"/>
                    <w:bidi w:val="0"/>
                    <w:rPr>
                      <w:color w:val="auto"/>
                    </w:rPr>
                  </w:pPr>
                  <w:r>
                    <w:rPr>
                      <w:color w:val="auto"/>
                    </w:rPr>
                    <w:t>0.36~0.</w:t>
                  </w:r>
                  <w:r>
                    <w:rPr>
                      <w:rFonts w:hint="eastAsia"/>
                      <w:color w:val="auto"/>
                      <w:lang w:val="en-US" w:eastAsia="zh-CN"/>
                    </w:rPr>
                    <w:t>48</w:t>
                  </w:r>
                  <w:r>
                    <w:rPr>
                      <w:rFonts w:hint="eastAsia"/>
                      <w:color w:val="auto"/>
                    </w:rPr>
                    <w:t>m</w:t>
                  </w:r>
                  <w:r>
                    <w:rPr>
                      <w:color w:val="auto"/>
                    </w:rPr>
                    <w:t>g/m</w:t>
                  </w:r>
                  <w:r>
                    <w:rPr>
                      <w:color w:val="auto"/>
                      <w:vertAlign w:val="superscript"/>
                    </w:rPr>
                    <w:t>3</w:t>
                  </w:r>
                </w:p>
              </w:tc>
              <w:tc>
                <w:tcPr>
                  <w:tcW w:w="898" w:type="pct"/>
                  <w:shd w:val="clear" w:color="auto" w:fill="auto"/>
                  <w:noWrap w:val="0"/>
                  <w:vAlign w:val="center"/>
                </w:tcPr>
                <w:p>
                  <w:pPr>
                    <w:pStyle w:val="11"/>
                    <w:bidi w:val="0"/>
                    <w:rPr>
                      <w:color w:val="auto"/>
                    </w:rPr>
                  </w:pPr>
                  <w:r>
                    <w:rPr>
                      <w:color w:val="auto"/>
                    </w:rPr>
                    <w:t>2.0mg/m</w:t>
                  </w:r>
                  <w:r>
                    <w:rPr>
                      <w:color w:val="auto"/>
                      <w:vertAlign w:val="superscript"/>
                    </w:rPr>
                    <w:t>3</w:t>
                  </w:r>
                </w:p>
              </w:tc>
              <w:tc>
                <w:tcPr>
                  <w:tcW w:w="830" w:type="pct"/>
                  <w:shd w:val="clear" w:color="auto" w:fill="auto"/>
                  <w:noWrap w:val="0"/>
                  <w:vAlign w:val="center"/>
                </w:tcPr>
                <w:p>
                  <w:pPr>
                    <w:pStyle w:val="11"/>
                    <w:bidi w:val="0"/>
                    <w:rPr>
                      <w:color w:val="FF0000"/>
                    </w:rPr>
                  </w:pPr>
                  <w:r>
                    <w:rPr>
                      <w:rFonts w:hint="eastAsia"/>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6" w:type="pct"/>
                  <w:vMerge w:val="continue"/>
                  <w:shd w:val="clear" w:color="auto" w:fill="auto"/>
                  <w:noWrap w:val="0"/>
                  <w:vAlign w:val="center"/>
                </w:tcPr>
                <w:p>
                  <w:pPr>
                    <w:pStyle w:val="11"/>
                    <w:bidi w:val="0"/>
                    <w:rPr>
                      <w:rFonts w:hint="eastAsia"/>
                      <w:color w:val="auto"/>
                    </w:rPr>
                  </w:pPr>
                </w:p>
              </w:tc>
              <w:tc>
                <w:tcPr>
                  <w:tcW w:w="996" w:type="pct"/>
                  <w:shd w:val="clear" w:color="auto" w:fill="auto"/>
                  <w:noWrap w:val="0"/>
                  <w:vAlign w:val="center"/>
                </w:tcPr>
                <w:p>
                  <w:pPr>
                    <w:pStyle w:val="11"/>
                    <w:bidi w:val="0"/>
                    <w:rPr>
                      <w:rFonts w:hint="eastAsia" w:eastAsia="宋体"/>
                      <w:color w:val="auto"/>
                      <w:lang w:val="en-US" w:eastAsia="zh-CN"/>
                    </w:rPr>
                  </w:pPr>
                  <w:r>
                    <w:rPr>
                      <w:rFonts w:hint="eastAsia"/>
                      <w:color w:val="auto"/>
                      <w:lang w:val="en-US" w:eastAsia="zh-CN"/>
                    </w:rPr>
                    <w:t>硫化氢</w:t>
                  </w:r>
                </w:p>
              </w:tc>
              <w:tc>
                <w:tcPr>
                  <w:tcW w:w="1277" w:type="pct"/>
                  <w:shd w:val="clear" w:color="auto" w:fill="auto"/>
                  <w:noWrap w:val="0"/>
                  <w:vAlign w:val="center"/>
                </w:tcPr>
                <w:p>
                  <w:pPr>
                    <w:pStyle w:val="11"/>
                    <w:bidi w:val="0"/>
                    <w:rPr>
                      <w:rFonts w:hint="eastAsia" w:eastAsia="宋体"/>
                      <w:color w:val="auto"/>
                      <w:lang w:val="en-US" w:eastAsia="zh-CN"/>
                    </w:rPr>
                  </w:pPr>
                  <w:r>
                    <w:rPr>
                      <w:rFonts w:hint="eastAsia"/>
                      <w:color w:val="auto"/>
                      <w:lang w:val="en-US" w:eastAsia="zh-CN"/>
                    </w:rPr>
                    <w:t>未检出</w:t>
                  </w:r>
                </w:p>
              </w:tc>
              <w:tc>
                <w:tcPr>
                  <w:tcW w:w="898" w:type="pct"/>
                  <w:shd w:val="clear" w:color="auto" w:fill="auto"/>
                  <w:noWrap w:val="0"/>
                  <w:vAlign w:val="center"/>
                </w:tcPr>
                <w:p>
                  <w:pPr>
                    <w:pStyle w:val="11"/>
                    <w:bidi w:val="0"/>
                    <w:rPr>
                      <w:rFonts w:hint="default" w:eastAsia="宋体"/>
                      <w:color w:val="auto"/>
                      <w:lang w:val="en-US" w:eastAsia="zh-CN"/>
                    </w:rPr>
                  </w:pPr>
                  <w:r>
                    <w:rPr>
                      <w:rFonts w:hint="eastAsia"/>
                      <w:color w:val="auto"/>
                      <w:lang w:val="en-US" w:eastAsia="zh-CN"/>
                    </w:rPr>
                    <w:t>0.01</w:t>
                  </w:r>
                  <w:r>
                    <w:rPr>
                      <w:color w:val="auto"/>
                    </w:rPr>
                    <w:t>mg/m</w:t>
                  </w:r>
                  <w:r>
                    <w:rPr>
                      <w:color w:val="auto"/>
                      <w:vertAlign w:val="superscript"/>
                    </w:rPr>
                    <w:t>3</w:t>
                  </w:r>
                </w:p>
              </w:tc>
              <w:tc>
                <w:tcPr>
                  <w:tcW w:w="830" w:type="pct"/>
                  <w:shd w:val="clear" w:color="auto" w:fill="auto"/>
                  <w:noWrap w:val="0"/>
                  <w:vAlign w:val="center"/>
                </w:tcPr>
                <w:p>
                  <w:pPr>
                    <w:pStyle w:val="11"/>
                    <w:bidi w:val="0"/>
                    <w:rPr>
                      <w:rFonts w:hint="eastAsia"/>
                      <w:color w:val="FF0000"/>
                      <w:lang w:val="en-US" w:eastAsia="zh-CN"/>
                    </w:rPr>
                  </w:pPr>
                  <w:r>
                    <w:rPr>
                      <w:rFonts w:hint="eastAsia"/>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6" w:type="pct"/>
                  <w:vMerge w:val="restart"/>
                  <w:shd w:val="clear" w:color="auto" w:fill="auto"/>
                  <w:noWrap w:val="0"/>
                  <w:vAlign w:val="center"/>
                </w:tcPr>
                <w:p>
                  <w:pPr>
                    <w:pStyle w:val="11"/>
                    <w:bidi w:val="0"/>
                    <w:rPr>
                      <w:rFonts w:hint="eastAsia" w:eastAsia="宋体"/>
                      <w:color w:val="auto"/>
                      <w:lang w:val="en-US" w:eastAsia="zh-CN"/>
                    </w:rPr>
                  </w:pPr>
                  <w:r>
                    <w:rPr>
                      <w:rFonts w:hint="eastAsia"/>
                      <w:color w:val="auto"/>
                      <w:lang w:val="en-US" w:eastAsia="zh-CN"/>
                    </w:rPr>
                    <w:t>大罗庄村</w:t>
                  </w:r>
                </w:p>
              </w:tc>
              <w:tc>
                <w:tcPr>
                  <w:tcW w:w="996" w:type="pct"/>
                  <w:shd w:val="clear" w:color="auto" w:fill="auto"/>
                  <w:noWrap w:val="0"/>
                  <w:vAlign w:val="center"/>
                </w:tcPr>
                <w:p>
                  <w:pPr>
                    <w:pStyle w:val="11"/>
                    <w:bidi w:val="0"/>
                    <w:ind w:firstLine="0" w:firstLineChars="0"/>
                    <w:rPr>
                      <w:rFonts w:hint="eastAsia" w:ascii="Times New Roman" w:hAnsi="Times New Roman" w:eastAsia="宋体" w:cs="Times New Roman"/>
                      <w:color w:val="auto"/>
                      <w:kern w:val="44"/>
                      <w:sz w:val="21"/>
                      <w:szCs w:val="22"/>
                      <w:lang w:val="en-US" w:eastAsia="zh-CN" w:bidi="ar-SA"/>
                    </w:rPr>
                  </w:pPr>
                  <w:r>
                    <w:rPr>
                      <w:color w:val="auto"/>
                    </w:rPr>
                    <w:t>非甲烷总烃</w:t>
                  </w:r>
                </w:p>
              </w:tc>
              <w:tc>
                <w:tcPr>
                  <w:tcW w:w="1277" w:type="pct"/>
                  <w:shd w:val="clear" w:color="auto" w:fill="auto"/>
                  <w:noWrap w:val="0"/>
                  <w:vAlign w:val="center"/>
                </w:tcPr>
                <w:p>
                  <w:pPr>
                    <w:pStyle w:val="11"/>
                    <w:bidi w:val="0"/>
                    <w:rPr>
                      <w:color w:val="auto"/>
                    </w:rPr>
                  </w:pPr>
                  <w:r>
                    <w:rPr>
                      <w:color w:val="auto"/>
                    </w:rPr>
                    <w:t>0.</w:t>
                  </w:r>
                  <w:r>
                    <w:rPr>
                      <w:rFonts w:hint="eastAsia"/>
                      <w:color w:val="auto"/>
                      <w:lang w:val="en-US" w:eastAsia="zh-CN"/>
                    </w:rPr>
                    <w:t>19</w:t>
                  </w:r>
                  <w:r>
                    <w:rPr>
                      <w:color w:val="auto"/>
                    </w:rPr>
                    <w:t>~0.</w:t>
                  </w:r>
                  <w:r>
                    <w:rPr>
                      <w:rFonts w:hint="eastAsia"/>
                      <w:color w:val="auto"/>
                      <w:lang w:val="en-US" w:eastAsia="zh-CN"/>
                    </w:rPr>
                    <w:t>38</w:t>
                  </w:r>
                  <w:r>
                    <w:rPr>
                      <w:rFonts w:hint="eastAsia"/>
                      <w:color w:val="auto"/>
                    </w:rPr>
                    <w:t>m</w:t>
                  </w:r>
                  <w:r>
                    <w:rPr>
                      <w:color w:val="auto"/>
                    </w:rPr>
                    <w:t>g/m</w:t>
                  </w:r>
                  <w:r>
                    <w:rPr>
                      <w:color w:val="auto"/>
                      <w:vertAlign w:val="superscript"/>
                    </w:rPr>
                    <w:t>3</w:t>
                  </w:r>
                </w:p>
              </w:tc>
              <w:tc>
                <w:tcPr>
                  <w:tcW w:w="898" w:type="pct"/>
                  <w:shd w:val="clear" w:color="auto" w:fill="auto"/>
                  <w:noWrap w:val="0"/>
                  <w:vAlign w:val="center"/>
                </w:tcPr>
                <w:p>
                  <w:pPr>
                    <w:pStyle w:val="11"/>
                    <w:bidi w:val="0"/>
                    <w:ind w:firstLine="0" w:firstLineChars="0"/>
                    <w:rPr>
                      <w:rFonts w:ascii="Times New Roman" w:hAnsi="Times New Roman" w:eastAsia="宋体" w:cs="Times New Roman"/>
                      <w:color w:val="auto"/>
                      <w:kern w:val="44"/>
                      <w:sz w:val="21"/>
                      <w:szCs w:val="22"/>
                      <w:lang w:val="en-US" w:eastAsia="zh-CN" w:bidi="ar-SA"/>
                    </w:rPr>
                  </w:pPr>
                  <w:r>
                    <w:rPr>
                      <w:color w:val="auto"/>
                    </w:rPr>
                    <w:t>2.0mg/m</w:t>
                  </w:r>
                  <w:r>
                    <w:rPr>
                      <w:color w:val="auto"/>
                      <w:vertAlign w:val="superscript"/>
                    </w:rPr>
                    <w:t>3</w:t>
                  </w:r>
                </w:p>
              </w:tc>
              <w:tc>
                <w:tcPr>
                  <w:tcW w:w="830" w:type="pct"/>
                  <w:shd w:val="clear" w:color="auto" w:fill="auto"/>
                  <w:noWrap w:val="0"/>
                  <w:vAlign w:val="center"/>
                </w:tcPr>
                <w:p>
                  <w:pPr>
                    <w:pStyle w:val="11"/>
                    <w:bidi w:val="0"/>
                    <w:ind w:firstLine="0" w:firstLineChars="0"/>
                    <w:rPr>
                      <w:color w:val="FF0000"/>
                    </w:rPr>
                  </w:pPr>
                  <w:r>
                    <w:rPr>
                      <w:rFonts w:hint="eastAsia"/>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6" w:type="pct"/>
                  <w:vMerge w:val="continue"/>
                  <w:shd w:val="clear" w:color="auto" w:fill="auto"/>
                  <w:noWrap w:val="0"/>
                  <w:vAlign w:val="center"/>
                </w:tcPr>
                <w:p>
                  <w:pPr>
                    <w:pStyle w:val="11"/>
                    <w:bidi w:val="0"/>
                    <w:rPr>
                      <w:rFonts w:hint="eastAsia"/>
                      <w:color w:val="auto"/>
                    </w:rPr>
                  </w:pPr>
                </w:p>
              </w:tc>
              <w:tc>
                <w:tcPr>
                  <w:tcW w:w="996" w:type="pct"/>
                  <w:shd w:val="clear" w:color="auto" w:fill="auto"/>
                  <w:noWrap w:val="0"/>
                  <w:vAlign w:val="center"/>
                </w:tcPr>
                <w:p>
                  <w:pPr>
                    <w:pStyle w:val="11"/>
                    <w:bidi w:val="0"/>
                    <w:ind w:firstLine="0" w:firstLineChars="0"/>
                    <w:rPr>
                      <w:rFonts w:hint="eastAsia" w:ascii="Times New Roman" w:hAnsi="Times New Roman" w:eastAsia="宋体" w:cs="Times New Roman"/>
                      <w:color w:val="auto"/>
                      <w:kern w:val="44"/>
                      <w:sz w:val="21"/>
                      <w:szCs w:val="22"/>
                      <w:lang w:val="en-US" w:eastAsia="zh-CN" w:bidi="ar-SA"/>
                    </w:rPr>
                  </w:pPr>
                  <w:r>
                    <w:rPr>
                      <w:rFonts w:hint="eastAsia"/>
                      <w:color w:val="auto"/>
                      <w:lang w:val="en-US" w:eastAsia="zh-CN"/>
                    </w:rPr>
                    <w:t>硫化氢</w:t>
                  </w:r>
                </w:p>
              </w:tc>
              <w:tc>
                <w:tcPr>
                  <w:tcW w:w="1277" w:type="pct"/>
                  <w:shd w:val="clear" w:color="auto" w:fill="auto"/>
                  <w:noWrap w:val="0"/>
                  <w:vAlign w:val="center"/>
                </w:tcPr>
                <w:p>
                  <w:pPr>
                    <w:pStyle w:val="11"/>
                    <w:bidi w:val="0"/>
                    <w:rPr>
                      <w:color w:val="auto"/>
                    </w:rPr>
                  </w:pPr>
                  <w:r>
                    <w:rPr>
                      <w:rFonts w:hint="eastAsia"/>
                      <w:color w:val="auto"/>
                      <w:lang w:val="en-US" w:eastAsia="zh-CN"/>
                    </w:rPr>
                    <w:t>未检出</w:t>
                  </w:r>
                </w:p>
              </w:tc>
              <w:tc>
                <w:tcPr>
                  <w:tcW w:w="898" w:type="pct"/>
                  <w:shd w:val="clear" w:color="auto" w:fill="auto"/>
                  <w:noWrap w:val="0"/>
                  <w:vAlign w:val="center"/>
                </w:tcPr>
                <w:p>
                  <w:pPr>
                    <w:pStyle w:val="11"/>
                    <w:bidi w:val="0"/>
                    <w:ind w:firstLine="0" w:firstLineChars="0"/>
                    <w:rPr>
                      <w:rFonts w:hint="default" w:ascii="Times New Roman" w:hAnsi="Times New Roman" w:eastAsia="宋体" w:cs="Times New Roman"/>
                      <w:color w:val="auto"/>
                      <w:kern w:val="44"/>
                      <w:sz w:val="21"/>
                      <w:szCs w:val="22"/>
                      <w:lang w:val="en-US" w:eastAsia="zh-CN" w:bidi="ar-SA"/>
                    </w:rPr>
                  </w:pPr>
                  <w:r>
                    <w:rPr>
                      <w:rFonts w:hint="eastAsia"/>
                      <w:color w:val="auto"/>
                      <w:lang w:val="en-US" w:eastAsia="zh-CN"/>
                    </w:rPr>
                    <w:t>0.01</w:t>
                  </w:r>
                  <w:r>
                    <w:rPr>
                      <w:color w:val="auto"/>
                    </w:rPr>
                    <w:t>mg/m</w:t>
                  </w:r>
                  <w:r>
                    <w:rPr>
                      <w:color w:val="auto"/>
                      <w:vertAlign w:val="superscript"/>
                    </w:rPr>
                    <w:t>3</w:t>
                  </w:r>
                </w:p>
              </w:tc>
              <w:tc>
                <w:tcPr>
                  <w:tcW w:w="830" w:type="pct"/>
                  <w:shd w:val="clear" w:color="auto" w:fill="auto"/>
                  <w:noWrap w:val="0"/>
                  <w:vAlign w:val="center"/>
                </w:tcPr>
                <w:p>
                  <w:pPr>
                    <w:pStyle w:val="11"/>
                    <w:bidi w:val="0"/>
                    <w:ind w:firstLine="0" w:firstLineChars="0"/>
                    <w:rPr>
                      <w:rFonts w:hint="eastAsia"/>
                      <w:color w:val="FF0000"/>
                      <w:lang w:val="en-US" w:eastAsia="zh-CN"/>
                    </w:rPr>
                  </w:pPr>
                  <w:r>
                    <w:rPr>
                      <w:rFonts w:hint="eastAsia"/>
                      <w:lang w:val="en-US" w:eastAsia="zh-CN"/>
                    </w:rPr>
                    <w:t>达标</w:t>
                  </w:r>
                </w:p>
              </w:tc>
            </w:tr>
          </w:tbl>
          <w:p>
            <w:pPr>
              <w:spacing w:line="360" w:lineRule="auto"/>
              <w:ind w:firstLine="480" w:firstLineChars="200"/>
              <w:rPr>
                <w:sz w:val="24"/>
              </w:rPr>
            </w:pPr>
            <w:r>
              <w:rPr>
                <w:sz w:val="24"/>
              </w:rPr>
              <w:t>经统计监</w:t>
            </w:r>
            <w:r>
              <w:rPr>
                <w:color w:val="auto"/>
                <w:sz w:val="24"/>
              </w:rPr>
              <w:t>测期间</w:t>
            </w:r>
            <w:r>
              <w:rPr>
                <w:rFonts w:hint="eastAsia"/>
                <w:color w:val="auto"/>
                <w:lang w:val="en-US" w:eastAsia="zh-CN"/>
              </w:rPr>
              <w:t>厂区下风向</w:t>
            </w:r>
            <w:r>
              <w:rPr>
                <w:color w:val="auto"/>
                <w:sz w:val="24"/>
              </w:rPr>
              <w:t>非甲烷总烃现状浓度为</w:t>
            </w:r>
            <w:r>
              <w:rPr>
                <w:color w:val="auto"/>
              </w:rPr>
              <w:t>0.36~0.</w:t>
            </w:r>
            <w:r>
              <w:rPr>
                <w:rFonts w:hint="eastAsia"/>
                <w:color w:val="auto"/>
                <w:lang w:val="en-US" w:eastAsia="zh-CN"/>
              </w:rPr>
              <w:t>48</w:t>
            </w:r>
            <w:r>
              <w:rPr>
                <w:rFonts w:eastAsia="黑体"/>
                <w:color w:val="auto"/>
                <w:sz w:val="24"/>
              </w:rPr>
              <w:t>mg/m</w:t>
            </w:r>
            <w:r>
              <w:rPr>
                <w:rFonts w:eastAsia="黑体"/>
                <w:color w:val="auto"/>
                <w:sz w:val="24"/>
                <w:vertAlign w:val="superscript"/>
              </w:rPr>
              <w:t>3</w:t>
            </w:r>
            <w:r>
              <w:rPr>
                <w:rFonts w:hint="eastAsia"/>
                <w:color w:val="auto"/>
                <w:sz w:val="24"/>
                <w:lang w:eastAsia="zh-CN"/>
              </w:rPr>
              <w:t>、</w:t>
            </w:r>
            <w:r>
              <w:rPr>
                <w:rFonts w:hint="eastAsia"/>
                <w:color w:val="auto"/>
                <w:sz w:val="24"/>
                <w:lang w:val="en-US" w:eastAsia="zh-CN"/>
              </w:rPr>
              <w:t>硫化氢</w:t>
            </w:r>
            <w:r>
              <w:rPr>
                <w:color w:val="auto"/>
                <w:sz w:val="24"/>
              </w:rPr>
              <w:t>现状浓度为</w:t>
            </w:r>
            <w:r>
              <w:rPr>
                <w:rFonts w:hint="eastAsia"/>
                <w:color w:val="auto"/>
                <w:lang w:val="en-US" w:eastAsia="zh-CN"/>
              </w:rPr>
              <w:t>未检出</w:t>
            </w:r>
            <w:r>
              <w:rPr>
                <w:rFonts w:hint="eastAsia"/>
                <w:color w:val="auto"/>
                <w:sz w:val="24"/>
                <w:lang w:eastAsia="zh-CN"/>
              </w:rPr>
              <w:t>，</w:t>
            </w:r>
            <w:r>
              <w:rPr>
                <w:rFonts w:hint="eastAsia"/>
                <w:color w:val="auto"/>
                <w:lang w:val="en-US" w:eastAsia="zh-CN"/>
              </w:rPr>
              <w:t>大罗庄村</w:t>
            </w:r>
            <w:r>
              <w:rPr>
                <w:color w:val="auto"/>
                <w:sz w:val="24"/>
              </w:rPr>
              <w:t>非甲烷总烃现状浓度为</w:t>
            </w:r>
            <w:r>
              <w:rPr>
                <w:color w:val="auto"/>
              </w:rPr>
              <w:t>0.</w:t>
            </w:r>
            <w:r>
              <w:rPr>
                <w:rFonts w:hint="eastAsia"/>
                <w:color w:val="auto"/>
                <w:lang w:val="en-US" w:eastAsia="zh-CN"/>
              </w:rPr>
              <w:t>19</w:t>
            </w:r>
            <w:r>
              <w:rPr>
                <w:color w:val="auto"/>
              </w:rPr>
              <w:t>~0.</w:t>
            </w:r>
            <w:r>
              <w:rPr>
                <w:rFonts w:hint="eastAsia"/>
                <w:color w:val="auto"/>
                <w:lang w:val="en-US" w:eastAsia="zh-CN"/>
              </w:rPr>
              <w:t>38</w:t>
            </w:r>
            <w:r>
              <w:rPr>
                <w:rFonts w:eastAsia="黑体"/>
                <w:color w:val="auto"/>
                <w:sz w:val="24"/>
              </w:rPr>
              <w:t>mg/m</w:t>
            </w:r>
            <w:r>
              <w:rPr>
                <w:rFonts w:eastAsia="黑体"/>
                <w:color w:val="auto"/>
                <w:sz w:val="24"/>
                <w:vertAlign w:val="superscript"/>
              </w:rPr>
              <w:t>3</w:t>
            </w:r>
            <w:r>
              <w:rPr>
                <w:rFonts w:hint="eastAsia"/>
                <w:color w:val="auto"/>
                <w:sz w:val="24"/>
                <w:lang w:eastAsia="zh-CN"/>
              </w:rPr>
              <w:t>、</w:t>
            </w:r>
            <w:r>
              <w:rPr>
                <w:rFonts w:hint="eastAsia"/>
                <w:color w:val="auto"/>
                <w:sz w:val="24"/>
                <w:lang w:val="en-US" w:eastAsia="zh-CN"/>
              </w:rPr>
              <w:t>硫化氢</w:t>
            </w:r>
            <w:r>
              <w:rPr>
                <w:color w:val="auto"/>
                <w:sz w:val="24"/>
              </w:rPr>
              <w:t>现状浓度为</w:t>
            </w:r>
            <w:r>
              <w:rPr>
                <w:rFonts w:hint="eastAsia"/>
                <w:color w:val="auto"/>
                <w:lang w:val="en-US" w:eastAsia="zh-CN"/>
              </w:rPr>
              <w:t>未检出</w:t>
            </w:r>
            <w:r>
              <w:rPr>
                <w:color w:val="auto"/>
                <w:sz w:val="24"/>
              </w:rPr>
              <w:t>，</w:t>
            </w:r>
            <w:r>
              <w:rPr>
                <w:sz w:val="24"/>
              </w:rPr>
              <w:t>可以满足《环境影响评价技术导则大气环境》（HJ2.2-2018）中附录D的标准要求。</w:t>
            </w:r>
          </w:p>
          <w:p>
            <w:pPr>
              <w:pStyle w:val="4"/>
              <w:bidi w:val="0"/>
            </w:pPr>
            <w:r>
              <w:rPr>
                <w:rFonts w:hint="eastAsia"/>
                <w:lang w:val="en-US" w:eastAsia="zh-CN"/>
              </w:rPr>
              <w:t>2、</w:t>
            </w:r>
            <w:r>
              <w:t>地表水环境质量现状</w:t>
            </w:r>
          </w:p>
          <w:p>
            <w:pPr>
              <w:wordWrap w:val="0"/>
              <w:spacing w:line="360" w:lineRule="auto"/>
              <w:ind w:firstLine="480" w:firstLineChars="200"/>
              <w:rPr>
                <w:bCs/>
                <w:kern w:val="0"/>
                <w:sz w:val="24"/>
              </w:rPr>
            </w:pPr>
            <w:r>
              <w:rPr>
                <w:rFonts w:hint="eastAsia"/>
                <w:bCs/>
                <w:kern w:val="0"/>
                <w:sz w:val="24"/>
              </w:rPr>
              <w:t>本项目仅有生活</w:t>
            </w:r>
            <w:r>
              <w:rPr>
                <w:rFonts w:hint="eastAsia"/>
                <w:bCs/>
                <w:color w:val="auto"/>
                <w:kern w:val="0"/>
                <w:sz w:val="24"/>
              </w:rPr>
              <w:t>污水产生，</w:t>
            </w:r>
            <w:r>
              <w:rPr>
                <w:color w:val="auto"/>
                <w:kern w:val="0"/>
                <w:sz w:val="24"/>
              </w:rPr>
              <w:t>生活污水</w:t>
            </w:r>
            <w:r>
              <w:rPr>
                <w:rFonts w:hint="eastAsia"/>
                <w:color w:val="auto"/>
                <w:kern w:val="0"/>
                <w:sz w:val="24"/>
                <w:lang w:val="en-US" w:eastAsia="zh-CN"/>
              </w:rPr>
              <w:t>依托园区</w:t>
            </w:r>
            <w:r>
              <w:rPr>
                <w:color w:val="auto"/>
                <w:kern w:val="0"/>
                <w:sz w:val="24"/>
              </w:rPr>
              <w:t>化粪池处理后</w:t>
            </w:r>
            <w:r>
              <w:rPr>
                <w:rFonts w:hint="eastAsia"/>
                <w:color w:val="auto"/>
                <w:kern w:val="0"/>
                <w:sz w:val="24"/>
                <w:lang w:eastAsia="zh-CN"/>
              </w:rPr>
              <w:t>，</w:t>
            </w:r>
            <w:r>
              <w:rPr>
                <w:rFonts w:hint="eastAsia"/>
                <w:color w:val="auto"/>
                <w:spacing w:val="12"/>
                <w:sz w:val="24"/>
                <w:lang w:val="en-US" w:eastAsia="zh-CN"/>
              </w:rPr>
              <w:t>用于周边农田施肥，远期管网环通后</w:t>
            </w:r>
            <w:r>
              <w:rPr>
                <w:rFonts w:hint="eastAsia"/>
                <w:color w:val="auto"/>
                <w:kern w:val="0"/>
                <w:sz w:val="24"/>
              </w:rPr>
              <w:t>经市政污水管网进入</w:t>
            </w:r>
            <w:r>
              <w:rPr>
                <w:rFonts w:hint="eastAsia"/>
                <w:color w:val="auto"/>
                <w:kern w:val="0"/>
                <w:sz w:val="24"/>
                <w:lang w:eastAsia="zh-CN"/>
              </w:rPr>
              <w:t>许昌市城乡一体化示范区中原电气谷污水处理厂</w:t>
            </w:r>
            <w:r>
              <w:rPr>
                <w:rFonts w:hint="eastAsia"/>
                <w:color w:val="auto"/>
                <w:kern w:val="0"/>
                <w:sz w:val="24"/>
              </w:rPr>
              <w:t>进行深度处理</w:t>
            </w:r>
            <w:r>
              <w:rPr>
                <w:color w:val="auto"/>
                <w:kern w:val="0"/>
                <w:sz w:val="24"/>
              </w:rPr>
              <w:t>，</w:t>
            </w:r>
            <w:r>
              <w:rPr>
                <w:rFonts w:hint="eastAsia"/>
                <w:color w:val="auto"/>
                <w:kern w:val="0"/>
                <w:sz w:val="24"/>
                <w:lang w:val="en-US" w:eastAsia="zh-CN"/>
              </w:rPr>
              <w:t>最终排入小洪河</w:t>
            </w:r>
            <w:r>
              <w:rPr>
                <w:bCs/>
                <w:iCs/>
                <w:color w:val="auto"/>
                <w:sz w:val="24"/>
                <w:szCs w:val="32"/>
              </w:rPr>
              <w:t>。</w:t>
            </w:r>
            <w:r>
              <w:rPr>
                <w:rFonts w:hint="eastAsia"/>
                <w:bCs/>
                <w:color w:val="auto"/>
                <w:kern w:val="0"/>
                <w:sz w:val="24"/>
                <w:lang w:val="en-US" w:eastAsia="zh-CN"/>
              </w:rPr>
              <w:t>小洪河与下</w:t>
            </w:r>
            <w:r>
              <w:rPr>
                <w:rFonts w:hint="eastAsia"/>
                <w:bCs/>
                <w:kern w:val="0"/>
                <w:sz w:val="24"/>
                <w:lang w:val="en-US" w:eastAsia="zh-CN"/>
              </w:rPr>
              <w:t>游汇入</w:t>
            </w:r>
            <w:r>
              <w:rPr>
                <w:rFonts w:hint="eastAsia"/>
                <w:color w:val="000000"/>
                <w:sz w:val="24"/>
              </w:rPr>
              <w:t>清潩河</w:t>
            </w:r>
            <w:r>
              <w:rPr>
                <w:bCs/>
                <w:kern w:val="0"/>
                <w:sz w:val="24"/>
              </w:rPr>
              <w:t>，本次评价选取</w:t>
            </w:r>
            <w:r>
              <w:rPr>
                <w:rFonts w:hint="eastAsia"/>
                <w:bCs/>
                <w:kern w:val="0"/>
                <w:sz w:val="24"/>
              </w:rPr>
              <w:t>清潩河高村桥</w:t>
            </w:r>
            <w:r>
              <w:rPr>
                <w:bCs/>
                <w:kern w:val="0"/>
                <w:sz w:val="24"/>
              </w:rPr>
              <w:t>断面数据。</w:t>
            </w:r>
            <w:r>
              <w:rPr>
                <w:rFonts w:hint="eastAsia"/>
                <w:color w:val="000000"/>
                <w:sz w:val="24"/>
              </w:rPr>
              <w:t>根据水环境功能区划分，清潩河规划为《地表水环境质量标准》（GB3838-2002）</w:t>
            </w:r>
            <w:r>
              <w:rPr>
                <w:rFonts w:hint="eastAsia"/>
                <w:color w:val="000000"/>
                <w:sz w:val="24"/>
                <w:lang w:val="en-US" w:eastAsia="zh-CN"/>
              </w:rPr>
              <w:t>III</w:t>
            </w:r>
            <w:r>
              <w:rPr>
                <w:rFonts w:hint="eastAsia"/>
                <w:color w:val="000000"/>
                <w:sz w:val="24"/>
              </w:rPr>
              <w:t>类水体。</w:t>
            </w:r>
            <w:r>
              <w:rPr>
                <w:bCs/>
                <w:kern w:val="0"/>
                <w:sz w:val="24"/>
              </w:rPr>
              <w:t>根据《许昌市环境监测年鉴》（2020年度）中</w:t>
            </w:r>
            <w:r>
              <w:rPr>
                <w:rFonts w:hint="eastAsia"/>
                <w:bCs/>
                <w:kern w:val="0"/>
                <w:sz w:val="24"/>
              </w:rPr>
              <w:t>清潩河高村桥</w:t>
            </w:r>
            <w:r>
              <w:rPr>
                <w:bCs/>
                <w:kern w:val="0"/>
                <w:sz w:val="24"/>
              </w:rPr>
              <w:t>断面监测数据，监测数据结果见表3-3。</w:t>
            </w:r>
          </w:p>
          <w:p>
            <w:pPr>
              <w:pStyle w:val="12"/>
              <w:widowControl w:val="0"/>
              <w:bidi w:val="0"/>
              <w:jc w:val="right"/>
              <w:rPr>
                <w:rFonts w:hint="default" w:eastAsia="黑体"/>
                <w:lang w:val="en-US" w:eastAsia="zh-CN"/>
              </w:rPr>
            </w:pPr>
            <w:r>
              <w:t xml:space="preserve">表3-3 </w:t>
            </w:r>
            <w:r>
              <w:rPr>
                <w:rFonts w:hint="eastAsia"/>
                <w:lang w:val="en-US" w:eastAsia="zh-CN"/>
              </w:rPr>
              <w:t xml:space="preserve"> </w:t>
            </w:r>
            <w:r>
              <w:t xml:space="preserve"> 地表水水质监测统计结果</w:t>
            </w:r>
            <w:r>
              <w:rPr>
                <w:rFonts w:hint="eastAsia"/>
                <w:lang w:val="en-US" w:eastAsia="zh-CN"/>
              </w:rPr>
              <w:t xml:space="preserve">    </w:t>
            </w:r>
            <w:r>
              <w:rPr>
                <w:rFonts w:hint="eastAsia"/>
                <w:sz w:val="21"/>
                <w:szCs w:val="21"/>
                <w:lang w:val="en-US" w:eastAsia="zh-CN"/>
              </w:rPr>
              <w:t>单位：mg/L，除pH外</w:t>
            </w:r>
          </w:p>
          <w:tbl>
            <w:tblPr>
              <w:tblStyle w:val="9"/>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36"/>
              <w:gridCol w:w="1092"/>
              <w:gridCol w:w="958"/>
              <w:gridCol w:w="1638"/>
              <w:gridCol w:w="1183"/>
              <w:gridCol w:w="1182"/>
              <w:gridCol w:w="11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pStyle w:val="11"/>
                    <w:bidi w:val="0"/>
                    <w:jc w:val="center"/>
                    <w:rPr>
                      <w:rFonts w:hint="eastAsia" w:eastAsia="宋体"/>
                      <w:lang w:val="en-US" w:eastAsia="zh-CN"/>
                    </w:rPr>
                  </w:pPr>
                  <w:r>
                    <w:rPr>
                      <w:rFonts w:hint="eastAsia"/>
                      <w:lang w:val="en-US" w:eastAsia="zh-CN"/>
                    </w:rPr>
                    <w:t>监测点</w:t>
                  </w:r>
                </w:p>
              </w:tc>
              <w:tc>
                <w:tcPr>
                  <w:tcW w:w="1095" w:type="dxa"/>
                  <w:vAlign w:val="center"/>
                </w:tcPr>
                <w:p>
                  <w:pPr>
                    <w:pStyle w:val="11"/>
                    <w:bidi w:val="0"/>
                    <w:jc w:val="center"/>
                    <w:rPr>
                      <w:rFonts w:hint="eastAsia" w:eastAsia="宋体"/>
                      <w:lang w:val="en-US" w:eastAsia="zh-CN"/>
                    </w:rPr>
                  </w:pPr>
                  <w:r>
                    <w:rPr>
                      <w:rFonts w:hint="eastAsia"/>
                      <w:lang w:val="en-US" w:eastAsia="zh-CN"/>
                    </w:rPr>
                    <w:t>监测内容</w:t>
                  </w:r>
                </w:p>
              </w:tc>
              <w:tc>
                <w:tcPr>
                  <w:tcW w:w="960" w:type="dxa"/>
                  <w:vAlign w:val="center"/>
                </w:tcPr>
                <w:p>
                  <w:pPr>
                    <w:pStyle w:val="11"/>
                    <w:bidi w:val="0"/>
                    <w:jc w:val="center"/>
                    <w:rPr>
                      <w:rFonts w:hint="eastAsia" w:eastAsia="宋体"/>
                      <w:lang w:val="en-US" w:eastAsia="zh-CN"/>
                    </w:rPr>
                  </w:pPr>
                  <w:r>
                    <w:rPr>
                      <w:rFonts w:hint="eastAsia"/>
                      <w:lang w:val="en-US" w:eastAsia="zh-CN"/>
                    </w:rPr>
                    <w:t>年均值</w:t>
                  </w:r>
                </w:p>
              </w:tc>
              <w:tc>
                <w:tcPr>
                  <w:tcW w:w="1644" w:type="dxa"/>
                  <w:vAlign w:val="center"/>
                </w:tcPr>
                <w:p>
                  <w:pPr>
                    <w:pStyle w:val="11"/>
                    <w:bidi w:val="0"/>
                    <w:jc w:val="center"/>
                    <w:rPr>
                      <w:rFonts w:hint="eastAsia" w:eastAsia="宋体"/>
                      <w:lang w:val="en-US" w:eastAsia="zh-CN"/>
                    </w:rPr>
                  </w:pPr>
                  <w:r>
                    <w:rPr>
                      <w:rFonts w:hint="eastAsia"/>
                      <w:lang w:val="en-US" w:eastAsia="zh-CN"/>
                    </w:rPr>
                    <w:t>III类标准限值</w:t>
                  </w:r>
                </w:p>
              </w:tc>
              <w:tc>
                <w:tcPr>
                  <w:tcW w:w="1186" w:type="dxa"/>
                  <w:vAlign w:val="center"/>
                </w:tcPr>
                <w:p>
                  <w:pPr>
                    <w:pStyle w:val="11"/>
                    <w:bidi w:val="0"/>
                    <w:jc w:val="center"/>
                    <w:rPr>
                      <w:rFonts w:hint="eastAsia" w:eastAsia="宋体"/>
                      <w:lang w:val="en-US" w:eastAsia="zh-CN"/>
                    </w:rPr>
                  </w:pPr>
                  <w:r>
                    <w:rPr>
                      <w:rFonts w:hint="eastAsia"/>
                      <w:lang w:val="en-US" w:eastAsia="zh-CN"/>
                    </w:rPr>
                    <w:t>超标指数</w:t>
                  </w:r>
                </w:p>
              </w:tc>
              <w:tc>
                <w:tcPr>
                  <w:tcW w:w="1186" w:type="dxa"/>
                  <w:vAlign w:val="center"/>
                </w:tcPr>
                <w:p>
                  <w:pPr>
                    <w:pStyle w:val="11"/>
                    <w:bidi w:val="0"/>
                    <w:jc w:val="center"/>
                    <w:rPr>
                      <w:rFonts w:hint="eastAsia" w:eastAsia="宋体"/>
                      <w:lang w:val="en-US" w:eastAsia="zh-CN"/>
                    </w:rPr>
                  </w:pPr>
                  <w:r>
                    <w:rPr>
                      <w:rFonts w:hint="eastAsia"/>
                      <w:lang w:val="en-US" w:eastAsia="zh-CN"/>
                    </w:rPr>
                    <w:t>超标率</w:t>
                  </w:r>
                </w:p>
              </w:tc>
              <w:tc>
                <w:tcPr>
                  <w:tcW w:w="1186" w:type="dxa"/>
                  <w:vAlign w:val="center"/>
                </w:tcPr>
                <w:p>
                  <w:pPr>
                    <w:pStyle w:val="11"/>
                    <w:bidi w:val="0"/>
                    <w:jc w:val="center"/>
                    <w:rPr>
                      <w:rFonts w:hint="eastAsia" w:eastAsia="宋体"/>
                      <w:lang w:val="en-US" w:eastAsia="zh-CN"/>
                    </w:rPr>
                  </w:pPr>
                  <w:r>
                    <w:rPr>
                      <w:rFonts w:hint="eastAsia"/>
                      <w:lang w:val="en-US" w:eastAsia="zh-CN"/>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40" w:type="dxa"/>
                  <w:vMerge w:val="restart"/>
                  <w:vAlign w:val="center"/>
                </w:tcPr>
                <w:p>
                  <w:pPr>
                    <w:pStyle w:val="11"/>
                    <w:bidi w:val="0"/>
                    <w:jc w:val="center"/>
                  </w:pPr>
                  <w:r>
                    <w:rPr>
                      <w:rFonts w:hint="eastAsia"/>
                      <w:color w:val="auto"/>
                    </w:rPr>
                    <w:t>清潩河高村桥</w:t>
                  </w:r>
                  <w:r>
                    <w:rPr>
                      <w:color w:val="auto"/>
                    </w:rPr>
                    <w:t>监测断面</w:t>
                  </w:r>
                </w:p>
              </w:tc>
              <w:tc>
                <w:tcPr>
                  <w:tcW w:w="1095" w:type="dxa"/>
                  <w:vAlign w:val="center"/>
                </w:tcPr>
                <w:p>
                  <w:pPr>
                    <w:pStyle w:val="11"/>
                    <w:bidi w:val="0"/>
                    <w:jc w:val="center"/>
                  </w:pPr>
                  <w:r>
                    <w:t>pH</w:t>
                  </w:r>
                </w:p>
              </w:tc>
              <w:tc>
                <w:tcPr>
                  <w:tcW w:w="960" w:type="dxa"/>
                  <w:vAlign w:val="center"/>
                </w:tcPr>
                <w:p>
                  <w:pPr>
                    <w:pStyle w:val="11"/>
                    <w:bidi w:val="0"/>
                    <w:jc w:val="center"/>
                  </w:pPr>
                  <w:r>
                    <w:rPr>
                      <w:color w:val="auto"/>
                    </w:rPr>
                    <w:t>7.9</w:t>
                  </w:r>
                </w:p>
              </w:tc>
              <w:tc>
                <w:tcPr>
                  <w:tcW w:w="1644" w:type="dxa"/>
                  <w:vAlign w:val="center"/>
                </w:tcPr>
                <w:p>
                  <w:pPr>
                    <w:pStyle w:val="11"/>
                    <w:bidi w:val="0"/>
                    <w:jc w:val="center"/>
                  </w:pPr>
                  <w:r>
                    <w:t>6~9</w:t>
                  </w:r>
                </w:p>
              </w:tc>
              <w:tc>
                <w:tcPr>
                  <w:tcW w:w="1186" w:type="dxa"/>
                  <w:vAlign w:val="center"/>
                </w:tcPr>
                <w:p>
                  <w:pPr>
                    <w:pStyle w:val="11"/>
                    <w:bidi w:val="0"/>
                    <w:jc w:val="center"/>
                    <w:rPr>
                      <w:rFonts w:hint="eastAsia" w:eastAsia="宋体"/>
                      <w:lang w:val="en-US" w:eastAsia="zh-CN"/>
                    </w:rPr>
                  </w:pPr>
                  <w:r>
                    <w:rPr>
                      <w:rFonts w:hint="eastAsia"/>
                      <w:lang w:val="en-US" w:eastAsia="zh-CN"/>
                    </w:rPr>
                    <w:t>/</w:t>
                  </w:r>
                </w:p>
              </w:tc>
              <w:tc>
                <w:tcPr>
                  <w:tcW w:w="1186" w:type="dxa"/>
                  <w:vAlign w:val="center"/>
                </w:tcPr>
                <w:p>
                  <w:pPr>
                    <w:pStyle w:val="11"/>
                    <w:bidi w:val="0"/>
                    <w:jc w:val="center"/>
                    <w:rPr>
                      <w:rFonts w:hint="eastAsia" w:eastAsia="宋体"/>
                      <w:lang w:val="en-US" w:eastAsia="zh-CN"/>
                    </w:rPr>
                  </w:pPr>
                  <w:r>
                    <w:rPr>
                      <w:rFonts w:hint="eastAsia"/>
                      <w:lang w:val="en-US" w:eastAsia="zh-CN"/>
                    </w:rPr>
                    <w:t>0</w:t>
                  </w:r>
                </w:p>
              </w:tc>
              <w:tc>
                <w:tcPr>
                  <w:tcW w:w="1186" w:type="dxa"/>
                  <w:vAlign w:val="center"/>
                </w:tcPr>
                <w:p>
                  <w:pPr>
                    <w:pStyle w:val="11"/>
                    <w:bidi w:val="0"/>
                    <w:jc w:val="center"/>
                    <w:rPr>
                      <w:rFonts w:hint="eastAsia" w:eastAsia="宋体"/>
                      <w:lang w:val="en-US" w:eastAsia="zh-CN"/>
                    </w:rPr>
                  </w:pPr>
                  <w:r>
                    <w:rPr>
                      <w:rFonts w:hint="eastAsia"/>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40" w:type="dxa"/>
                  <w:vMerge w:val="continue"/>
                  <w:vAlign w:val="center"/>
                </w:tcPr>
                <w:p>
                  <w:pPr>
                    <w:pStyle w:val="11"/>
                    <w:bidi w:val="0"/>
                    <w:jc w:val="center"/>
                  </w:pPr>
                </w:p>
              </w:tc>
              <w:tc>
                <w:tcPr>
                  <w:tcW w:w="1095" w:type="dxa"/>
                  <w:vAlign w:val="center"/>
                </w:tcPr>
                <w:p>
                  <w:pPr>
                    <w:pStyle w:val="11"/>
                    <w:bidi w:val="0"/>
                    <w:jc w:val="center"/>
                  </w:pPr>
                  <w:r>
                    <w:t>COD</w:t>
                  </w:r>
                </w:p>
              </w:tc>
              <w:tc>
                <w:tcPr>
                  <w:tcW w:w="960" w:type="dxa"/>
                  <w:vAlign w:val="center"/>
                </w:tcPr>
                <w:p>
                  <w:pPr>
                    <w:pStyle w:val="11"/>
                    <w:bidi w:val="0"/>
                    <w:jc w:val="center"/>
                    <w:rPr>
                      <w:rFonts w:hint="default" w:eastAsia="宋体"/>
                      <w:lang w:val="en-US" w:eastAsia="zh-CN"/>
                    </w:rPr>
                  </w:pPr>
                  <w:r>
                    <w:rPr>
                      <w:rFonts w:hint="eastAsia"/>
                      <w:lang w:val="en-US" w:eastAsia="zh-CN"/>
                    </w:rPr>
                    <w:t>17</w:t>
                  </w:r>
                </w:p>
              </w:tc>
              <w:tc>
                <w:tcPr>
                  <w:tcW w:w="1644" w:type="dxa"/>
                  <w:vAlign w:val="center"/>
                </w:tcPr>
                <w:p>
                  <w:pPr>
                    <w:pStyle w:val="11"/>
                    <w:bidi w:val="0"/>
                    <w:jc w:val="center"/>
                    <w:rPr>
                      <w:rFonts w:hint="default" w:eastAsia="宋体"/>
                      <w:lang w:val="en-US" w:eastAsia="zh-CN"/>
                    </w:rPr>
                  </w:pPr>
                  <w:r>
                    <w:rPr>
                      <w:rFonts w:hint="eastAsia"/>
                      <w:lang w:val="en-US" w:eastAsia="zh-CN"/>
                    </w:rPr>
                    <w:t>20</w:t>
                  </w:r>
                </w:p>
              </w:tc>
              <w:tc>
                <w:tcPr>
                  <w:tcW w:w="1186" w:type="dxa"/>
                  <w:vAlign w:val="center"/>
                </w:tcPr>
                <w:p>
                  <w:pPr>
                    <w:pStyle w:val="11"/>
                    <w:bidi w:val="0"/>
                    <w:jc w:val="center"/>
                    <w:rPr>
                      <w:rFonts w:hint="default" w:eastAsia="宋体"/>
                      <w:lang w:val="en-US" w:eastAsia="zh-CN"/>
                    </w:rPr>
                  </w:pPr>
                  <w:r>
                    <w:rPr>
                      <w:rFonts w:hint="eastAsia"/>
                      <w:lang w:val="en-US" w:eastAsia="zh-CN"/>
                    </w:rPr>
                    <w:t>0.85</w:t>
                  </w:r>
                </w:p>
              </w:tc>
              <w:tc>
                <w:tcPr>
                  <w:tcW w:w="1186" w:type="dxa"/>
                  <w:vAlign w:val="center"/>
                </w:tcPr>
                <w:p>
                  <w:pPr>
                    <w:pStyle w:val="11"/>
                    <w:bidi w:val="0"/>
                    <w:jc w:val="center"/>
                    <w:rPr>
                      <w:rFonts w:hint="eastAsia" w:eastAsia="宋体"/>
                      <w:lang w:val="en-US" w:eastAsia="zh-CN"/>
                    </w:rPr>
                  </w:pPr>
                  <w:r>
                    <w:rPr>
                      <w:rFonts w:hint="eastAsia"/>
                      <w:lang w:val="en-US" w:eastAsia="zh-CN"/>
                    </w:rPr>
                    <w:t>0</w:t>
                  </w:r>
                </w:p>
              </w:tc>
              <w:tc>
                <w:tcPr>
                  <w:tcW w:w="1186" w:type="dxa"/>
                  <w:vAlign w:val="center"/>
                </w:tcPr>
                <w:p>
                  <w:pPr>
                    <w:pStyle w:val="11"/>
                    <w:bidi w:val="0"/>
                    <w:jc w:val="center"/>
                  </w:pPr>
                  <w:r>
                    <w:rPr>
                      <w:rFonts w:hint="eastAsia"/>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40" w:type="dxa"/>
                  <w:vMerge w:val="continue"/>
                  <w:vAlign w:val="center"/>
                </w:tcPr>
                <w:p>
                  <w:pPr>
                    <w:pStyle w:val="11"/>
                    <w:bidi w:val="0"/>
                    <w:jc w:val="center"/>
                  </w:pPr>
                </w:p>
              </w:tc>
              <w:tc>
                <w:tcPr>
                  <w:tcW w:w="1095" w:type="dxa"/>
                  <w:vAlign w:val="center"/>
                </w:tcPr>
                <w:p>
                  <w:pPr>
                    <w:pStyle w:val="11"/>
                    <w:bidi w:val="0"/>
                    <w:jc w:val="center"/>
                  </w:pPr>
                  <w:r>
                    <w:t>氨氮</w:t>
                  </w:r>
                </w:p>
              </w:tc>
              <w:tc>
                <w:tcPr>
                  <w:tcW w:w="960" w:type="dxa"/>
                  <w:vAlign w:val="center"/>
                </w:tcPr>
                <w:p>
                  <w:pPr>
                    <w:pStyle w:val="11"/>
                    <w:bidi w:val="0"/>
                    <w:jc w:val="center"/>
                    <w:rPr>
                      <w:rFonts w:hint="default" w:eastAsia="宋体"/>
                      <w:lang w:val="en-US" w:eastAsia="zh-CN"/>
                    </w:rPr>
                  </w:pPr>
                  <w:r>
                    <w:rPr>
                      <w:rFonts w:hint="eastAsia"/>
                      <w:lang w:val="en-US" w:eastAsia="zh-CN"/>
                    </w:rPr>
                    <w:t>0.35</w:t>
                  </w:r>
                </w:p>
              </w:tc>
              <w:tc>
                <w:tcPr>
                  <w:tcW w:w="1644" w:type="dxa"/>
                  <w:vAlign w:val="center"/>
                </w:tcPr>
                <w:p>
                  <w:pPr>
                    <w:pStyle w:val="11"/>
                    <w:bidi w:val="0"/>
                    <w:jc w:val="center"/>
                    <w:rPr>
                      <w:rFonts w:hint="default" w:eastAsia="宋体"/>
                      <w:lang w:val="en-US" w:eastAsia="zh-CN"/>
                    </w:rPr>
                  </w:pPr>
                  <w:r>
                    <w:rPr>
                      <w:rFonts w:hint="eastAsia"/>
                      <w:lang w:val="en-US" w:eastAsia="zh-CN"/>
                    </w:rPr>
                    <w:t>1.0</w:t>
                  </w:r>
                </w:p>
              </w:tc>
              <w:tc>
                <w:tcPr>
                  <w:tcW w:w="1186" w:type="dxa"/>
                  <w:vAlign w:val="center"/>
                </w:tcPr>
                <w:p>
                  <w:pPr>
                    <w:pStyle w:val="11"/>
                    <w:bidi w:val="0"/>
                    <w:jc w:val="center"/>
                    <w:rPr>
                      <w:rFonts w:hint="default" w:eastAsia="宋体"/>
                      <w:lang w:val="en-US" w:eastAsia="zh-CN"/>
                    </w:rPr>
                  </w:pPr>
                  <w:r>
                    <w:rPr>
                      <w:rFonts w:hint="eastAsia"/>
                      <w:lang w:val="en-US" w:eastAsia="zh-CN"/>
                    </w:rPr>
                    <w:t>0.35</w:t>
                  </w:r>
                </w:p>
              </w:tc>
              <w:tc>
                <w:tcPr>
                  <w:tcW w:w="1186" w:type="dxa"/>
                  <w:vAlign w:val="center"/>
                </w:tcPr>
                <w:p>
                  <w:pPr>
                    <w:pStyle w:val="11"/>
                    <w:bidi w:val="0"/>
                    <w:jc w:val="center"/>
                    <w:rPr>
                      <w:rFonts w:hint="eastAsia" w:eastAsia="宋体"/>
                      <w:lang w:val="en-US" w:eastAsia="zh-CN"/>
                    </w:rPr>
                  </w:pPr>
                  <w:r>
                    <w:rPr>
                      <w:rFonts w:hint="eastAsia"/>
                      <w:lang w:val="en-US" w:eastAsia="zh-CN"/>
                    </w:rPr>
                    <w:t>0</w:t>
                  </w:r>
                </w:p>
              </w:tc>
              <w:tc>
                <w:tcPr>
                  <w:tcW w:w="1186" w:type="dxa"/>
                  <w:vAlign w:val="center"/>
                </w:tcPr>
                <w:p>
                  <w:pPr>
                    <w:pStyle w:val="11"/>
                    <w:bidi w:val="0"/>
                    <w:jc w:val="center"/>
                  </w:pPr>
                  <w:r>
                    <w:rPr>
                      <w:rFonts w:hint="eastAsia"/>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40" w:type="dxa"/>
                  <w:vMerge w:val="continue"/>
                  <w:vAlign w:val="center"/>
                </w:tcPr>
                <w:p>
                  <w:pPr>
                    <w:pStyle w:val="11"/>
                    <w:bidi w:val="0"/>
                    <w:jc w:val="center"/>
                  </w:pPr>
                </w:p>
              </w:tc>
              <w:tc>
                <w:tcPr>
                  <w:tcW w:w="1095" w:type="dxa"/>
                  <w:vAlign w:val="center"/>
                </w:tcPr>
                <w:p>
                  <w:pPr>
                    <w:pStyle w:val="11"/>
                    <w:bidi w:val="0"/>
                    <w:jc w:val="center"/>
                  </w:pPr>
                  <w:r>
                    <w:t>BOD</w:t>
                  </w:r>
                  <w:r>
                    <w:rPr>
                      <w:vertAlign w:val="subscript"/>
                    </w:rPr>
                    <w:t>5</w:t>
                  </w:r>
                </w:p>
              </w:tc>
              <w:tc>
                <w:tcPr>
                  <w:tcW w:w="960" w:type="dxa"/>
                  <w:vAlign w:val="center"/>
                </w:tcPr>
                <w:p>
                  <w:pPr>
                    <w:pStyle w:val="11"/>
                    <w:bidi w:val="0"/>
                    <w:jc w:val="center"/>
                    <w:rPr>
                      <w:rFonts w:hint="default" w:eastAsia="宋体"/>
                      <w:lang w:val="en-US" w:eastAsia="zh-CN"/>
                    </w:rPr>
                  </w:pPr>
                  <w:r>
                    <w:rPr>
                      <w:rFonts w:hint="eastAsia"/>
                      <w:lang w:val="en-US" w:eastAsia="zh-CN"/>
                    </w:rPr>
                    <w:t>1.6</w:t>
                  </w:r>
                </w:p>
              </w:tc>
              <w:tc>
                <w:tcPr>
                  <w:tcW w:w="1644" w:type="dxa"/>
                  <w:vAlign w:val="center"/>
                </w:tcPr>
                <w:p>
                  <w:pPr>
                    <w:pStyle w:val="11"/>
                    <w:bidi w:val="0"/>
                    <w:jc w:val="center"/>
                    <w:rPr>
                      <w:rFonts w:hint="eastAsia" w:eastAsia="宋体"/>
                      <w:lang w:val="en-US" w:eastAsia="zh-CN"/>
                    </w:rPr>
                  </w:pPr>
                  <w:r>
                    <w:rPr>
                      <w:rFonts w:hint="eastAsia"/>
                      <w:lang w:val="en-US" w:eastAsia="zh-CN"/>
                    </w:rPr>
                    <w:t>4</w:t>
                  </w:r>
                </w:p>
              </w:tc>
              <w:tc>
                <w:tcPr>
                  <w:tcW w:w="1186" w:type="dxa"/>
                  <w:vAlign w:val="center"/>
                </w:tcPr>
                <w:p>
                  <w:pPr>
                    <w:pStyle w:val="11"/>
                    <w:bidi w:val="0"/>
                    <w:jc w:val="center"/>
                    <w:rPr>
                      <w:rFonts w:hint="default" w:eastAsia="宋体"/>
                      <w:lang w:val="en-US" w:eastAsia="zh-CN"/>
                    </w:rPr>
                  </w:pPr>
                  <w:r>
                    <w:rPr>
                      <w:rFonts w:hint="eastAsia"/>
                      <w:lang w:val="en-US" w:eastAsia="zh-CN"/>
                    </w:rPr>
                    <w:t>0.4</w:t>
                  </w:r>
                </w:p>
              </w:tc>
              <w:tc>
                <w:tcPr>
                  <w:tcW w:w="1186" w:type="dxa"/>
                  <w:vAlign w:val="center"/>
                </w:tcPr>
                <w:p>
                  <w:pPr>
                    <w:pStyle w:val="11"/>
                    <w:bidi w:val="0"/>
                    <w:jc w:val="center"/>
                    <w:rPr>
                      <w:rFonts w:hint="eastAsia" w:eastAsia="宋体"/>
                      <w:lang w:val="en-US" w:eastAsia="zh-CN"/>
                    </w:rPr>
                  </w:pPr>
                  <w:r>
                    <w:rPr>
                      <w:rFonts w:hint="eastAsia"/>
                      <w:lang w:val="en-US" w:eastAsia="zh-CN"/>
                    </w:rPr>
                    <w:t>0</w:t>
                  </w:r>
                </w:p>
              </w:tc>
              <w:tc>
                <w:tcPr>
                  <w:tcW w:w="1186" w:type="dxa"/>
                  <w:vAlign w:val="center"/>
                </w:tcPr>
                <w:p>
                  <w:pPr>
                    <w:pStyle w:val="11"/>
                    <w:bidi w:val="0"/>
                    <w:jc w:val="center"/>
                  </w:pPr>
                  <w:r>
                    <w:rPr>
                      <w:rFonts w:hint="eastAsia"/>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40" w:type="dxa"/>
                  <w:vMerge w:val="continue"/>
                  <w:vAlign w:val="center"/>
                </w:tcPr>
                <w:p>
                  <w:pPr>
                    <w:pStyle w:val="11"/>
                    <w:bidi w:val="0"/>
                    <w:jc w:val="center"/>
                  </w:pPr>
                </w:p>
              </w:tc>
              <w:tc>
                <w:tcPr>
                  <w:tcW w:w="1095" w:type="dxa"/>
                  <w:vAlign w:val="center"/>
                </w:tcPr>
                <w:p>
                  <w:pPr>
                    <w:pStyle w:val="11"/>
                    <w:bidi w:val="0"/>
                    <w:jc w:val="center"/>
                  </w:pPr>
                  <w:r>
                    <w:t>总磷</w:t>
                  </w:r>
                </w:p>
              </w:tc>
              <w:tc>
                <w:tcPr>
                  <w:tcW w:w="960" w:type="dxa"/>
                  <w:vAlign w:val="center"/>
                </w:tcPr>
                <w:p>
                  <w:pPr>
                    <w:pStyle w:val="11"/>
                    <w:bidi w:val="0"/>
                    <w:jc w:val="center"/>
                    <w:rPr>
                      <w:rFonts w:hint="default" w:eastAsia="宋体"/>
                      <w:lang w:val="en-US" w:eastAsia="zh-CN"/>
                    </w:rPr>
                  </w:pPr>
                  <w:r>
                    <w:rPr>
                      <w:rFonts w:hint="eastAsia"/>
                      <w:lang w:val="en-US" w:eastAsia="zh-CN"/>
                    </w:rPr>
                    <w:t>0.1</w:t>
                  </w:r>
                </w:p>
              </w:tc>
              <w:tc>
                <w:tcPr>
                  <w:tcW w:w="1644" w:type="dxa"/>
                  <w:vAlign w:val="center"/>
                </w:tcPr>
                <w:p>
                  <w:pPr>
                    <w:pStyle w:val="11"/>
                    <w:bidi w:val="0"/>
                    <w:jc w:val="center"/>
                    <w:rPr>
                      <w:rFonts w:hint="default" w:eastAsia="宋体"/>
                      <w:lang w:val="en-US" w:eastAsia="zh-CN"/>
                    </w:rPr>
                  </w:pPr>
                  <w:r>
                    <w:rPr>
                      <w:rFonts w:hint="eastAsia"/>
                      <w:lang w:val="en-US" w:eastAsia="zh-CN"/>
                    </w:rPr>
                    <w:t>0.2</w:t>
                  </w:r>
                </w:p>
              </w:tc>
              <w:tc>
                <w:tcPr>
                  <w:tcW w:w="1186" w:type="dxa"/>
                  <w:vAlign w:val="center"/>
                </w:tcPr>
                <w:p>
                  <w:pPr>
                    <w:pStyle w:val="11"/>
                    <w:bidi w:val="0"/>
                    <w:jc w:val="center"/>
                    <w:rPr>
                      <w:rFonts w:hint="default" w:eastAsia="宋体"/>
                      <w:lang w:val="en-US" w:eastAsia="zh-CN"/>
                    </w:rPr>
                  </w:pPr>
                  <w:r>
                    <w:rPr>
                      <w:rFonts w:hint="eastAsia"/>
                      <w:lang w:val="en-US" w:eastAsia="zh-CN"/>
                    </w:rPr>
                    <w:t>0.5</w:t>
                  </w:r>
                </w:p>
              </w:tc>
              <w:tc>
                <w:tcPr>
                  <w:tcW w:w="1186" w:type="dxa"/>
                  <w:vAlign w:val="center"/>
                </w:tcPr>
                <w:p>
                  <w:pPr>
                    <w:pStyle w:val="11"/>
                    <w:bidi w:val="0"/>
                    <w:jc w:val="center"/>
                    <w:rPr>
                      <w:rFonts w:hint="eastAsia" w:eastAsia="宋体"/>
                      <w:lang w:val="en-US" w:eastAsia="zh-CN"/>
                    </w:rPr>
                  </w:pPr>
                  <w:r>
                    <w:rPr>
                      <w:rFonts w:hint="eastAsia"/>
                      <w:lang w:val="en-US" w:eastAsia="zh-CN"/>
                    </w:rPr>
                    <w:t>0</w:t>
                  </w:r>
                </w:p>
              </w:tc>
              <w:tc>
                <w:tcPr>
                  <w:tcW w:w="1186" w:type="dxa"/>
                  <w:vAlign w:val="center"/>
                </w:tcPr>
                <w:p>
                  <w:pPr>
                    <w:pStyle w:val="11"/>
                    <w:bidi w:val="0"/>
                    <w:jc w:val="center"/>
                  </w:pPr>
                  <w:r>
                    <w:rPr>
                      <w:rFonts w:hint="eastAsia"/>
                      <w:lang w:val="en-US" w:eastAsia="zh-CN"/>
                    </w:rPr>
                    <w:t>达标</w:t>
                  </w:r>
                </w:p>
              </w:tc>
            </w:tr>
          </w:tbl>
          <w:p>
            <w:pPr>
              <w:spacing w:line="360" w:lineRule="auto"/>
              <w:ind w:firstLine="480" w:firstLineChars="200"/>
              <w:rPr>
                <w:bCs/>
                <w:kern w:val="0"/>
                <w:sz w:val="24"/>
              </w:rPr>
            </w:pPr>
            <w:r>
              <w:rPr>
                <w:bCs/>
                <w:kern w:val="0"/>
                <w:sz w:val="24"/>
              </w:rPr>
              <w:t>根据表</w:t>
            </w:r>
            <w:r>
              <w:rPr>
                <w:rFonts w:hint="eastAsia"/>
                <w:bCs/>
                <w:kern w:val="0"/>
                <w:sz w:val="24"/>
              </w:rPr>
              <w:t>3</w:t>
            </w:r>
            <w:r>
              <w:rPr>
                <w:bCs/>
                <w:kern w:val="0"/>
                <w:sz w:val="24"/>
              </w:rPr>
              <w:t>-3可</w:t>
            </w:r>
            <w:r>
              <w:rPr>
                <w:rFonts w:hint="eastAsia"/>
                <w:bCs/>
                <w:kern w:val="0"/>
                <w:sz w:val="24"/>
              </w:rPr>
              <w:t>知</w:t>
            </w:r>
            <w:r>
              <w:rPr>
                <w:bCs/>
                <w:kern w:val="0"/>
                <w:sz w:val="24"/>
              </w:rPr>
              <w:t>，</w:t>
            </w:r>
            <w:r>
              <w:rPr>
                <w:rFonts w:hint="eastAsia"/>
                <w:bCs/>
                <w:kern w:val="0"/>
                <w:sz w:val="24"/>
              </w:rPr>
              <w:t>清潩河高村桥</w:t>
            </w:r>
            <w:r>
              <w:rPr>
                <w:bCs/>
                <w:kern w:val="0"/>
                <w:sz w:val="24"/>
              </w:rPr>
              <w:t>主要水质指标pH、COD、NH</w:t>
            </w:r>
            <w:r>
              <w:rPr>
                <w:bCs/>
                <w:kern w:val="0"/>
                <w:sz w:val="24"/>
                <w:vertAlign w:val="subscript"/>
              </w:rPr>
              <w:t>3</w:t>
            </w:r>
            <w:r>
              <w:rPr>
                <w:bCs/>
                <w:kern w:val="0"/>
                <w:sz w:val="24"/>
              </w:rPr>
              <w:t>-N、BOD</w:t>
            </w:r>
            <w:r>
              <w:rPr>
                <w:bCs/>
                <w:kern w:val="0"/>
                <w:sz w:val="24"/>
                <w:vertAlign w:val="subscript"/>
              </w:rPr>
              <w:t>5</w:t>
            </w:r>
            <w:r>
              <w:rPr>
                <w:bCs/>
                <w:kern w:val="0"/>
                <w:sz w:val="24"/>
              </w:rPr>
              <w:t>、总磷均能满足《地表水环境质量标准》（GB3838-2002）</w:t>
            </w:r>
            <w:r>
              <w:rPr>
                <w:rFonts w:hint="eastAsia"/>
                <w:bCs/>
                <w:kern w:val="0"/>
                <w:sz w:val="24"/>
              </w:rPr>
              <w:t>I</w:t>
            </w:r>
            <w:r>
              <w:rPr>
                <w:rFonts w:hint="eastAsia"/>
                <w:bCs/>
                <w:kern w:val="0"/>
                <w:sz w:val="24"/>
                <w:lang w:val="en-US" w:eastAsia="zh-CN"/>
              </w:rPr>
              <w:t>II</w:t>
            </w:r>
            <w:r>
              <w:rPr>
                <w:bCs/>
                <w:kern w:val="0"/>
                <w:sz w:val="24"/>
              </w:rPr>
              <w:t>类标准要求。</w:t>
            </w:r>
          </w:p>
          <w:p>
            <w:pPr>
              <w:pStyle w:val="4"/>
              <w:bidi w:val="0"/>
            </w:pPr>
            <w:r>
              <w:t>3、地下水环境质量现状</w:t>
            </w:r>
          </w:p>
          <w:p>
            <w:pPr>
              <w:spacing w:line="360" w:lineRule="auto"/>
              <w:ind w:firstLine="480" w:firstLineChars="200"/>
              <w:rPr>
                <w:sz w:val="24"/>
              </w:rPr>
            </w:pPr>
            <w:r>
              <w:rPr>
                <w:rFonts w:hint="eastAsia"/>
                <w:sz w:val="24"/>
              </w:rPr>
              <w:t>本项目所在区域地下水环境功能区划为</w:t>
            </w:r>
            <w:r>
              <w:rPr>
                <w:rFonts w:hint="eastAsia"/>
                <w:bCs/>
                <w:kern w:val="0"/>
                <w:sz w:val="24"/>
              </w:rPr>
              <w:t>I</w:t>
            </w:r>
            <w:r>
              <w:rPr>
                <w:rFonts w:hint="eastAsia"/>
                <w:bCs/>
                <w:kern w:val="0"/>
                <w:sz w:val="24"/>
                <w:lang w:val="en-US" w:eastAsia="zh-CN"/>
              </w:rPr>
              <w:t>II</w:t>
            </w:r>
            <w:r>
              <w:rPr>
                <w:rFonts w:hint="eastAsia"/>
                <w:sz w:val="24"/>
              </w:rPr>
              <w:t>类，执行《地下水质量标准》</w:t>
            </w:r>
            <w:r>
              <w:rPr>
                <w:rFonts w:hint="eastAsia"/>
                <w:sz w:val="24"/>
                <w:lang w:eastAsia="zh-CN"/>
              </w:rPr>
              <w:t>（</w:t>
            </w:r>
            <w:r>
              <w:rPr>
                <w:rFonts w:hint="eastAsia"/>
                <w:sz w:val="24"/>
              </w:rPr>
              <w:t>GB/T14848-2017</w:t>
            </w:r>
            <w:r>
              <w:rPr>
                <w:rFonts w:hint="eastAsia"/>
                <w:sz w:val="24"/>
                <w:lang w:eastAsia="zh-CN"/>
              </w:rPr>
              <w:t>）</w:t>
            </w:r>
            <w:r>
              <w:rPr>
                <w:rFonts w:hint="eastAsia"/>
                <w:bCs/>
                <w:kern w:val="0"/>
                <w:sz w:val="24"/>
              </w:rPr>
              <w:t>I</w:t>
            </w:r>
            <w:r>
              <w:rPr>
                <w:rFonts w:hint="eastAsia"/>
                <w:bCs/>
                <w:kern w:val="0"/>
                <w:sz w:val="24"/>
                <w:lang w:val="en-US" w:eastAsia="zh-CN"/>
              </w:rPr>
              <w:t>II</w:t>
            </w:r>
            <w:r>
              <w:rPr>
                <w:rFonts w:hint="eastAsia"/>
                <w:sz w:val="24"/>
              </w:rPr>
              <w:t>类标准。本次地下水现状采用《许昌市环境监测年鉴》（2020年度）中数据，监测结果见表</w:t>
            </w:r>
            <w:r>
              <w:rPr>
                <w:sz w:val="24"/>
              </w:rPr>
              <w:t>3-4。</w:t>
            </w:r>
          </w:p>
          <w:p>
            <w:pPr>
              <w:pStyle w:val="12"/>
              <w:widowControl w:val="0"/>
              <w:bidi w:val="0"/>
              <w:jc w:val="right"/>
            </w:pPr>
            <w:r>
              <w:t xml:space="preserve">表3-4 </w:t>
            </w:r>
            <w:r>
              <w:rPr>
                <w:rFonts w:hint="eastAsia"/>
                <w:lang w:val="en-US" w:eastAsia="zh-CN"/>
              </w:rPr>
              <w:t xml:space="preserve"> </w:t>
            </w:r>
            <w:r>
              <w:t xml:space="preserve"> 许昌市2020年度地下水水质指标年均值数据</w:t>
            </w:r>
            <w:r>
              <w:rPr>
                <w:rFonts w:hint="eastAsia"/>
                <w:lang w:val="en-US" w:eastAsia="zh-CN"/>
              </w:rPr>
              <w:t xml:space="preserve">  </w:t>
            </w:r>
            <w:r>
              <w:rPr>
                <w:rFonts w:hint="eastAsia"/>
                <w:sz w:val="21"/>
                <w:szCs w:val="21"/>
                <w:lang w:val="en-US" w:eastAsia="zh-CN"/>
              </w:rPr>
              <w:t>单位：mg/L，除pH外</w:t>
            </w:r>
          </w:p>
          <w:tbl>
            <w:tblPr>
              <w:tblStyle w:val="9"/>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48"/>
              <w:gridCol w:w="1094"/>
              <w:gridCol w:w="1874"/>
              <w:gridCol w:w="1352"/>
              <w:gridCol w:w="1352"/>
              <w:gridCol w:w="13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4" w:type="pct"/>
                  <w:vAlign w:val="center"/>
                </w:tcPr>
                <w:p>
                  <w:pPr>
                    <w:pStyle w:val="11"/>
                    <w:bidi w:val="0"/>
                    <w:jc w:val="center"/>
                    <w:rPr>
                      <w:rFonts w:hint="eastAsia" w:eastAsia="宋体"/>
                      <w:lang w:val="en-US" w:eastAsia="zh-CN"/>
                    </w:rPr>
                  </w:pPr>
                  <w:r>
                    <w:rPr>
                      <w:rFonts w:hint="eastAsia"/>
                      <w:lang w:val="en-US" w:eastAsia="zh-CN"/>
                    </w:rPr>
                    <w:t>监测内容</w:t>
                  </w:r>
                </w:p>
              </w:tc>
              <w:tc>
                <w:tcPr>
                  <w:tcW w:w="661" w:type="pct"/>
                  <w:vAlign w:val="center"/>
                </w:tcPr>
                <w:p>
                  <w:pPr>
                    <w:pStyle w:val="11"/>
                    <w:bidi w:val="0"/>
                    <w:jc w:val="center"/>
                    <w:rPr>
                      <w:rFonts w:hint="eastAsia" w:eastAsia="宋体"/>
                      <w:lang w:val="en-US" w:eastAsia="zh-CN"/>
                    </w:rPr>
                  </w:pPr>
                  <w:r>
                    <w:rPr>
                      <w:rFonts w:hint="eastAsia"/>
                      <w:lang w:val="en-US" w:eastAsia="zh-CN"/>
                    </w:rPr>
                    <w:t>监测值</w:t>
                  </w:r>
                </w:p>
              </w:tc>
              <w:tc>
                <w:tcPr>
                  <w:tcW w:w="1132" w:type="pct"/>
                  <w:vAlign w:val="center"/>
                </w:tcPr>
                <w:p>
                  <w:pPr>
                    <w:pStyle w:val="11"/>
                    <w:bidi w:val="0"/>
                    <w:jc w:val="center"/>
                    <w:rPr>
                      <w:rFonts w:hint="eastAsia" w:eastAsia="宋体"/>
                      <w:lang w:val="en-US" w:eastAsia="zh-CN"/>
                    </w:rPr>
                  </w:pPr>
                  <w:r>
                    <w:rPr>
                      <w:rFonts w:hint="eastAsia"/>
                      <w:lang w:val="en-US" w:eastAsia="zh-CN"/>
                    </w:rPr>
                    <w:t>III类标准限值</w:t>
                  </w:r>
                </w:p>
              </w:tc>
              <w:tc>
                <w:tcPr>
                  <w:tcW w:w="817" w:type="pct"/>
                  <w:vAlign w:val="center"/>
                </w:tcPr>
                <w:p>
                  <w:pPr>
                    <w:pStyle w:val="11"/>
                    <w:bidi w:val="0"/>
                    <w:jc w:val="center"/>
                    <w:rPr>
                      <w:rFonts w:hint="eastAsia" w:eastAsia="宋体"/>
                      <w:lang w:val="en-US" w:eastAsia="zh-CN"/>
                    </w:rPr>
                  </w:pPr>
                  <w:r>
                    <w:rPr>
                      <w:rFonts w:hint="eastAsia"/>
                      <w:lang w:val="en-US" w:eastAsia="zh-CN"/>
                    </w:rPr>
                    <w:t>超标指数</w:t>
                  </w:r>
                </w:p>
              </w:tc>
              <w:tc>
                <w:tcPr>
                  <w:tcW w:w="817" w:type="pct"/>
                  <w:vAlign w:val="center"/>
                </w:tcPr>
                <w:p>
                  <w:pPr>
                    <w:pStyle w:val="11"/>
                    <w:bidi w:val="0"/>
                    <w:jc w:val="center"/>
                    <w:rPr>
                      <w:rFonts w:hint="eastAsia" w:eastAsia="宋体"/>
                      <w:lang w:val="en-US" w:eastAsia="zh-CN"/>
                    </w:rPr>
                  </w:pPr>
                  <w:r>
                    <w:rPr>
                      <w:rFonts w:hint="eastAsia"/>
                      <w:lang w:val="en-US" w:eastAsia="zh-CN"/>
                    </w:rPr>
                    <w:t>超标率</w:t>
                  </w:r>
                </w:p>
              </w:tc>
              <w:tc>
                <w:tcPr>
                  <w:tcW w:w="817" w:type="pct"/>
                  <w:vAlign w:val="center"/>
                </w:tcPr>
                <w:p>
                  <w:pPr>
                    <w:pStyle w:val="11"/>
                    <w:bidi w:val="0"/>
                    <w:jc w:val="center"/>
                    <w:rPr>
                      <w:rFonts w:hint="eastAsia" w:eastAsia="宋体"/>
                      <w:lang w:val="en-US" w:eastAsia="zh-CN"/>
                    </w:rPr>
                  </w:pPr>
                  <w:r>
                    <w:rPr>
                      <w:rFonts w:hint="eastAsia"/>
                      <w:lang w:val="en-US" w:eastAsia="zh-CN"/>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4" w:type="pct"/>
                  <w:vAlign w:val="center"/>
                </w:tcPr>
                <w:p>
                  <w:pPr>
                    <w:pStyle w:val="11"/>
                    <w:bidi w:val="0"/>
                    <w:jc w:val="center"/>
                  </w:pPr>
                  <w:r>
                    <w:t>pH</w:t>
                  </w:r>
                </w:p>
              </w:tc>
              <w:tc>
                <w:tcPr>
                  <w:tcW w:w="661" w:type="pct"/>
                  <w:vAlign w:val="center"/>
                </w:tcPr>
                <w:p>
                  <w:pPr>
                    <w:pStyle w:val="11"/>
                    <w:bidi w:val="0"/>
                    <w:jc w:val="center"/>
                    <w:rPr>
                      <w:rFonts w:hint="default" w:eastAsia="宋体"/>
                      <w:lang w:val="en-US" w:eastAsia="zh-CN"/>
                    </w:rPr>
                  </w:pPr>
                  <w:r>
                    <w:rPr>
                      <w:rFonts w:hint="eastAsia"/>
                      <w:color w:val="auto"/>
                      <w:lang w:val="en-US" w:eastAsia="zh-CN"/>
                    </w:rPr>
                    <w:t>7.6</w:t>
                  </w:r>
                </w:p>
              </w:tc>
              <w:tc>
                <w:tcPr>
                  <w:tcW w:w="1132" w:type="pct"/>
                  <w:vAlign w:val="center"/>
                </w:tcPr>
                <w:p>
                  <w:pPr>
                    <w:pStyle w:val="11"/>
                    <w:bidi w:val="0"/>
                    <w:jc w:val="center"/>
                    <w:rPr>
                      <w:rFonts w:hint="default" w:eastAsia="宋体"/>
                      <w:lang w:val="en-US" w:eastAsia="zh-CN"/>
                    </w:rPr>
                  </w:pPr>
                  <w:r>
                    <w:rPr>
                      <w:rFonts w:hint="eastAsia"/>
                      <w:lang w:val="en-US" w:eastAsia="zh-CN"/>
                    </w:rPr>
                    <w:t>6.5~8.5</w:t>
                  </w:r>
                </w:p>
              </w:tc>
              <w:tc>
                <w:tcPr>
                  <w:tcW w:w="817" w:type="pct"/>
                  <w:vAlign w:val="center"/>
                </w:tcPr>
                <w:p>
                  <w:pPr>
                    <w:pStyle w:val="11"/>
                    <w:bidi w:val="0"/>
                    <w:jc w:val="center"/>
                    <w:rPr>
                      <w:rFonts w:hint="eastAsia" w:eastAsia="宋体"/>
                      <w:lang w:val="en-US" w:eastAsia="zh-CN"/>
                    </w:rPr>
                  </w:pPr>
                  <w:r>
                    <w:rPr>
                      <w:rFonts w:hint="eastAsia"/>
                      <w:lang w:val="en-US" w:eastAsia="zh-CN"/>
                    </w:rPr>
                    <w:t>/</w:t>
                  </w:r>
                </w:p>
              </w:tc>
              <w:tc>
                <w:tcPr>
                  <w:tcW w:w="817" w:type="pct"/>
                  <w:vAlign w:val="center"/>
                </w:tcPr>
                <w:p>
                  <w:pPr>
                    <w:pStyle w:val="11"/>
                    <w:bidi w:val="0"/>
                    <w:jc w:val="center"/>
                    <w:rPr>
                      <w:rFonts w:hint="eastAsia" w:eastAsia="宋体"/>
                      <w:lang w:val="en-US" w:eastAsia="zh-CN"/>
                    </w:rPr>
                  </w:pPr>
                  <w:r>
                    <w:rPr>
                      <w:rFonts w:hint="eastAsia"/>
                      <w:lang w:val="en-US" w:eastAsia="zh-CN"/>
                    </w:rPr>
                    <w:t>0</w:t>
                  </w:r>
                </w:p>
              </w:tc>
              <w:tc>
                <w:tcPr>
                  <w:tcW w:w="817" w:type="pct"/>
                  <w:vAlign w:val="center"/>
                </w:tcPr>
                <w:p>
                  <w:pPr>
                    <w:pStyle w:val="11"/>
                    <w:bidi w:val="0"/>
                    <w:jc w:val="center"/>
                    <w:rPr>
                      <w:rFonts w:hint="eastAsia" w:eastAsia="宋体"/>
                      <w:lang w:val="en-US" w:eastAsia="zh-CN"/>
                    </w:rPr>
                  </w:pPr>
                  <w:r>
                    <w:rPr>
                      <w:rFonts w:hint="eastAsia"/>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4" w:type="pct"/>
                  <w:vAlign w:val="center"/>
                </w:tcPr>
                <w:p>
                  <w:pPr>
                    <w:pStyle w:val="11"/>
                    <w:bidi w:val="0"/>
                    <w:jc w:val="center"/>
                    <w:rPr>
                      <w:rFonts w:hint="eastAsia" w:eastAsia="宋体"/>
                      <w:lang w:eastAsia="zh-CN"/>
                    </w:rPr>
                  </w:pPr>
                  <w:r>
                    <w:rPr>
                      <w:rFonts w:hint="eastAsia"/>
                      <w:lang w:val="en-US" w:eastAsia="zh-CN"/>
                    </w:rPr>
                    <w:t>总硬度</w:t>
                  </w:r>
                </w:p>
              </w:tc>
              <w:tc>
                <w:tcPr>
                  <w:tcW w:w="661" w:type="pct"/>
                  <w:vAlign w:val="center"/>
                </w:tcPr>
                <w:p>
                  <w:pPr>
                    <w:pStyle w:val="11"/>
                    <w:bidi w:val="0"/>
                    <w:jc w:val="center"/>
                    <w:rPr>
                      <w:rFonts w:hint="default" w:eastAsia="宋体"/>
                      <w:lang w:val="en-US" w:eastAsia="zh-CN"/>
                    </w:rPr>
                  </w:pPr>
                  <w:r>
                    <w:rPr>
                      <w:rFonts w:hint="eastAsia"/>
                      <w:lang w:val="en-US" w:eastAsia="zh-CN"/>
                    </w:rPr>
                    <w:t>172</w:t>
                  </w:r>
                </w:p>
              </w:tc>
              <w:tc>
                <w:tcPr>
                  <w:tcW w:w="1132" w:type="pct"/>
                  <w:vAlign w:val="center"/>
                </w:tcPr>
                <w:p>
                  <w:pPr>
                    <w:pStyle w:val="11"/>
                    <w:bidi w:val="0"/>
                    <w:jc w:val="center"/>
                    <w:rPr>
                      <w:rFonts w:hint="default" w:eastAsia="宋体"/>
                      <w:lang w:val="en-US" w:eastAsia="zh-CN"/>
                    </w:rPr>
                  </w:pPr>
                  <w:r>
                    <w:rPr>
                      <w:rFonts w:hint="eastAsia"/>
                      <w:lang w:val="en-US" w:eastAsia="zh-CN"/>
                    </w:rPr>
                    <w:t>450</w:t>
                  </w:r>
                </w:p>
              </w:tc>
              <w:tc>
                <w:tcPr>
                  <w:tcW w:w="817" w:type="pct"/>
                  <w:vAlign w:val="center"/>
                </w:tcPr>
                <w:p>
                  <w:pPr>
                    <w:pStyle w:val="11"/>
                    <w:bidi w:val="0"/>
                    <w:jc w:val="center"/>
                    <w:rPr>
                      <w:rFonts w:hint="default" w:eastAsia="宋体"/>
                      <w:lang w:val="en-US" w:eastAsia="zh-CN"/>
                    </w:rPr>
                  </w:pPr>
                  <w:r>
                    <w:rPr>
                      <w:rFonts w:hint="eastAsia"/>
                      <w:lang w:val="en-US" w:eastAsia="zh-CN"/>
                    </w:rPr>
                    <w:t>0.38</w:t>
                  </w:r>
                </w:p>
              </w:tc>
              <w:tc>
                <w:tcPr>
                  <w:tcW w:w="817" w:type="pct"/>
                  <w:vAlign w:val="center"/>
                </w:tcPr>
                <w:p>
                  <w:pPr>
                    <w:pStyle w:val="11"/>
                    <w:bidi w:val="0"/>
                    <w:jc w:val="center"/>
                    <w:rPr>
                      <w:rFonts w:hint="eastAsia" w:eastAsia="宋体"/>
                      <w:lang w:val="en-US" w:eastAsia="zh-CN"/>
                    </w:rPr>
                  </w:pPr>
                  <w:r>
                    <w:rPr>
                      <w:rFonts w:hint="eastAsia"/>
                      <w:lang w:val="en-US" w:eastAsia="zh-CN"/>
                    </w:rPr>
                    <w:t>0</w:t>
                  </w:r>
                </w:p>
              </w:tc>
              <w:tc>
                <w:tcPr>
                  <w:tcW w:w="817" w:type="pct"/>
                  <w:vAlign w:val="center"/>
                </w:tcPr>
                <w:p>
                  <w:pPr>
                    <w:pStyle w:val="11"/>
                    <w:bidi w:val="0"/>
                    <w:jc w:val="center"/>
                  </w:pPr>
                  <w:r>
                    <w:rPr>
                      <w:rFonts w:hint="eastAsia"/>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4" w:type="pct"/>
                  <w:vAlign w:val="center"/>
                </w:tcPr>
                <w:p>
                  <w:pPr>
                    <w:pStyle w:val="11"/>
                    <w:bidi w:val="0"/>
                    <w:jc w:val="center"/>
                  </w:pPr>
                  <w:r>
                    <w:t>氨氮</w:t>
                  </w:r>
                </w:p>
              </w:tc>
              <w:tc>
                <w:tcPr>
                  <w:tcW w:w="661" w:type="pct"/>
                  <w:vAlign w:val="center"/>
                </w:tcPr>
                <w:p>
                  <w:pPr>
                    <w:pStyle w:val="11"/>
                    <w:bidi w:val="0"/>
                    <w:jc w:val="center"/>
                    <w:rPr>
                      <w:rFonts w:hint="default" w:eastAsia="宋体"/>
                      <w:lang w:val="en-US" w:eastAsia="zh-CN"/>
                    </w:rPr>
                  </w:pPr>
                  <w:r>
                    <w:rPr>
                      <w:rFonts w:hint="eastAsia"/>
                      <w:lang w:val="en-US" w:eastAsia="zh-CN"/>
                    </w:rPr>
                    <w:t>0.030</w:t>
                  </w:r>
                </w:p>
              </w:tc>
              <w:tc>
                <w:tcPr>
                  <w:tcW w:w="1132" w:type="pct"/>
                  <w:vAlign w:val="center"/>
                </w:tcPr>
                <w:p>
                  <w:pPr>
                    <w:pStyle w:val="11"/>
                    <w:bidi w:val="0"/>
                    <w:jc w:val="center"/>
                    <w:rPr>
                      <w:rFonts w:hint="default" w:eastAsia="宋体"/>
                      <w:lang w:val="en-US" w:eastAsia="zh-CN"/>
                    </w:rPr>
                  </w:pPr>
                  <w:r>
                    <w:rPr>
                      <w:rFonts w:hint="eastAsia"/>
                      <w:lang w:val="en-US" w:eastAsia="zh-CN"/>
                    </w:rPr>
                    <w:t>0.5</w:t>
                  </w:r>
                </w:p>
              </w:tc>
              <w:tc>
                <w:tcPr>
                  <w:tcW w:w="817" w:type="pct"/>
                  <w:vAlign w:val="center"/>
                </w:tcPr>
                <w:p>
                  <w:pPr>
                    <w:pStyle w:val="11"/>
                    <w:bidi w:val="0"/>
                    <w:jc w:val="center"/>
                    <w:rPr>
                      <w:rFonts w:hint="default" w:eastAsia="宋体"/>
                      <w:lang w:val="en-US" w:eastAsia="zh-CN"/>
                    </w:rPr>
                  </w:pPr>
                  <w:r>
                    <w:rPr>
                      <w:rFonts w:hint="eastAsia"/>
                      <w:lang w:val="en-US" w:eastAsia="zh-CN"/>
                    </w:rPr>
                    <w:t>0.06</w:t>
                  </w:r>
                </w:p>
              </w:tc>
              <w:tc>
                <w:tcPr>
                  <w:tcW w:w="817" w:type="pct"/>
                  <w:vAlign w:val="center"/>
                </w:tcPr>
                <w:p>
                  <w:pPr>
                    <w:pStyle w:val="11"/>
                    <w:bidi w:val="0"/>
                    <w:jc w:val="center"/>
                    <w:rPr>
                      <w:rFonts w:hint="eastAsia" w:eastAsia="宋体"/>
                      <w:lang w:val="en-US" w:eastAsia="zh-CN"/>
                    </w:rPr>
                  </w:pPr>
                  <w:r>
                    <w:rPr>
                      <w:rFonts w:hint="eastAsia"/>
                      <w:lang w:val="en-US" w:eastAsia="zh-CN"/>
                    </w:rPr>
                    <w:t>0</w:t>
                  </w:r>
                </w:p>
              </w:tc>
              <w:tc>
                <w:tcPr>
                  <w:tcW w:w="817" w:type="pct"/>
                  <w:vAlign w:val="center"/>
                </w:tcPr>
                <w:p>
                  <w:pPr>
                    <w:pStyle w:val="11"/>
                    <w:bidi w:val="0"/>
                    <w:jc w:val="center"/>
                  </w:pPr>
                  <w:r>
                    <w:rPr>
                      <w:rFonts w:hint="eastAsia"/>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4" w:type="pct"/>
                  <w:vAlign w:val="center"/>
                </w:tcPr>
                <w:p>
                  <w:pPr>
                    <w:pStyle w:val="11"/>
                    <w:bidi w:val="0"/>
                    <w:jc w:val="center"/>
                    <w:rPr>
                      <w:rFonts w:hint="eastAsia" w:eastAsia="宋体"/>
                      <w:lang w:eastAsia="zh-CN"/>
                    </w:rPr>
                  </w:pPr>
                  <w:r>
                    <w:rPr>
                      <w:rFonts w:hint="eastAsia"/>
                      <w:lang w:val="en-US" w:eastAsia="zh-CN"/>
                    </w:rPr>
                    <w:t>氯化物</w:t>
                  </w:r>
                </w:p>
              </w:tc>
              <w:tc>
                <w:tcPr>
                  <w:tcW w:w="661" w:type="pct"/>
                  <w:vAlign w:val="center"/>
                </w:tcPr>
                <w:p>
                  <w:pPr>
                    <w:pStyle w:val="11"/>
                    <w:bidi w:val="0"/>
                    <w:jc w:val="center"/>
                    <w:rPr>
                      <w:rFonts w:hint="default" w:eastAsia="宋体"/>
                      <w:lang w:val="en-US" w:eastAsia="zh-CN"/>
                    </w:rPr>
                  </w:pPr>
                  <w:r>
                    <w:rPr>
                      <w:rFonts w:hint="eastAsia"/>
                      <w:lang w:val="en-US" w:eastAsia="zh-CN"/>
                    </w:rPr>
                    <w:t>9.9</w:t>
                  </w:r>
                </w:p>
              </w:tc>
              <w:tc>
                <w:tcPr>
                  <w:tcW w:w="1132" w:type="pct"/>
                  <w:vAlign w:val="center"/>
                </w:tcPr>
                <w:p>
                  <w:pPr>
                    <w:pStyle w:val="11"/>
                    <w:bidi w:val="0"/>
                    <w:jc w:val="center"/>
                    <w:rPr>
                      <w:rFonts w:hint="default" w:eastAsia="宋体"/>
                      <w:lang w:val="en-US" w:eastAsia="zh-CN"/>
                    </w:rPr>
                  </w:pPr>
                  <w:r>
                    <w:rPr>
                      <w:rFonts w:hint="eastAsia"/>
                      <w:lang w:val="en-US" w:eastAsia="zh-CN"/>
                    </w:rPr>
                    <w:t>250</w:t>
                  </w:r>
                </w:p>
              </w:tc>
              <w:tc>
                <w:tcPr>
                  <w:tcW w:w="817" w:type="pct"/>
                  <w:vAlign w:val="center"/>
                </w:tcPr>
                <w:p>
                  <w:pPr>
                    <w:pStyle w:val="11"/>
                    <w:bidi w:val="0"/>
                    <w:jc w:val="center"/>
                    <w:rPr>
                      <w:rFonts w:hint="default" w:eastAsia="宋体"/>
                      <w:lang w:val="en-US" w:eastAsia="zh-CN"/>
                    </w:rPr>
                  </w:pPr>
                  <w:r>
                    <w:rPr>
                      <w:rFonts w:hint="eastAsia"/>
                      <w:lang w:val="en-US" w:eastAsia="zh-CN"/>
                    </w:rPr>
                    <w:t>0.04</w:t>
                  </w:r>
                </w:p>
              </w:tc>
              <w:tc>
                <w:tcPr>
                  <w:tcW w:w="817" w:type="pct"/>
                  <w:vAlign w:val="center"/>
                </w:tcPr>
                <w:p>
                  <w:pPr>
                    <w:pStyle w:val="11"/>
                    <w:bidi w:val="0"/>
                    <w:jc w:val="center"/>
                    <w:rPr>
                      <w:rFonts w:hint="eastAsia" w:eastAsia="宋体"/>
                      <w:lang w:val="en-US" w:eastAsia="zh-CN"/>
                    </w:rPr>
                  </w:pPr>
                  <w:r>
                    <w:rPr>
                      <w:rFonts w:hint="eastAsia"/>
                      <w:lang w:val="en-US" w:eastAsia="zh-CN"/>
                    </w:rPr>
                    <w:t>0</w:t>
                  </w:r>
                </w:p>
              </w:tc>
              <w:tc>
                <w:tcPr>
                  <w:tcW w:w="817" w:type="pct"/>
                  <w:vAlign w:val="center"/>
                </w:tcPr>
                <w:p>
                  <w:pPr>
                    <w:pStyle w:val="11"/>
                    <w:bidi w:val="0"/>
                    <w:jc w:val="center"/>
                  </w:pPr>
                  <w:r>
                    <w:rPr>
                      <w:rFonts w:hint="eastAsia"/>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4" w:type="pct"/>
                  <w:vAlign w:val="center"/>
                </w:tcPr>
                <w:p>
                  <w:pPr>
                    <w:pStyle w:val="11"/>
                    <w:bidi w:val="0"/>
                    <w:jc w:val="center"/>
                    <w:rPr>
                      <w:rFonts w:hint="eastAsia" w:eastAsia="宋体"/>
                      <w:lang w:eastAsia="zh-CN"/>
                    </w:rPr>
                  </w:pPr>
                  <w:r>
                    <w:rPr>
                      <w:rFonts w:hint="eastAsia"/>
                      <w:lang w:val="en-US" w:eastAsia="zh-CN"/>
                    </w:rPr>
                    <w:t>硫酸盐</w:t>
                  </w:r>
                </w:p>
              </w:tc>
              <w:tc>
                <w:tcPr>
                  <w:tcW w:w="661" w:type="pct"/>
                  <w:vAlign w:val="center"/>
                </w:tcPr>
                <w:p>
                  <w:pPr>
                    <w:pStyle w:val="11"/>
                    <w:bidi w:val="0"/>
                    <w:jc w:val="center"/>
                    <w:rPr>
                      <w:rFonts w:hint="default" w:eastAsia="宋体"/>
                      <w:lang w:val="en-US" w:eastAsia="zh-CN"/>
                    </w:rPr>
                  </w:pPr>
                  <w:r>
                    <w:rPr>
                      <w:rFonts w:hint="eastAsia"/>
                      <w:lang w:val="en-US" w:eastAsia="zh-CN"/>
                    </w:rPr>
                    <w:t>25.2</w:t>
                  </w:r>
                </w:p>
              </w:tc>
              <w:tc>
                <w:tcPr>
                  <w:tcW w:w="1132" w:type="pct"/>
                  <w:vAlign w:val="center"/>
                </w:tcPr>
                <w:p>
                  <w:pPr>
                    <w:pStyle w:val="11"/>
                    <w:bidi w:val="0"/>
                    <w:jc w:val="center"/>
                    <w:rPr>
                      <w:rFonts w:hint="default" w:eastAsia="宋体"/>
                      <w:lang w:val="en-US" w:eastAsia="zh-CN"/>
                    </w:rPr>
                  </w:pPr>
                  <w:r>
                    <w:rPr>
                      <w:rFonts w:hint="eastAsia"/>
                      <w:lang w:val="en-US" w:eastAsia="zh-CN"/>
                    </w:rPr>
                    <w:t>250</w:t>
                  </w:r>
                </w:p>
              </w:tc>
              <w:tc>
                <w:tcPr>
                  <w:tcW w:w="817" w:type="pct"/>
                  <w:vAlign w:val="center"/>
                </w:tcPr>
                <w:p>
                  <w:pPr>
                    <w:pStyle w:val="11"/>
                    <w:bidi w:val="0"/>
                    <w:jc w:val="center"/>
                    <w:rPr>
                      <w:rFonts w:hint="default" w:eastAsia="宋体"/>
                      <w:lang w:val="en-US" w:eastAsia="zh-CN"/>
                    </w:rPr>
                  </w:pPr>
                  <w:r>
                    <w:rPr>
                      <w:rFonts w:hint="eastAsia"/>
                      <w:lang w:val="en-US" w:eastAsia="zh-CN"/>
                    </w:rPr>
                    <w:t>0.10</w:t>
                  </w:r>
                </w:p>
              </w:tc>
              <w:tc>
                <w:tcPr>
                  <w:tcW w:w="817" w:type="pct"/>
                  <w:vAlign w:val="center"/>
                </w:tcPr>
                <w:p>
                  <w:pPr>
                    <w:pStyle w:val="11"/>
                    <w:bidi w:val="0"/>
                    <w:jc w:val="center"/>
                    <w:rPr>
                      <w:rFonts w:hint="eastAsia" w:eastAsia="宋体"/>
                      <w:lang w:val="en-US" w:eastAsia="zh-CN"/>
                    </w:rPr>
                  </w:pPr>
                  <w:r>
                    <w:rPr>
                      <w:rFonts w:hint="eastAsia"/>
                      <w:lang w:val="en-US" w:eastAsia="zh-CN"/>
                    </w:rPr>
                    <w:t>0</w:t>
                  </w:r>
                </w:p>
              </w:tc>
              <w:tc>
                <w:tcPr>
                  <w:tcW w:w="817" w:type="pct"/>
                  <w:vAlign w:val="center"/>
                </w:tcPr>
                <w:p>
                  <w:pPr>
                    <w:pStyle w:val="11"/>
                    <w:bidi w:val="0"/>
                    <w:jc w:val="center"/>
                  </w:pPr>
                  <w:r>
                    <w:rPr>
                      <w:rFonts w:hint="eastAsia"/>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4" w:type="pct"/>
                  <w:vAlign w:val="center"/>
                </w:tcPr>
                <w:p>
                  <w:pPr>
                    <w:pStyle w:val="11"/>
                    <w:bidi w:val="0"/>
                    <w:jc w:val="center"/>
                    <w:rPr>
                      <w:rFonts w:hint="default"/>
                      <w:lang w:val="en-US" w:eastAsia="zh-CN"/>
                    </w:rPr>
                  </w:pPr>
                  <w:r>
                    <w:rPr>
                      <w:rFonts w:hint="eastAsia"/>
                      <w:lang w:val="en-US" w:eastAsia="zh-CN"/>
                    </w:rPr>
                    <w:t>亚硫酸盐</w:t>
                  </w:r>
                </w:p>
              </w:tc>
              <w:tc>
                <w:tcPr>
                  <w:tcW w:w="661" w:type="pct"/>
                  <w:vAlign w:val="center"/>
                </w:tcPr>
                <w:p>
                  <w:pPr>
                    <w:pStyle w:val="11"/>
                    <w:bidi w:val="0"/>
                    <w:jc w:val="center"/>
                    <w:rPr>
                      <w:rFonts w:hint="default"/>
                      <w:lang w:val="en-US" w:eastAsia="zh-CN"/>
                    </w:rPr>
                  </w:pPr>
                  <w:r>
                    <w:rPr>
                      <w:rFonts w:hint="eastAsia"/>
                      <w:lang w:val="en-US" w:eastAsia="zh-CN"/>
                    </w:rPr>
                    <w:t>0.003</w:t>
                  </w:r>
                </w:p>
              </w:tc>
              <w:tc>
                <w:tcPr>
                  <w:tcW w:w="1132" w:type="pct"/>
                  <w:vAlign w:val="center"/>
                </w:tcPr>
                <w:p>
                  <w:pPr>
                    <w:pStyle w:val="11"/>
                    <w:bidi w:val="0"/>
                    <w:jc w:val="center"/>
                    <w:rPr>
                      <w:rFonts w:hint="default"/>
                      <w:lang w:val="en-US" w:eastAsia="zh-CN"/>
                    </w:rPr>
                  </w:pPr>
                  <w:r>
                    <w:rPr>
                      <w:rFonts w:hint="eastAsia"/>
                      <w:lang w:val="en-US" w:eastAsia="zh-CN"/>
                    </w:rPr>
                    <w:t>1.0</w:t>
                  </w:r>
                </w:p>
              </w:tc>
              <w:tc>
                <w:tcPr>
                  <w:tcW w:w="817" w:type="pct"/>
                  <w:vAlign w:val="center"/>
                </w:tcPr>
                <w:p>
                  <w:pPr>
                    <w:pStyle w:val="11"/>
                    <w:bidi w:val="0"/>
                    <w:jc w:val="center"/>
                    <w:rPr>
                      <w:rFonts w:hint="default"/>
                      <w:lang w:val="en-US" w:eastAsia="zh-CN"/>
                    </w:rPr>
                  </w:pPr>
                  <w:r>
                    <w:rPr>
                      <w:rFonts w:hint="eastAsia"/>
                      <w:lang w:val="en-US" w:eastAsia="zh-CN"/>
                    </w:rPr>
                    <w:t>0.003</w:t>
                  </w:r>
                </w:p>
              </w:tc>
              <w:tc>
                <w:tcPr>
                  <w:tcW w:w="817" w:type="pct"/>
                  <w:vAlign w:val="center"/>
                </w:tcPr>
                <w:p>
                  <w:pPr>
                    <w:pStyle w:val="11"/>
                    <w:bidi w:val="0"/>
                    <w:jc w:val="center"/>
                    <w:rPr>
                      <w:rFonts w:hint="eastAsia"/>
                      <w:lang w:val="en-US" w:eastAsia="zh-CN"/>
                    </w:rPr>
                  </w:pPr>
                  <w:r>
                    <w:rPr>
                      <w:rFonts w:hint="eastAsia"/>
                      <w:lang w:val="en-US" w:eastAsia="zh-CN"/>
                    </w:rPr>
                    <w:t>0</w:t>
                  </w:r>
                </w:p>
              </w:tc>
              <w:tc>
                <w:tcPr>
                  <w:tcW w:w="817" w:type="pct"/>
                  <w:vAlign w:val="center"/>
                </w:tcPr>
                <w:p>
                  <w:pPr>
                    <w:pStyle w:val="11"/>
                    <w:bidi w:val="0"/>
                    <w:jc w:val="center"/>
                    <w:rPr>
                      <w:rFonts w:hint="eastAsia"/>
                      <w:lang w:val="en-US" w:eastAsia="zh-CN"/>
                    </w:rPr>
                  </w:pPr>
                  <w:r>
                    <w:rPr>
                      <w:rFonts w:hint="eastAsia"/>
                      <w:lang w:val="en-US" w:eastAsia="zh-CN"/>
                    </w:rPr>
                    <w:t>达标</w:t>
                  </w:r>
                </w:p>
              </w:tc>
            </w:tr>
          </w:tbl>
          <w:p>
            <w:pPr>
              <w:spacing w:line="360" w:lineRule="auto"/>
              <w:ind w:firstLine="480"/>
              <w:rPr>
                <w:color w:val="auto"/>
              </w:rPr>
            </w:pPr>
            <w:r>
              <w:rPr>
                <w:color w:val="auto"/>
                <w:kern w:val="0"/>
              </w:rPr>
              <w:t>根据表</w:t>
            </w:r>
            <w:r>
              <w:rPr>
                <w:rFonts w:hint="eastAsia"/>
                <w:color w:val="auto"/>
                <w:kern w:val="0"/>
              </w:rPr>
              <w:t>3</w:t>
            </w:r>
            <w:r>
              <w:rPr>
                <w:color w:val="auto"/>
                <w:kern w:val="0"/>
              </w:rPr>
              <w:t>-4可</w:t>
            </w:r>
            <w:r>
              <w:rPr>
                <w:rFonts w:hint="eastAsia"/>
                <w:color w:val="auto"/>
                <w:kern w:val="0"/>
              </w:rPr>
              <w:t>知</w:t>
            </w:r>
            <w:r>
              <w:rPr>
                <w:color w:val="auto"/>
                <w:kern w:val="0"/>
              </w:rPr>
              <w:t>，项目所在地地下水主要水质指标均可达到《地下水质量标准》（GB/T14848-2017）Ⅲ类标准要求。</w:t>
            </w:r>
          </w:p>
          <w:p>
            <w:pPr>
              <w:pStyle w:val="4"/>
              <w:bidi w:val="0"/>
            </w:pPr>
            <w:r>
              <w:rPr>
                <w:rFonts w:hint="eastAsia"/>
                <w:lang w:val="en-US" w:eastAsia="zh-CN"/>
              </w:rPr>
              <w:t>4、</w:t>
            </w:r>
            <w:r>
              <w:t>声环境质量现状</w:t>
            </w:r>
          </w:p>
          <w:p>
            <w:pPr>
              <w:bidi w:val="0"/>
              <w:rPr>
                <w:rFonts w:hint="eastAsia"/>
                <w:lang w:eastAsia="zh-CN"/>
              </w:rPr>
            </w:pPr>
            <w:r>
              <w:t>根据现场调查，项目厂界外周边50m范围内声环境保护目标为</w:t>
            </w:r>
            <w:r>
              <w:rPr>
                <w:rFonts w:hint="eastAsia"/>
                <w:lang w:val="en-US" w:eastAsia="zh-CN"/>
              </w:rPr>
              <w:t>北</w:t>
            </w:r>
            <w:r>
              <w:t>侧</w:t>
            </w:r>
            <w:r>
              <w:rPr>
                <w:rFonts w:hint="eastAsia"/>
                <w:lang w:val="en-US" w:eastAsia="zh-CN"/>
              </w:rPr>
              <w:t>30</w:t>
            </w:r>
            <w:r>
              <w:t>m的</w:t>
            </w:r>
            <w:r>
              <w:rPr>
                <w:rFonts w:hint="eastAsia"/>
                <w:lang w:val="en-US" w:eastAsia="zh-CN"/>
              </w:rPr>
              <w:t>大罗庄村</w:t>
            </w:r>
            <w:r>
              <w:t>，根据《</w:t>
            </w:r>
            <w:r>
              <w:rPr>
                <w:rFonts w:hint="eastAsia"/>
                <w:lang w:val="en-US" w:eastAsia="zh-CN"/>
              </w:rPr>
              <w:t>河南新弘电力科技有限公司年产20万只输变电复合绝缘子、2500吨电力金具生产线智能化改造项目区域</w:t>
            </w:r>
            <w:r>
              <w:rPr>
                <w:rFonts w:hint="eastAsia"/>
              </w:rPr>
              <w:t>环境质量现状检测</w:t>
            </w:r>
            <w:r>
              <w:rPr>
                <w:color w:val="auto"/>
              </w:rPr>
              <w:t>》</w:t>
            </w:r>
            <w:r>
              <w:rPr>
                <w:rFonts w:hint="eastAsia"/>
                <w:color w:val="auto"/>
              </w:rPr>
              <w:t>（2</w:t>
            </w:r>
            <w:r>
              <w:rPr>
                <w:color w:val="auto"/>
              </w:rPr>
              <w:t>021</w:t>
            </w:r>
            <w:r>
              <w:rPr>
                <w:rFonts w:hint="eastAsia"/>
                <w:color w:val="auto"/>
              </w:rPr>
              <w:t>.</w:t>
            </w:r>
            <w:r>
              <w:rPr>
                <w:color w:val="auto"/>
              </w:rPr>
              <w:t>0</w:t>
            </w:r>
            <w:r>
              <w:rPr>
                <w:rFonts w:hint="eastAsia"/>
                <w:color w:val="auto"/>
                <w:lang w:val="en-US" w:eastAsia="zh-CN"/>
              </w:rPr>
              <w:t>8</w:t>
            </w:r>
            <w:r>
              <w:rPr>
                <w:color w:val="auto"/>
              </w:rPr>
              <w:t>.</w:t>
            </w:r>
            <w:r>
              <w:rPr>
                <w:rFonts w:hint="eastAsia"/>
                <w:color w:val="auto"/>
                <w:lang w:val="en-US" w:eastAsia="zh-CN"/>
              </w:rPr>
              <w:t>01</w:t>
            </w:r>
            <w:r>
              <w:rPr>
                <w:rFonts w:hint="eastAsia"/>
                <w:color w:val="auto"/>
              </w:rPr>
              <w:t>）</w:t>
            </w:r>
            <w:r>
              <w:rPr>
                <w:color w:val="auto"/>
              </w:rPr>
              <w:t>中</w:t>
            </w:r>
            <w:r>
              <w:rPr>
                <w:rFonts w:hint="eastAsia"/>
                <w:color w:val="auto"/>
                <w:lang w:val="en-US" w:eastAsia="zh-CN"/>
              </w:rPr>
              <w:t>大罗庄村</w:t>
            </w:r>
            <w:r>
              <w:rPr>
                <w:color w:val="auto"/>
              </w:rPr>
              <w:t>噪声监测结果：昼间</w:t>
            </w:r>
            <w:r>
              <w:rPr>
                <w:rFonts w:hint="eastAsia"/>
                <w:color w:val="auto"/>
                <w:lang w:val="en-US" w:eastAsia="zh-CN"/>
              </w:rPr>
              <w:t>49</w:t>
            </w:r>
            <w:r>
              <w:rPr>
                <w:color w:val="auto"/>
              </w:rPr>
              <w:t>dB</w:t>
            </w:r>
            <w:r>
              <w:rPr>
                <w:rFonts w:hint="eastAsia"/>
                <w:color w:val="auto"/>
                <w:lang w:val="en-US" w:eastAsia="zh-CN"/>
              </w:rPr>
              <w:t>(</w:t>
            </w:r>
            <w:r>
              <w:rPr>
                <w:color w:val="auto"/>
              </w:rPr>
              <w:t>A</w:t>
            </w:r>
            <w:r>
              <w:rPr>
                <w:rFonts w:hint="eastAsia"/>
                <w:color w:val="auto"/>
                <w:lang w:val="en-US" w:eastAsia="zh-CN"/>
              </w:rPr>
              <w:t>)</w:t>
            </w:r>
            <w:r>
              <w:rPr>
                <w:color w:val="auto"/>
              </w:rPr>
              <w:t>、夜间40dB</w:t>
            </w:r>
            <w:r>
              <w:rPr>
                <w:rFonts w:hint="eastAsia"/>
                <w:color w:val="auto"/>
                <w:lang w:val="en-US" w:eastAsia="zh-CN"/>
              </w:rPr>
              <w:t>(</w:t>
            </w:r>
            <w:r>
              <w:rPr>
                <w:color w:val="auto"/>
              </w:rPr>
              <w:t>A</w:t>
            </w:r>
            <w:r>
              <w:rPr>
                <w:rFonts w:hint="eastAsia"/>
                <w:color w:val="auto"/>
                <w:lang w:val="en-US" w:eastAsia="zh-CN"/>
              </w:rPr>
              <w:t>)</w:t>
            </w:r>
            <w:r>
              <w:rPr>
                <w:color w:val="auto"/>
              </w:rPr>
              <w:t>，满足《</w:t>
            </w:r>
            <w:r>
              <w:t>声环境质量标准》（GB3096-2008）2类标准要求</w:t>
            </w:r>
            <w:r>
              <w:rPr>
                <w:rFonts w:hint="eastAsia"/>
              </w:rPr>
              <w:t>（昼间6</w:t>
            </w:r>
            <w:r>
              <w:t>0dB</w:t>
            </w:r>
            <w:r>
              <w:rPr>
                <w:rFonts w:hint="eastAsia"/>
                <w:lang w:val="en-US" w:eastAsia="zh-CN"/>
              </w:rPr>
              <w:t>(</w:t>
            </w:r>
            <w:r>
              <w:t>A</w:t>
            </w:r>
            <w:r>
              <w:rPr>
                <w:rFonts w:hint="eastAsia"/>
                <w:lang w:val="en-US" w:eastAsia="zh-CN"/>
              </w:rPr>
              <w:t>)</w:t>
            </w:r>
            <w:r>
              <w:rPr>
                <w:rFonts w:hint="eastAsia"/>
              </w:rPr>
              <w:t>，夜间5</w:t>
            </w:r>
            <w:r>
              <w:t>0dB</w:t>
            </w:r>
            <w:r>
              <w:rPr>
                <w:rFonts w:hint="eastAsia"/>
                <w:lang w:val="en-US" w:eastAsia="zh-CN"/>
              </w:rPr>
              <w:t>(</w:t>
            </w:r>
            <w:r>
              <w:t>A</w:t>
            </w:r>
            <w:r>
              <w:rPr>
                <w:rFonts w:hint="eastAsia"/>
                <w:lang w:val="en-US" w:eastAsia="zh-CN"/>
              </w:rPr>
              <w:t>)</w:t>
            </w:r>
            <w:r>
              <w:rPr>
                <w:rFonts w:hint="eastAsia"/>
              </w:rPr>
              <w:t>）</w:t>
            </w:r>
            <w: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1" w:hRule="atLeast"/>
        </w:trPr>
        <w:tc>
          <w:tcPr>
            <w:tcW w:w="394" w:type="dxa"/>
            <w:vAlign w:val="center"/>
          </w:tcPr>
          <w:p>
            <w:pPr>
              <w:pStyle w:val="11"/>
              <w:bidi w:val="0"/>
              <w:rPr>
                <w:rFonts w:hint="eastAsia"/>
                <w:sz w:val="24"/>
                <w:szCs w:val="24"/>
                <w:lang w:eastAsia="zh-CN"/>
              </w:rPr>
            </w:pPr>
            <w:r>
              <w:rPr>
                <w:rFonts w:hint="eastAsia"/>
                <w:sz w:val="24"/>
                <w:szCs w:val="24"/>
                <w:lang w:eastAsia="zh-CN"/>
              </w:rPr>
              <w:t>环境保护目标</w:t>
            </w:r>
          </w:p>
        </w:tc>
        <w:tc>
          <w:tcPr>
            <w:tcW w:w="8554" w:type="dxa"/>
            <w:vAlign w:val="center"/>
          </w:tcPr>
          <w:p>
            <w:pPr>
              <w:pStyle w:val="4"/>
              <w:bidi w:val="0"/>
            </w:pPr>
            <w:r>
              <w:rPr>
                <w:rFonts w:hint="eastAsia"/>
                <w:lang w:val="en-US" w:eastAsia="zh-CN"/>
              </w:rPr>
              <w:t>1</w:t>
            </w:r>
            <w:r>
              <w:t>、大气环境</w:t>
            </w:r>
          </w:p>
          <w:p>
            <w:pPr>
              <w:bidi w:val="0"/>
            </w:pPr>
            <w:r>
              <w:t>本项目位于</w:t>
            </w:r>
            <w:r>
              <w:rPr>
                <w:rFonts w:hint="eastAsia"/>
                <w:lang w:val="en-US" w:eastAsia="zh-CN"/>
              </w:rPr>
              <w:t>许昌市城乡一体化示范区高新技术产业园东北角</w:t>
            </w:r>
            <w:r>
              <w:t>，经现场调查，项目厂界外500m范围内的环境保护目标</w:t>
            </w:r>
            <w:r>
              <w:rPr>
                <w:rFonts w:hint="eastAsia"/>
                <w:lang w:val="en-US" w:eastAsia="zh-CN"/>
              </w:rPr>
              <w:t>为：北</w:t>
            </w:r>
            <w:r>
              <w:t>侧</w:t>
            </w:r>
            <w:r>
              <w:rPr>
                <w:rFonts w:hint="eastAsia"/>
                <w:lang w:val="en-US" w:eastAsia="zh-CN"/>
              </w:rPr>
              <w:t>30</w:t>
            </w:r>
            <w:r>
              <w:t>m的</w:t>
            </w:r>
            <w:r>
              <w:rPr>
                <w:rFonts w:hint="eastAsia"/>
                <w:lang w:val="en-US" w:eastAsia="zh-CN"/>
              </w:rPr>
              <w:t>大罗庄村</w:t>
            </w:r>
            <w:r>
              <w:t>。</w:t>
            </w:r>
          </w:p>
          <w:p>
            <w:pPr>
              <w:pStyle w:val="4"/>
              <w:bidi w:val="0"/>
            </w:pPr>
            <w:r>
              <w:t>2、声环境</w:t>
            </w:r>
          </w:p>
          <w:p>
            <w:pPr>
              <w:bidi w:val="0"/>
            </w:pPr>
            <w:r>
              <w:t>本项目位于</w:t>
            </w:r>
            <w:r>
              <w:rPr>
                <w:rFonts w:hint="eastAsia"/>
                <w:lang w:val="en-US" w:eastAsia="zh-CN"/>
              </w:rPr>
              <w:t>许昌市城乡一体化示范区高新技术产业园东北角</w:t>
            </w:r>
            <w:r>
              <w:t>，厂界50m范围内的声环境保护目标</w:t>
            </w:r>
            <w:r>
              <w:rPr>
                <w:rFonts w:hint="eastAsia"/>
              </w:rPr>
              <w:t>为</w:t>
            </w:r>
            <w:r>
              <w:rPr>
                <w:rFonts w:hint="eastAsia"/>
                <w:lang w:val="en-US" w:eastAsia="zh-CN"/>
              </w:rPr>
              <w:t>北</w:t>
            </w:r>
            <w:r>
              <w:t>侧</w:t>
            </w:r>
            <w:r>
              <w:rPr>
                <w:rFonts w:hint="eastAsia"/>
                <w:lang w:val="en-US" w:eastAsia="zh-CN"/>
              </w:rPr>
              <w:t>30</w:t>
            </w:r>
            <w:r>
              <w:t>m的</w:t>
            </w:r>
            <w:r>
              <w:rPr>
                <w:rFonts w:hint="eastAsia"/>
                <w:lang w:val="en-US" w:eastAsia="zh-CN"/>
              </w:rPr>
              <w:t>大罗庄村</w:t>
            </w:r>
            <w:r>
              <w:t>。</w:t>
            </w:r>
          </w:p>
          <w:p>
            <w:pPr>
              <w:pStyle w:val="4"/>
              <w:bidi w:val="0"/>
            </w:pPr>
            <w:r>
              <w:t>3、地下水环境</w:t>
            </w:r>
          </w:p>
          <w:p>
            <w:pPr>
              <w:bidi w:val="0"/>
            </w:pPr>
            <w:r>
              <w:t>本项目厂界外500米范围内不存在地下水集中式饮用水水源和热水、矿泉水、温泉等特殊地下水资源。根据《</w:t>
            </w:r>
            <w:r>
              <w:rPr>
                <w:rFonts w:hint="eastAsia"/>
              </w:rPr>
              <w:t>河南省人民政府办公厅关于印发河南省乡镇集中式饮用水水源保护区划的通知</w:t>
            </w:r>
            <w:r>
              <w:t>》</w:t>
            </w:r>
            <w:r>
              <w:rPr>
                <w:rFonts w:hint="eastAsia"/>
                <w:lang w:eastAsia="zh-CN"/>
              </w:rPr>
              <w:t>（豫政办〔2016〕23号）</w:t>
            </w:r>
            <w:r>
              <w:t>，距本项目所在厂区最近的饮用水水源地为</w:t>
            </w:r>
            <w:r>
              <w:rPr>
                <w:rFonts w:hint="eastAsia"/>
              </w:rPr>
              <w:t>小召乡绰韩村地下水型水源地</w:t>
            </w:r>
            <w:r>
              <w:t>，其保护区</w:t>
            </w:r>
            <w:r>
              <w:rPr>
                <w:rFonts w:hint="eastAsia"/>
              </w:rPr>
              <w:t>范围</w:t>
            </w:r>
            <w:r>
              <w:t>为</w:t>
            </w:r>
            <w:r>
              <w:rPr>
                <w:rFonts w:hint="eastAsia"/>
              </w:rPr>
              <w:t>：以1号、3号、4号取水井为中心，半径30m圆形的外接多边形区域；2号取水井外围30m的圆形范围区域。</w:t>
            </w:r>
            <w:r>
              <w:t>本项目距</w:t>
            </w:r>
            <w:r>
              <w:rPr>
                <w:rFonts w:hint="eastAsia"/>
              </w:rPr>
              <w:t>绰韩村</w:t>
            </w:r>
            <w:r>
              <w:t>约</w:t>
            </w:r>
            <w:r>
              <w:rPr>
                <w:rFonts w:hint="eastAsia"/>
                <w:lang w:val="en-US" w:eastAsia="zh-CN"/>
              </w:rPr>
              <w:t>7.7</w:t>
            </w:r>
            <w:r>
              <w:t>km，不</w:t>
            </w:r>
            <w:r>
              <w:rPr>
                <w:rFonts w:hint="eastAsia"/>
              </w:rPr>
              <w:t>在</w:t>
            </w:r>
            <w:r>
              <w:t>其保护范围内。</w:t>
            </w:r>
          </w:p>
          <w:p>
            <w:pPr>
              <w:pStyle w:val="4"/>
              <w:bidi w:val="0"/>
            </w:pPr>
            <w:r>
              <w:t>4、生态环境</w:t>
            </w:r>
          </w:p>
          <w:p>
            <w:pPr>
              <w:bidi w:val="0"/>
            </w:pPr>
            <w:r>
              <w:t>本项目位于</w:t>
            </w:r>
            <w:r>
              <w:rPr>
                <w:rFonts w:hint="eastAsia"/>
                <w:lang w:val="en-US" w:eastAsia="zh-CN"/>
              </w:rPr>
              <w:t>许昌市城乡一体化示范区高新技术产业园东北角</w:t>
            </w:r>
            <w:r>
              <w:t>，根据现场踏勘，周边不存在生态环境保护目标。</w:t>
            </w:r>
          </w:p>
          <w:p>
            <w:pPr>
              <w:bidi w:val="0"/>
            </w:pPr>
            <w:r>
              <w:t>综上所述，根据现场踏勘，项目周边主要环境保护目标见表3-5。</w:t>
            </w:r>
          </w:p>
          <w:p>
            <w:pPr>
              <w:pStyle w:val="12"/>
              <w:widowControl w:val="0"/>
              <w:bidi w:val="0"/>
            </w:pPr>
            <w:r>
              <w:t>表3-5</w:t>
            </w:r>
            <w:r>
              <w:rPr>
                <w:rFonts w:hint="eastAsia"/>
                <w:lang w:val="en-US" w:eastAsia="zh-CN"/>
              </w:rPr>
              <w:t xml:space="preserve"> </w:t>
            </w:r>
            <w:r>
              <w:t xml:space="preserve">  环境保护目标一览表</w:t>
            </w:r>
          </w:p>
          <w:tbl>
            <w:tblPr>
              <w:tblStyle w:val="8"/>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707"/>
              <w:gridCol w:w="1126"/>
              <w:gridCol w:w="1040"/>
              <w:gridCol w:w="1040"/>
              <w:gridCol w:w="1040"/>
              <w:gridCol w:w="1041"/>
              <w:gridCol w:w="22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40" w:hRule="atLeast"/>
              </w:trPr>
              <w:tc>
                <w:tcPr>
                  <w:tcW w:w="427" w:type="pct"/>
                  <w:vMerge w:val="restart"/>
                  <w:shd w:val="clear" w:color="auto" w:fill="auto"/>
                  <w:noWrap w:val="0"/>
                  <w:vAlign w:val="center"/>
                </w:tcPr>
                <w:p>
                  <w:pPr>
                    <w:pStyle w:val="11"/>
                    <w:bidi w:val="0"/>
                  </w:pPr>
                  <w:r>
                    <w:t>序号</w:t>
                  </w:r>
                </w:p>
              </w:tc>
              <w:tc>
                <w:tcPr>
                  <w:tcW w:w="680" w:type="pct"/>
                  <w:vMerge w:val="restart"/>
                  <w:shd w:val="clear" w:color="auto" w:fill="auto"/>
                  <w:noWrap w:val="0"/>
                  <w:vAlign w:val="center"/>
                </w:tcPr>
                <w:p>
                  <w:pPr>
                    <w:pStyle w:val="11"/>
                    <w:bidi w:val="0"/>
                  </w:pPr>
                  <w:r>
                    <w:t>保护类别</w:t>
                  </w:r>
                </w:p>
              </w:tc>
              <w:tc>
                <w:tcPr>
                  <w:tcW w:w="2513" w:type="pct"/>
                  <w:gridSpan w:val="4"/>
                  <w:shd w:val="clear" w:color="auto" w:fill="auto"/>
                  <w:noWrap w:val="0"/>
                  <w:vAlign w:val="center"/>
                </w:tcPr>
                <w:p>
                  <w:pPr>
                    <w:pStyle w:val="11"/>
                    <w:bidi w:val="0"/>
                  </w:pPr>
                  <w:r>
                    <w:t>敏感保护目标</w:t>
                  </w:r>
                </w:p>
              </w:tc>
              <w:tc>
                <w:tcPr>
                  <w:tcW w:w="1378" w:type="pct"/>
                  <w:vMerge w:val="restart"/>
                  <w:shd w:val="clear" w:color="auto" w:fill="auto"/>
                  <w:noWrap w:val="0"/>
                  <w:vAlign w:val="center"/>
                </w:tcPr>
                <w:p>
                  <w:pPr>
                    <w:pStyle w:val="11"/>
                    <w:bidi w:val="0"/>
                  </w:pPr>
                  <w:r>
                    <w:t>保护级别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427" w:type="pct"/>
                  <w:vMerge w:val="continue"/>
                  <w:shd w:val="clear" w:color="auto" w:fill="auto"/>
                  <w:noWrap w:val="0"/>
                  <w:vAlign w:val="center"/>
                </w:tcPr>
                <w:p>
                  <w:pPr>
                    <w:pStyle w:val="11"/>
                    <w:bidi w:val="0"/>
                  </w:pPr>
                </w:p>
              </w:tc>
              <w:tc>
                <w:tcPr>
                  <w:tcW w:w="680" w:type="pct"/>
                  <w:vMerge w:val="continue"/>
                  <w:shd w:val="clear" w:color="auto" w:fill="auto"/>
                  <w:noWrap w:val="0"/>
                  <w:vAlign w:val="center"/>
                </w:tcPr>
                <w:p>
                  <w:pPr>
                    <w:pStyle w:val="11"/>
                    <w:bidi w:val="0"/>
                  </w:pPr>
                </w:p>
              </w:tc>
              <w:tc>
                <w:tcPr>
                  <w:tcW w:w="628" w:type="pct"/>
                  <w:shd w:val="clear" w:color="auto" w:fill="auto"/>
                  <w:noWrap w:val="0"/>
                  <w:vAlign w:val="center"/>
                </w:tcPr>
                <w:p>
                  <w:pPr>
                    <w:pStyle w:val="11"/>
                    <w:bidi w:val="0"/>
                  </w:pPr>
                  <w:r>
                    <w:t>名称</w:t>
                  </w:r>
                </w:p>
              </w:tc>
              <w:tc>
                <w:tcPr>
                  <w:tcW w:w="628" w:type="pct"/>
                  <w:shd w:val="clear" w:color="auto" w:fill="auto"/>
                  <w:noWrap w:val="0"/>
                  <w:vAlign w:val="center"/>
                </w:tcPr>
                <w:p>
                  <w:pPr>
                    <w:pStyle w:val="11"/>
                    <w:bidi w:val="0"/>
                  </w:pPr>
                  <w:r>
                    <w:t>方位</w:t>
                  </w:r>
                </w:p>
              </w:tc>
              <w:tc>
                <w:tcPr>
                  <w:tcW w:w="628" w:type="pct"/>
                  <w:shd w:val="clear" w:color="auto" w:fill="auto"/>
                  <w:noWrap w:val="0"/>
                  <w:vAlign w:val="center"/>
                </w:tcPr>
                <w:p>
                  <w:pPr>
                    <w:pStyle w:val="11"/>
                    <w:bidi w:val="0"/>
                  </w:pPr>
                  <w:r>
                    <w:t>距离</w:t>
                  </w:r>
                </w:p>
              </w:tc>
              <w:tc>
                <w:tcPr>
                  <w:tcW w:w="628" w:type="pct"/>
                  <w:shd w:val="clear" w:color="auto" w:fill="auto"/>
                  <w:noWrap w:val="0"/>
                  <w:vAlign w:val="center"/>
                </w:tcPr>
                <w:p>
                  <w:pPr>
                    <w:pStyle w:val="11"/>
                    <w:bidi w:val="0"/>
                  </w:pPr>
                  <w:r>
                    <w:rPr>
                      <w:rFonts w:hint="eastAsia"/>
                    </w:rPr>
                    <w:t>性质</w:t>
                  </w:r>
                </w:p>
              </w:tc>
              <w:tc>
                <w:tcPr>
                  <w:tcW w:w="1378" w:type="pct"/>
                  <w:vMerge w:val="continue"/>
                  <w:shd w:val="clear" w:color="auto" w:fill="auto"/>
                  <w:noWrap w:val="0"/>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427" w:type="pct"/>
                  <w:shd w:val="clear" w:color="auto" w:fill="auto"/>
                  <w:noWrap w:val="0"/>
                  <w:vAlign w:val="center"/>
                </w:tcPr>
                <w:p>
                  <w:pPr>
                    <w:pStyle w:val="11"/>
                    <w:bidi w:val="0"/>
                  </w:pPr>
                  <w:r>
                    <w:t>1</w:t>
                  </w:r>
                </w:p>
              </w:tc>
              <w:tc>
                <w:tcPr>
                  <w:tcW w:w="680" w:type="pct"/>
                  <w:shd w:val="clear" w:color="auto" w:fill="auto"/>
                  <w:noWrap w:val="0"/>
                  <w:vAlign w:val="center"/>
                </w:tcPr>
                <w:p>
                  <w:pPr>
                    <w:pStyle w:val="11"/>
                    <w:bidi w:val="0"/>
                  </w:pPr>
                  <w:r>
                    <w:t>环境空气</w:t>
                  </w:r>
                </w:p>
              </w:tc>
              <w:tc>
                <w:tcPr>
                  <w:tcW w:w="628" w:type="pct"/>
                  <w:shd w:val="clear" w:color="auto" w:fill="auto"/>
                  <w:noWrap w:val="0"/>
                  <w:vAlign w:val="center"/>
                </w:tcPr>
                <w:p>
                  <w:pPr>
                    <w:pStyle w:val="11"/>
                    <w:bidi w:val="0"/>
                    <w:rPr>
                      <w:rFonts w:hint="eastAsia" w:eastAsia="宋体"/>
                      <w:color w:val="auto"/>
                      <w:lang w:eastAsia="zh-CN"/>
                    </w:rPr>
                  </w:pPr>
                  <w:r>
                    <w:rPr>
                      <w:rFonts w:hint="eastAsia"/>
                      <w:color w:val="auto"/>
                      <w:lang w:val="en-US" w:eastAsia="zh-CN"/>
                    </w:rPr>
                    <w:t>大罗庄村</w:t>
                  </w:r>
                </w:p>
              </w:tc>
              <w:tc>
                <w:tcPr>
                  <w:tcW w:w="628" w:type="pct"/>
                  <w:shd w:val="clear" w:color="auto" w:fill="auto"/>
                  <w:noWrap w:val="0"/>
                  <w:vAlign w:val="center"/>
                </w:tcPr>
                <w:p>
                  <w:pPr>
                    <w:pStyle w:val="11"/>
                    <w:bidi w:val="0"/>
                    <w:ind w:firstLine="0" w:firstLineChars="0"/>
                    <w:rPr>
                      <w:rFonts w:ascii="Times New Roman" w:hAnsi="Times New Roman" w:eastAsia="宋体" w:cs="Times New Roman"/>
                      <w:color w:val="auto"/>
                      <w:kern w:val="44"/>
                      <w:sz w:val="21"/>
                      <w:szCs w:val="22"/>
                      <w:lang w:val="en-US" w:eastAsia="zh-CN" w:bidi="ar-SA"/>
                    </w:rPr>
                  </w:pPr>
                  <w:r>
                    <w:rPr>
                      <w:color w:val="auto"/>
                    </w:rPr>
                    <w:t>北</w:t>
                  </w:r>
                </w:p>
              </w:tc>
              <w:tc>
                <w:tcPr>
                  <w:tcW w:w="628" w:type="pct"/>
                  <w:shd w:val="clear" w:color="auto" w:fill="auto"/>
                  <w:noWrap w:val="0"/>
                  <w:vAlign w:val="center"/>
                </w:tcPr>
                <w:p>
                  <w:pPr>
                    <w:pStyle w:val="11"/>
                    <w:bidi w:val="0"/>
                    <w:ind w:firstLine="0" w:firstLineChars="0"/>
                    <w:rPr>
                      <w:rFonts w:ascii="Times New Roman" w:hAnsi="Times New Roman" w:eastAsia="宋体" w:cs="Times New Roman"/>
                      <w:color w:val="auto"/>
                      <w:kern w:val="44"/>
                      <w:sz w:val="21"/>
                      <w:szCs w:val="22"/>
                      <w:lang w:val="en-US" w:eastAsia="zh-CN" w:bidi="ar-SA"/>
                    </w:rPr>
                  </w:pPr>
                  <w:r>
                    <w:rPr>
                      <w:rFonts w:hint="eastAsia"/>
                      <w:color w:val="auto"/>
                      <w:lang w:val="en-US" w:eastAsia="zh-CN"/>
                    </w:rPr>
                    <w:t>3</w:t>
                  </w:r>
                  <w:r>
                    <w:rPr>
                      <w:color w:val="auto"/>
                    </w:rPr>
                    <w:t>0m</w:t>
                  </w:r>
                </w:p>
              </w:tc>
              <w:tc>
                <w:tcPr>
                  <w:tcW w:w="628" w:type="pct"/>
                  <w:shd w:val="clear" w:color="auto" w:fill="auto"/>
                  <w:noWrap w:val="0"/>
                  <w:vAlign w:val="center"/>
                </w:tcPr>
                <w:p>
                  <w:pPr>
                    <w:pStyle w:val="11"/>
                    <w:bidi w:val="0"/>
                    <w:ind w:firstLine="0" w:firstLineChars="0"/>
                    <w:rPr>
                      <w:rFonts w:ascii="Times New Roman" w:hAnsi="Times New Roman" w:eastAsia="宋体" w:cs="Times New Roman"/>
                      <w:color w:val="auto"/>
                      <w:kern w:val="44"/>
                      <w:sz w:val="21"/>
                      <w:szCs w:val="22"/>
                      <w:lang w:val="en-US" w:eastAsia="zh-CN" w:bidi="ar-SA"/>
                    </w:rPr>
                  </w:pPr>
                  <w:r>
                    <w:rPr>
                      <w:rFonts w:hint="eastAsia"/>
                      <w:color w:val="auto"/>
                    </w:rPr>
                    <w:t>居民区</w:t>
                  </w:r>
                </w:p>
              </w:tc>
              <w:tc>
                <w:tcPr>
                  <w:tcW w:w="1378" w:type="pct"/>
                  <w:shd w:val="clear" w:color="auto" w:fill="auto"/>
                  <w:noWrap w:val="0"/>
                  <w:vAlign w:val="center"/>
                </w:tcPr>
                <w:p>
                  <w:pPr>
                    <w:pStyle w:val="11"/>
                    <w:bidi w:val="0"/>
                  </w:pPr>
                  <w:r>
                    <w:t>《环境空气质量标准》</w:t>
                  </w:r>
                </w:p>
                <w:p>
                  <w:pPr>
                    <w:pStyle w:val="11"/>
                    <w:bidi w:val="0"/>
                  </w:pPr>
                  <w:r>
                    <w:t>（GB3095-2012）二级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427" w:type="pct"/>
                  <w:shd w:val="clear" w:color="auto" w:fill="auto"/>
                  <w:noWrap w:val="0"/>
                  <w:vAlign w:val="center"/>
                </w:tcPr>
                <w:p>
                  <w:pPr>
                    <w:pStyle w:val="11"/>
                    <w:bidi w:val="0"/>
                  </w:pPr>
                  <w:r>
                    <w:t>2</w:t>
                  </w:r>
                </w:p>
              </w:tc>
              <w:tc>
                <w:tcPr>
                  <w:tcW w:w="680" w:type="pct"/>
                  <w:shd w:val="clear" w:color="auto" w:fill="auto"/>
                  <w:noWrap w:val="0"/>
                  <w:vAlign w:val="center"/>
                </w:tcPr>
                <w:p>
                  <w:pPr>
                    <w:pStyle w:val="11"/>
                    <w:bidi w:val="0"/>
                  </w:pPr>
                  <w:r>
                    <w:t>声环境</w:t>
                  </w:r>
                </w:p>
              </w:tc>
              <w:tc>
                <w:tcPr>
                  <w:tcW w:w="628" w:type="pct"/>
                  <w:shd w:val="clear" w:color="auto" w:fill="auto"/>
                  <w:noWrap w:val="0"/>
                  <w:vAlign w:val="center"/>
                </w:tcPr>
                <w:p>
                  <w:pPr>
                    <w:pStyle w:val="11"/>
                    <w:bidi w:val="0"/>
                    <w:ind w:firstLine="0" w:firstLineChars="0"/>
                    <w:rPr>
                      <w:rFonts w:hint="eastAsia" w:ascii="Times New Roman" w:hAnsi="Times New Roman" w:eastAsia="宋体" w:cs="Times New Roman"/>
                      <w:color w:val="auto"/>
                      <w:kern w:val="44"/>
                      <w:sz w:val="21"/>
                      <w:szCs w:val="22"/>
                      <w:lang w:val="en-US" w:eastAsia="zh-CN" w:bidi="ar-SA"/>
                    </w:rPr>
                  </w:pPr>
                  <w:r>
                    <w:rPr>
                      <w:rFonts w:hint="eastAsia"/>
                      <w:color w:val="auto"/>
                      <w:lang w:val="en-US" w:eastAsia="zh-CN"/>
                    </w:rPr>
                    <w:t>大罗庄村</w:t>
                  </w:r>
                </w:p>
              </w:tc>
              <w:tc>
                <w:tcPr>
                  <w:tcW w:w="628" w:type="pct"/>
                  <w:shd w:val="clear" w:color="auto" w:fill="auto"/>
                  <w:noWrap w:val="0"/>
                  <w:vAlign w:val="center"/>
                </w:tcPr>
                <w:p>
                  <w:pPr>
                    <w:pStyle w:val="11"/>
                    <w:bidi w:val="0"/>
                    <w:ind w:firstLine="0" w:firstLineChars="0"/>
                    <w:rPr>
                      <w:rFonts w:ascii="Times New Roman" w:hAnsi="Times New Roman" w:eastAsia="宋体" w:cs="Times New Roman"/>
                      <w:color w:val="auto"/>
                      <w:kern w:val="44"/>
                      <w:sz w:val="21"/>
                      <w:szCs w:val="22"/>
                      <w:lang w:val="en-US" w:eastAsia="zh-CN" w:bidi="ar-SA"/>
                    </w:rPr>
                  </w:pPr>
                  <w:r>
                    <w:rPr>
                      <w:color w:val="auto"/>
                    </w:rPr>
                    <w:t>北</w:t>
                  </w:r>
                </w:p>
              </w:tc>
              <w:tc>
                <w:tcPr>
                  <w:tcW w:w="628" w:type="pct"/>
                  <w:shd w:val="clear" w:color="auto" w:fill="auto"/>
                  <w:noWrap w:val="0"/>
                  <w:vAlign w:val="center"/>
                </w:tcPr>
                <w:p>
                  <w:pPr>
                    <w:pStyle w:val="11"/>
                    <w:bidi w:val="0"/>
                    <w:ind w:firstLine="0" w:firstLineChars="0"/>
                    <w:rPr>
                      <w:rFonts w:ascii="Times New Roman" w:hAnsi="Times New Roman" w:eastAsia="宋体" w:cs="Times New Roman"/>
                      <w:color w:val="auto"/>
                      <w:kern w:val="44"/>
                      <w:sz w:val="21"/>
                      <w:szCs w:val="22"/>
                      <w:lang w:val="en-US" w:eastAsia="zh-CN" w:bidi="ar-SA"/>
                    </w:rPr>
                  </w:pPr>
                  <w:r>
                    <w:rPr>
                      <w:rFonts w:hint="eastAsia"/>
                      <w:color w:val="auto"/>
                      <w:lang w:val="en-US" w:eastAsia="zh-CN"/>
                    </w:rPr>
                    <w:t>3</w:t>
                  </w:r>
                  <w:r>
                    <w:rPr>
                      <w:color w:val="auto"/>
                    </w:rPr>
                    <w:t>0m</w:t>
                  </w:r>
                </w:p>
              </w:tc>
              <w:tc>
                <w:tcPr>
                  <w:tcW w:w="628" w:type="pct"/>
                  <w:shd w:val="clear" w:color="auto" w:fill="auto"/>
                  <w:noWrap w:val="0"/>
                  <w:vAlign w:val="center"/>
                </w:tcPr>
                <w:p>
                  <w:pPr>
                    <w:pStyle w:val="11"/>
                    <w:bidi w:val="0"/>
                    <w:rPr>
                      <w:color w:val="auto"/>
                    </w:rPr>
                  </w:pPr>
                  <w:r>
                    <w:rPr>
                      <w:rFonts w:hint="eastAsia"/>
                      <w:color w:val="auto"/>
                    </w:rPr>
                    <w:t>居民区</w:t>
                  </w:r>
                </w:p>
              </w:tc>
              <w:tc>
                <w:tcPr>
                  <w:tcW w:w="1378" w:type="pct"/>
                  <w:shd w:val="clear" w:color="auto" w:fill="auto"/>
                  <w:noWrap w:val="0"/>
                  <w:vAlign w:val="center"/>
                </w:tcPr>
                <w:p>
                  <w:pPr>
                    <w:pStyle w:val="11"/>
                    <w:bidi w:val="0"/>
                  </w:pPr>
                  <w:r>
                    <w:t>《声环境质量标准》</w:t>
                  </w:r>
                </w:p>
                <w:p>
                  <w:pPr>
                    <w:pStyle w:val="11"/>
                    <w:bidi w:val="0"/>
                  </w:pPr>
                  <w:r>
                    <w:t>（GB3096-2008）2类</w:t>
                  </w:r>
                </w:p>
              </w:tc>
            </w:tr>
          </w:tbl>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tc>
      </w:tr>
    </w:tbl>
    <w:p>
      <w:pPr>
        <w:sectPr>
          <w:pgSz w:w="11906" w:h="16838"/>
          <w:pgMar w:top="1701" w:right="1587" w:bottom="1984" w:left="1587" w:header="851" w:footer="992" w:gutter="0"/>
          <w:pgNumType w:fmt="numberInDash"/>
          <w:cols w:space="425" w:num="1"/>
          <w:docGrid w:type="lines" w:linePitch="312" w:charSpace="0"/>
        </w:sectPr>
      </w:pPr>
    </w:p>
    <w:tbl>
      <w:tblPr>
        <w:tblStyle w:val="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4"/>
        <w:gridCol w:w="85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04" w:hRule="atLeast"/>
        </w:trPr>
        <w:tc>
          <w:tcPr>
            <w:tcW w:w="394" w:type="dxa"/>
            <w:vAlign w:val="center"/>
          </w:tcPr>
          <w:p>
            <w:pPr>
              <w:pStyle w:val="11"/>
              <w:bidi w:val="0"/>
              <w:rPr>
                <w:rFonts w:hint="eastAsia"/>
                <w:sz w:val="24"/>
                <w:szCs w:val="24"/>
                <w:lang w:eastAsia="zh-CN"/>
              </w:rPr>
            </w:pPr>
            <w:r>
              <w:rPr>
                <w:rFonts w:hint="eastAsia"/>
                <w:sz w:val="24"/>
                <w:szCs w:val="24"/>
                <w:lang w:eastAsia="zh-CN"/>
              </w:rPr>
              <w:t>污染物排放控制标准</w:t>
            </w:r>
          </w:p>
        </w:tc>
        <w:tc>
          <w:tcPr>
            <w:tcW w:w="8554" w:type="dxa"/>
            <w:vAlign w:val="center"/>
          </w:tcPr>
          <w:tbl>
            <w:tblPr>
              <w:tblStyle w:val="8"/>
              <w:tblW w:w="844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615"/>
              <w:gridCol w:w="3113"/>
              <w:gridCol w:w="1229"/>
              <w:gridCol w:w="1787"/>
              <w:gridCol w:w="851"/>
              <w:gridCol w:w="840"/>
              <w:gridCol w:w="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615" w:type="dxa"/>
                  <w:vMerge w:val="restart"/>
                  <w:shd w:val="clear" w:color="auto" w:fill="auto"/>
                  <w:noWrap w:val="0"/>
                  <w:vAlign w:val="center"/>
                </w:tcPr>
                <w:p>
                  <w:pPr>
                    <w:pStyle w:val="11"/>
                    <w:bidi w:val="0"/>
                  </w:pPr>
                  <w:r>
                    <w:t>废气</w:t>
                  </w:r>
                </w:p>
              </w:tc>
              <w:tc>
                <w:tcPr>
                  <w:tcW w:w="3113" w:type="dxa"/>
                  <w:vMerge w:val="restart"/>
                  <w:shd w:val="clear" w:color="auto" w:fill="auto"/>
                  <w:noWrap w:val="0"/>
                  <w:vAlign w:val="center"/>
                </w:tcPr>
                <w:p>
                  <w:pPr>
                    <w:pStyle w:val="11"/>
                    <w:bidi w:val="0"/>
                  </w:pPr>
                  <w:r>
                    <w:t>标准名称与级（类）别</w:t>
                  </w:r>
                </w:p>
              </w:tc>
              <w:tc>
                <w:tcPr>
                  <w:tcW w:w="1229" w:type="dxa"/>
                  <w:vMerge w:val="restart"/>
                  <w:shd w:val="clear" w:color="auto" w:fill="auto"/>
                  <w:noWrap w:val="0"/>
                  <w:vAlign w:val="center"/>
                </w:tcPr>
                <w:p>
                  <w:pPr>
                    <w:pStyle w:val="11"/>
                    <w:bidi w:val="0"/>
                  </w:pPr>
                  <w:r>
                    <w:t>项目</w:t>
                  </w:r>
                </w:p>
              </w:tc>
              <w:tc>
                <w:tcPr>
                  <w:tcW w:w="3488" w:type="dxa"/>
                  <w:gridSpan w:val="4"/>
                  <w:noWrap w:val="0"/>
                  <w:vAlign w:val="center"/>
                </w:tcPr>
                <w:p>
                  <w:pPr>
                    <w:pStyle w:val="11"/>
                    <w:bidi w:val="0"/>
                  </w:pPr>
                  <w:r>
                    <w:t>标准值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615" w:type="dxa"/>
                  <w:vMerge w:val="continue"/>
                  <w:shd w:val="clear" w:color="auto" w:fill="auto"/>
                  <w:noWrap w:val="0"/>
                  <w:vAlign w:val="center"/>
                </w:tcPr>
                <w:p>
                  <w:pPr>
                    <w:pStyle w:val="11"/>
                    <w:bidi w:val="0"/>
                  </w:pPr>
                </w:p>
              </w:tc>
              <w:tc>
                <w:tcPr>
                  <w:tcW w:w="3113" w:type="dxa"/>
                  <w:vMerge w:val="continue"/>
                  <w:shd w:val="clear" w:color="auto" w:fill="auto"/>
                  <w:noWrap w:val="0"/>
                  <w:vAlign w:val="center"/>
                </w:tcPr>
                <w:p>
                  <w:pPr>
                    <w:pStyle w:val="11"/>
                    <w:bidi w:val="0"/>
                  </w:pPr>
                </w:p>
              </w:tc>
              <w:tc>
                <w:tcPr>
                  <w:tcW w:w="1229" w:type="dxa"/>
                  <w:vMerge w:val="continue"/>
                  <w:shd w:val="clear" w:color="auto" w:fill="auto"/>
                  <w:noWrap w:val="0"/>
                  <w:vAlign w:val="center"/>
                </w:tcPr>
                <w:p>
                  <w:pPr>
                    <w:pStyle w:val="11"/>
                    <w:bidi w:val="0"/>
                  </w:pPr>
                </w:p>
              </w:tc>
              <w:tc>
                <w:tcPr>
                  <w:tcW w:w="1787" w:type="dxa"/>
                  <w:shd w:val="clear" w:color="auto" w:fill="auto"/>
                  <w:noWrap w:val="0"/>
                  <w:vAlign w:val="center"/>
                </w:tcPr>
                <w:p>
                  <w:pPr>
                    <w:pStyle w:val="11"/>
                    <w:bidi w:val="0"/>
                  </w:pPr>
                  <w:r>
                    <w:t>类别</w:t>
                  </w:r>
                </w:p>
              </w:tc>
              <w:tc>
                <w:tcPr>
                  <w:tcW w:w="851" w:type="dxa"/>
                  <w:shd w:val="clear" w:color="auto" w:fill="auto"/>
                  <w:noWrap w:val="0"/>
                  <w:vAlign w:val="center"/>
                </w:tcPr>
                <w:p>
                  <w:pPr>
                    <w:pStyle w:val="11"/>
                    <w:bidi w:val="0"/>
                  </w:pPr>
                  <w:r>
                    <w:t>单位</w:t>
                  </w:r>
                </w:p>
              </w:tc>
              <w:tc>
                <w:tcPr>
                  <w:tcW w:w="850" w:type="dxa"/>
                  <w:gridSpan w:val="2"/>
                  <w:shd w:val="clear" w:color="auto" w:fill="auto"/>
                  <w:noWrap w:val="0"/>
                  <w:vAlign w:val="center"/>
                </w:tcPr>
                <w:p>
                  <w:pPr>
                    <w:pStyle w:val="11"/>
                    <w:bidi w:val="0"/>
                  </w:pPr>
                  <w:r>
                    <w:t>数值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jc w:val="center"/>
              </w:trPr>
              <w:tc>
                <w:tcPr>
                  <w:tcW w:w="615" w:type="dxa"/>
                  <w:vMerge w:val="continue"/>
                  <w:shd w:val="clear" w:color="auto" w:fill="auto"/>
                  <w:noWrap w:val="0"/>
                  <w:vAlign w:val="center"/>
                </w:tcPr>
                <w:p>
                  <w:pPr>
                    <w:pStyle w:val="11"/>
                    <w:bidi w:val="0"/>
                  </w:pPr>
                </w:p>
              </w:tc>
              <w:tc>
                <w:tcPr>
                  <w:tcW w:w="3113" w:type="dxa"/>
                  <w:vMerge w:val="restart"/>
                  <w:shd w:val="clear" w:color="auto" w:fill="auto"/>
                  <w:noWrap w:val="0"/>
                  <w:vAlign w:val="center"/>
                </w:tcPr>
                <w:p>
                  <w:pPr>
                    <w:pStyle w:val="11"/>
                    <w:bidi w:val="0"/>
                    <w:rPr>
                      <w:rFonts w:hint="eastAsia"/>
                    </w:rPr>
                  </w:pPr>
                  <w:r>
                    <w:rPr>
                      <w:rFonts w:hint="eastAsia"/>
                    </w:rPr>
                    <w:t>《橡胶制品工业污染物排放标准》（GB 27632-2011）</w:t>
                  </w:r>
                </w:p>
                <w:p>
                  <w:pPr>
                    <w:pStyle w:val="11"/>
                    <w:bidi w:val="0"/>
                    <w:rPr>
                      <w:rFonts w:hint="default" w:eastAsia="宋体"/>
                      <w:lang w:val="en-US" w:eastAsia="zh-CN"/>
                    </w:rPr>
                  </w:pPr>
                  <w:r>
                    <w:rPr>
                      <w:rFonts w:hint="eastAsia"/>
                      <w:lang w:val="en-US" w:eastAsia="zh-CN"/>
                    </w:rPr>
                    <w:t>表5、表6</w:t>
                  </w:r>
                </w:p>
              </w:tc>
              <w:tc>
                <w:tcPr>
                  <w:tcW w:w="1229" w:type="dxa"/>
                  <w:vMerge w:val="restart"/>
                  <w:shd w:val="clear" w:color="auto" w:fill="auto"/>
                  <w:noWrap w:val="0"/>
                  <w:vAlign w:val="center"/>
                </w:tcPr>
                <w:p>
                  <w:pPr>
                    <w:pStyle w:val="11"/>
                    <w:bidi w:val="0"/>
                  </w:pPr>
                  <w:r>
                    <w:rPr>
                      <w:rFonts w:hint="eastAsia"/>
                    </w:rPr>
                    <w:t>颗粒物</w:t>
                  </w:r>
                </w:p>
              </w:tc>
              <w:tc>
                <w:tcPr>
                  <w:tcW w:w="1787" w:type="dxa"/>
                  <w:shd w:val="clear" w:color="auto" w:fill="auto"/>
                  <w:noWrap w:val="0"/>
                  <w:vAlign w:val="center"/>
                </w:tcPr>
                <w:p>
                  <w:pPr>
                    <w:pStyle w:val="11"/>
                    <w:bidi w:val="0"/>
                    <w:rPr>
                      <w:rFonts w:hint="default" w:eastAsia="宋体"/>
                      <w:lang w:val="en-US" w:eastAsia="zh-CN"/>
                    </w:rPr>
                  </w:pPr>
                  <w:r>
                    <w:rPr>
                      <w:rFonts w:hint="eastAsia"/>
                      <w:lang w:val="en-US" w:eastAsia="zh-CN"/>
                    </w:rPr>
                    <w:t>排放限值</w:t>
                  </w:r>
                </w:p>
              </w:tc>
              <w:tc>
                <w:tcPr>
                  <w:tcW w:w="851" w:type="dxa"/>
                  <w:shd w:val="clear" w:color="auto" w:fill="auto"/>
                  <w:noWrap w:val="0"/>
                  <w:vAlign w:val="center"/>
                </w:tcPr>
                <w:p>
                  <w:pPr>
                    <w:pStyle w:val="11"/>
                    <w:bidi w:val="0"/>
                  </w:pPr>
                  <w:r>
                    <w:t>mg/m</w:t>
                  </w:r>
                  <w:r>
                    <w:rPr>
                      <w:vertAlign w:val="superscript"/>
                    </w:rPr>
                    <w:t>3</w:t>
                  </w:r>
                </w:p>
              </w:tc>
              <w:tc>
                <w:tcPr>
                  <w:tcW w:w="850" w:type="dxa"/>
                  <w:gridSpan w:val="2"/>
                  <w:shd w:val="clear" w:color="auto" w:fill="auto"/>
                  <w:noWrap w:val="0"/>
                  <w:vAlign w:val="center"/>
                </w:tcPr>
                <w:p>
                  <w:pPr>
                    <w:pStyle w:val="11"/>
                    <w:bidi w:val="0"/>
                  </w:pPr>
                  <w:r>
                    <w:t>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50" w:hRule="atLeast"/>
                <w:jc w:val="center"/>
              </w:trPr>
              <w:tc>
                <w:tcPr>
                  <w:tcW w:w="615" w:type="dxa"/>
                  <w:vMerge w:val="continue"/>
                  <w:shd w:val="clear" w:color="auto" w:fill="auto"/>
                  <w:noWrap w:val="0"/>
                  <w:vAlign w:val="center"/>
                </w:tcPr>
                <w:p>
                  <w:pPr>
                    <w:pStyle w:val="11"/>
                    <w:bidi w:val="0"/>
                  </w:pPr>
                </w:p>
              </w:tc>
              <w:tc>
                <w:tcPr>
                  <w:tcW w:w="3113" w:type="dxa"/>
                  <w:vMerge w:val="continue"/>
                  <w:shd w:val="clear" w:color="auto" w:fill="auto"/>
                  <w:noWrap w:val="0"/>
                  <w:vAlign w:val="center"/>
                </w:tcPr>
                <w:p>
                  <w:pPr>
                    <w:pStyle w:val="11"/>
                    <w:bidi w:val="0"/>
                    <w:rPr>
                      <w:rFonts w:hint="eastAsia"/>
                    </w:rPr>
                  </w:pPr>
                </w:p>
              </w:tc>
              <w:tc>
                <w:tcPr>
                  <w:tcW w:w="1229" w:type="dxa"/>
                  <w:vMerge w:val="continue"/>
                  <w:shd w:val="clear" w:color="auto" w:fill="auto"/>
                  <w:noWrap w:val="0"/>
                  <w:vAlign w:val="center"/>
                </w:tcPr>
                <w:p>
                  <w:pPr>
                    <w:pStyle w:val="11"/>
                    <w:bidi w:val="0"/>
                  </w:pPr>
                </w:p>
              </w:tc>
              <w:tc>
                <w:tcPr>
                  <w:tcW w:w="1787" w:type="dxa"/>
                  <w:shd w:val="clear" w:color="auto" w:fill="auto"/>
                  <w:noWrap w:val="0"/>
                  <w:vAlign w:val="center"/>
                </w:tcPr>
                <w:p>
                  <w:pPr>
                    <w:pStyle w:val="11"/>
                    <w:bidi w:val="0"/>
                  </w:pPr>
                  <w:r>
                    <w:rPr>
                      <w:rFonts w:hint="eastAsia"/>
                      <w:lang w:val="en-US" w:eastAsia="zh-CN"/>
                    </w:rPr>
                    <w:t>厂界</w:t>
                  </w:r>
                  <w:r>
                    <w:t>无组织</w:t>
                  </w:r>
                </w:p>
                <w:p>
                  <w:pPr>
                    <w:pStyle w:val="11"/>
                    <w:bidi w:val="0"/>
                    <w:ind w:firstLine="0" w:firstLineChars="0"/>
                    <w:rPr>
                      <w:rFonts w:ascii="Times New Roman" w:hAnsi="Times New Roman" w:eastAsia="宋体" w:cs="Times New Roman"/>
                      <w:kern w:val="44"/>
                      <w:sz w:val="21"/>
                      <w:szCs w:val="22"/>
                      <w:lang w:val="en-US" w:eastAsia="zh-CN" w:bidi="ar-SA"/>
                    </w:rPr>
                  </w:pPr>
                  <w:r>
                    <w:t>排放限值</w:t>
                  </w:r>
                </w:p>
              </w:tc>
              <w:tc>
                <w:tcPr>
                  <w:tcW w:w="851" w:type="dxa"/>
                  <w:shd w:val="clear" w:color="auto" w:fill="auto"/>
                  <w:noWrap w:val="0"/>
                  <w:vAlign w:val="center"/>
                </w:tcPr>
                <w:p>
                  <w:pPr>
                    <w:pStyle w:val="11"/>
                    <w:bidi w:val="0"/>
                    <w:ind w:firstLine="0" w:firstLineChars="0"/>
                    <w:rPr>
                      <w:rFonts w:ascii="Times New Roman" w:hAnsi="Times New Roman" w:eastAsia="宋体" w:cs="Times New Roman"/>
                      <w:kern w:val="44"/>
                      <w:sz w:val="21"/>
                      <w:szCs w:val="22"/>
                      <w:lang w:val="en-US" w:eastAsia="zh-CN" w:bidi="ar-SA"/>
                    </w:rPr>
                  </w:pPr>
                  <w:r>
                    <w:t>mg/m</w:t>
                  </w:r>
                  <w:r>
                    <w:rPr>
                      <w:vertAlign w:val="superscript"/>
                    </w:rPr>
                    <w:t>3</w:t>
                  </w:r>
                </w:p>
              </w:tc>
              <w:tc>
                <w:tcPr>
                  <w:tcW w:w="850" w:type="dxa"/>
                  <w:gridSpan w:val="2"/>
                  <w:shd w:val="clear" w:color="auto" w:fill="auto"/>
                  <w:noWrap w:val="0"/>
                  <w:vAlign w:val="center"/>
                </w:tcPr>
                <w:p>
                  <w:pPr>
                    <w:pStyle w:val="11"/>
                    <w:bidi w:val="0"/>
                    <w:ind w:firstLine="0" w:firstLineChars="0"/>
                    <w:rPr>
                      <w:rFonts w:ascii="Times New Roman" w:hAnsi="Times New Roman" w:eastAsia="宋体" w:cs="Times New Roman"/>
                      <w:kern w:val="44"/>
                      <w:sz w:val="21"/>
                      <w:szCs w:val="22"/>
                      <w:lang w:val="en-US" w:eastAsia="zh-CN" w:bidi="ar-SA"/>
                    </w:rPr>
                  </w:pPr>
                  <w: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50" w:hRule="atLeast"/>
                <w:jc w:val="center"/>
              </w:trPr>
              <w:tc>
                <w:tcPr>
                  <w:tcW w:w="615" w:type="dxa"/>
                  <w:vMerge w:val="continue"/>
                  <w:shd w:val="clear" w:color="auto" w:fill="auto"/>
                  <w:noWrap w:val="0"/>
                  <w:vAlign w:val="center"/>
                </w:tcPr>
                <w:p>
                  <w:pPr>
                    <w:pStyle w:val="11"/>
                    <w:bidi w:val="0"/>
                  </w:pPr>
                </w:p>
              </w:tc>
              <w:tc>
                <w:tcPr>
                  <w:tcW w:w="3113" w:type="dxa"/>
                  <w:vMerge w:val="continue"/>
                  <w:shd w:val="clear" w:color="auto" w:fill="auto"/>
                  <w:noWrap w:val="0"/>
                  <w:vAlign w:val="center"/>
                </w:tcPr>
                <w:p>
                  <w:pPr>
                    <w:pStyle w:val="11"/>
                    <w:bidi w:val="0"/>
                    <w:rPr>
                      <w:rFonts w:hint="eastAsia"/>
                    </w:rPr>
                  </w:pPr>
                </w:p>
              </w:tc>
              <w:tc>
                <w:tcPr>
                  <w:tcW w:w="1229" w:type="dxa"/>
                  <w:vMerge w:val="continue"/>
                  <w:shd w:val="clear" w:color="auto" w:fill="auto"/>
                  <w:noWrap w:val="0"/>
                  <w:vAlign w:val="center"/>
                </w:tcPr>
                <w:p>
                  <w:pPr>
                    <w:pStyle w:val="11"/>
                    <w:bidi w:val="0"/>
                  </w:pPr>
                </w:p>
              </w:tc>
              <w:tc>
                <w:tcPr>
                  <w:tcW w:w="1787" w:type="dxa"/>
                  <w:shd w:val="clear" w:color="auto" w:fill="auto"/>
                  <w:noWrap w:val="0"/>
                  <w:vAlign w:val="center"/>
                </w:tcPr>
                <w:p>
                  <w:pPr>
                    <w:pStyle w:val="11"/>
                    <w:bidi w:val="0"/>
                    <w:ind w:firstLine="0" w:firstLineChars="0"/>
                    <w:rPr>
                      <w:rFonts w:hint="eastAsia" w:eastAsia="宋体"/>
                      <w:color w:val="auto"/>
                      <w:lang w:val="en-US" w:eastAsia="zh-CN"/>
                    </w:rPr>
                  </w:pPr>
                  <w:r>
                    <w:rPr>
                      <w:rFonts w:hint="eastAsia"/>
                      <w:color w:val="auto"/>
                      <w:lang w:val="en-US" w:eastAsia="zh-CN"/>
                    </w:rPr>
                    <w:t>基准排气量</w:t>
                  </w:r>
                </w:p>
              </w:tc>
              <w:tc>
                <w:tcPr>
                  <w:tcW w:w="851" w:type="dxa"/>
                  <w:shd w:val="clear" w:color="auto" w:fill="auto"/>
                  <w:noWrap w:val="0"/>
                  <w:vAlign w:val="center"/>
                </w:tcPr>
                <w:p>
                  <w:pPr>
                    <w:pStyle w:val="11"/>
                    <w:bidi w:val="0"/>
                    <w:ind w:firstLine="0" w:firstLineChars="0"/>
                    <w:rPr>
                      <w:rFonts w:hint="default" w:eastAsia="宋体"/>
                      <w:color w:val="auto"/>
                      <w:lang w:val="en-US" w:eastAsia="zh-CN"/>
                    </w:rPr>
                  </w:pPr>
                  <w:r>
                    <w:rPr>
                      <w:color w:val="auto"/>
                    </w:rPr>
                    <w:t>m</w:t>
                  </w:r>
                  <w:r>
                    <w:rPr>
                      <w:color w:val="auto"/>
                      <w:vertAlign w:val="superscript"/>
                    </w:rPr>
                    <w:t>3</w:t>
                  </w:r>
                  <w:r>
                    <w:rPr>
                      <w:rFonts w:hint="eastAsia"/>
                      <w:color w:val="auto"/>
                      <w:lang w:val="en-US" w:eastAsia="zh-CN"/>
                    </w:rPr>
                    <w:t>/t胶</w:t>
                  </w:r>
                </w:p>
              </w:tc>
              <w:tc>
                <w:tcPr>
                  <w:tcW w:w="850" w:type="dxa"/>
                  <w:gridSpan w:val="2"/>
                  <w:shd w:val="clear" w:color="auto" w:fill="auto"/>
                  <w:noWrap w:val="0"/>
                  <w:vAlign w:val="center"/>
                </w:tcPr>
                <w:p>
                  <w:pPr>
                    <w:pStyle w:val="11"/>
                    <w:bidi w:val="0"/>
                    <w:ind w:firstLine="0" w:firstLineChars="0"/>
                    <w:rPr>
                      <w:rFonts w:hint="default" w:eastAsia="宋体"/>
                      <w:color w:val="auto"/>
                      <w:lang w:val="en-US" w:eastAsia="zh-CN"/>
                    </w:rPr>
                  </w:pPr>
                  <w:r>
                    <w:rPr>
                      <w:rFonts w:hint="eastAsia"/>
                      <w:color w:val="auto"/>
                      <w:lang w:val="en-US" w:eastAsia="zh-CN"/>
                    </w:rPr>
                    <w:t>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615" w:type="dxa"/>
                  <w:vMerge w:val="continue"/>
                  <w:shd w:val="clear" w:color="auto" w:fill="auto"/>
                  <w:noWrap w:val="0"/>
                  <w:vAlign w:val="center"/>
                </w:tcPr>
                <w:p>
                  <w:pPr>
                    <w:pStyle w:val="11"/>
                    <w:bidi w:val="0"/>
                  </w:pPr>
                </w:p>
              </w:tc>
              <w:tc>
                <w:tcPr>
                  <w:tcW w:w="3113" w:type="dxa"/>
                  <w:vMerge w:val="continue"/>
                  <w:shd w:val="clear" w:color="auto" w:fill="auto"/>
                  <w:noWrap w:val="0"/>
                  <w:vAlign w:val="center"/>
                </w:tcPr>
                <w:p>
                  <w:pPr>
                    <w:pStyle w:val="11"/>
                    <w:bidi w:val="0"/>
                    <w:rPr>
                      <w:rFonts w:hint="eastAsia"/>
                    </w:rPr>
                  </w:pPr>
                </w:p>
              </w:tc>
              <w:tc>
                <w:tcPr>
                  <w:tcW w:w="1229" w:type="dxa"/>
                  <w:vMerge w:val="restart"/>
                  <w:shd w:val="clear" w:color="auto" w:fill="auto"/>
                  <w:noWrap w:val="0"/>
                  <w:vAlign w:val="center"/>
                </w:tcPr>
                <w:p>
                  <w:pPr>
                    <w:pStyle w:val="11"/>
                    <w:bidi w:val="0"/>
                  </w:pPr>
                  <w:r>
                    <w:t>非甲烷总烃</w:t>
                  </w:r>
                </w:p>
              </w:tc>
              <w:tc>
                <w:tcPr>
                  <w:tcW w:w="1787" w:type="dxa"/>
                  <w:shd w:val="clear" w:color="auto" w:fill="auto"/>
                  <w:noWrap w:val="0"/>
                  <w:vAlign w:val="center"/>
                </w:tcPr>
                <w:p>
                  <w:pPr>
                    <w:pStyle w:val="11"/>
                    <w:bidi w:val="0"/>
                    <w:ind w:firstLine="0" w:firstLineChars="0"/>
                    <w:rPr>
                      <w:rFonts w:hint="default" w:ascii="Times New Roman" w:hAnsi="Times New Roman" w:eastAsia="宋体" w:cs="Times New Roman"/>
                      <w:color w:val="auto"/>
                      <w:kern w:val="44"/>
                      <w:sz w:val="21"/>
                      <w:szCs w:val="22"/>
                      <w:lang w:val="en-US" w:eastAsia="zh-CN" w:bidi="ar-SA"/>
                    </w:rPr>
                  </w:pPr>
                  <w:r>
                    <w:rPr>
                      <w:rFonts w:hint="eastAsia"/>
                      <w:color w:val="auto"/>
                      <w:lang w:val="en-US" w:eastAsia="zh-CN"/>
                    </w:rPr>
                    <w:t>排放限值</w:t>
                  </w:r>
                </w:p>
              </w:tc>
              <w:tc>
                <w:tcPr>
                  <w:tcW w:w="851" w:type="dxa"/>
                  <w:shd w:val="clear" w:color="auto" w:fill="auto"/>
                  <w:noWrap w:val="0"/>
                  <w:vAlign w:val="center"/>
                </w:tcPr>
                <w:p>
                  <w:pPr>
                    <w:pStyle w:val="11"/>
                    <w:bidi w:val="0"/>
                    <w:ind w:firstLine="0" w:firstLineChars="0"/>
                    <w:rPr>
                      <w:rFonts w:ascii="Times New Roman" w:hAnsi="Times New Roman" w:eastAsia="宋体" w:cs="Times New Roman"/>
                      <w:color w:val="auto"/>
                      <w:kern w:val="44"/>
                      <w:sz w:val="21"/>
                      <w:szCs w:val="22"/>
                      <w:lang w:val="en-US" w:eastAsia="zh-CN" w:bidi="ar-SA"/>
                    </w:rPr>
                  </w:pPr>
                  <w:r>
                    <w:rPr>
                      <w:color w:val="auto"/>
                    </w:rPr>
                    <w:t>mg/m</w:t>
                  </w:r>
                  <w:r>
                    <w:rPr>
                      <w:color w:val="auto"/>
                      <w:vertAlign w:val="superscript"/>
                    </w:rPr>
                    <w:t>3</w:t>
                  </w:r>
                </w:p>
              </w:tc>
              <w:tc>
                <w:tcPr>
                  <w:tcW w:w="850" w:type="dxa"/>
                  <w:gridSpan w:val="2"/>
                  <w:shd w:val="clear" w:color="auto" w:fill="auto"/>
                  <w:noWrap w:val="0"/>
                  <w:vAlign w:val="center"/>
                </w:tcPr>
                <w:p>
                  <w:pPr>
                    <w:pStyle w:val="11"/>
                    <w:bidi w:val="0"/>
                    <w:ind w:firstLine="0" w:firstLineChars="0"/>
                    <w:rPr>
                      <w:rFonts w:hint="default" w:ascii="Times New Roman" w:hAnsi="Times New Roman" w:eastAsia="宋体" w:cs="Times New Roman"/>
                      <w:color w:val="auto"/>
                      <w:kern w:val="44"/>
                      <w:sz w:val="21"/>
                      <w:szCs w:val="22"/>
                      <w:lang w:val="en-US" w:eastAsia="zh-CN" w:bidi="ar-SA"/>
                    </w:rPr>
                  </w:pPr>
                  <w:r>
                    <w:rPr>
                      <w:rFonts w:hint="eastAsia"/>
                      <w:color w:val="auto"/>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615" w:type="dxa"/>
                  <w:vMerge w:val="continue"/>
                  <w:shd w:val="clear" w:color="auto" w:fill="auto"/>
                  <w:noWrap w:val="0"/>
                  <w:vAlign w:val="center"/>
                </w:tcPr>
                <w:p>
                  <w:pPr>
                    <w:pStyle w:val="11"/>
                    <w:bidi w:val="0"/>
                  </w:pPr>
                </w:p>
              </w:tc>
              <w:tc>
                <w:tcPr>
                  <w:tcW w:w="3113" w:type="dxa"/>
                  <w:vMerge w:val="continue"/>
                  <w:shd w:val="clear" w:color="auto" w:fill="auto"/>
                  <w:noWrap w:val="0"/>
                  <w:vAlign w:val="center"/>
                </w:tcPr>
                <w:p>
                  <w:pPr>
                    <w:pStyle w:val="11"/>
                    <w:bidi w:val="0"/>
                    <w:rPr>
                      <w:rFonts w:hint="eastAsia"/>
                    </w:rPr>
                  </w:pPr>
                </w:p>
              </w:tc>
              <w:tc>
                <w:tcPr>
                  <w:tcW w:w="1229" w:type="dxa"/>
                  <w:vMerge w:val="continue"/>
                  <w:shd w:val="clear" w:color="auto" w:fill="auto"/>
                  <w:noWrap w:val="0"/>
                  <w:vAlign w:val="center"/>
                </w:tcPr>
                <w:p>
                  <w:pPr>
                    <w:pStyle w:val="11"/>
                    <w:bidi w:val="0"/>
                  </w:pPr>
                </w:p>
              </w:tc>
              <w:tc>
                <w:tcPr>
                  <w:tcW w:w="1787" w:type="dxa"/>
                  <w:shd w:val="clear" w:color="auto" w:fill="auto"/>
                  <w:noWrap w:val="0"/>
                  <w:vAlign w:val="center"/>
                </w:tcPr>
                <w:p>
                  <w:pPr>
                    <w:pStyle w:val="11"/>
                    <w:bidi w:val="0"/>
                    <w:rPr>
                      <w:color w:val="auto"/>
                    </w:rPr>
                  </w:pPr>
                  <w:r>
                    <w:rPr>
                      <w:rFonts w:hint="eastAsia"/>
                      <w:color w:val="auto"/>
                      <w:lang w:val="en-US" w:eastAsia="zh-CN"/>
                    </w:rPr>
                    <w:t>厂界</w:t>
                  </w:r>
                  <w:r>
                    <w:rPr>
                      <w:color w:val="auto"/>
                    </w:rPr>
                    <w:t>无组织</w:t>
                  </w:r>
                </w:p>
                <w:p>
                  <w:pPr>
                    <w:pStyle w:val="11"/>
                    <w:bidi w:val="0"/>
                    <w:ind w:firstLine="0" w:firstLineChars="0"/>
                    <w:rPr>
                      <w:rFonts w:ascii="Times New Roman" w:hAnsi="Times New Roman" w:eastAsia="宋体" w:cs="Times New Roman"/>
                      <w:color w:val="auto"/>
                      <w:kern w:val="44"/>
                      <w:sz w:val="21"/>
                      <w:szCs w:val="22"/>
                      <w:lang w:val="en-US" w:eastAsia="zh-CN" w:bidi="ar-SA"/>
                    </w:rPr>
                  </w:pPr>
                  <w:r>
                    <w:rPr>
                      <w:color w:val="auto"/>
                    </w:rPr>
                    <w:t>排放限值</w:t>
                  </w:r>
                </w:p>
              </w:tc>
              <w:tc>
                <w:tcPr>
                  <w:tcW w:w="851" w:type="dxa"/>
                  <w:shd w:val="clear" w:color="auto" w:fill="auto"/>
                  <w:noWrap w:val="0"/>
                  <w:vAlign w:val="center"/>
                </w:tcPr>
                <w:p>
                  <w:pPr>
                    <w:pStyle w:val="11"/>
                    <w:bidi w:val="0"/>
                    <w:ind w:firstLine="0" w:firstLineChars="0"/>
                    <w:rPr>
                      <w:rFonts w:ascii="Times New Roman" w:hAnsi="Times New Roman" w:eastAsia="宋体" w:cs="Times New Roman"/>
                      <w:color w:val="auto"/>
                      <w:kern w:val="44"/>
                      <w:sz w:val="21"/>
                      <w:szCs w:val="22"/>
                      <w:lang w:val="en-US" w:eastAsia="zh-CN" w:bidi="ar-SA"/>
                    </w:rPr>
                  </w:pPr>
                  <w:r>
                    <w:rPr>
                      <w:color w:val="auto"/>
                    </w:rPr>
                    <w:t>mg/m</w:t>
                  </w:r>
                  <w:r>
                    <w:rPr>
                      <w:color w:val="auto"/>
                      <w:vertAlign w:val="superscript"/>
                    </w:rPr>
                    <w:t>3</w:t>
                  </w:r>
                </w:p>
              </w:tc>
              <w:tc>
                <w:tcPr>
                  <w:tcW w:w="850" w:type="dxa"/>
                  <w:gridSpan w:val="2"/>
                  <w:shd w:val="clear" w:color="auto" w:fill="auto"/>
                  <w:noWrap w:val="0"/>
                  <w:vAlign w:val="center"/>
                </w:tcPr>
                <w:p>
                  <w:pPr>
                    <w:pStyle w:val="11"/>
                    <w:bidi w:val="0"/>
                    <w:ind w:firstLine="0" w:firstLineChars="0"/>
                    <w:rPr>
                      <w:rFonts w:hint="default" w:ascii="Times New Roman" w:hAnsi="Times New Roman" w:eastAsia="宋体" w:cs="Times New Roman"/>
                      <w:color w:val="auto"/>
                      <w:kern w:val="44"/>
                      <w:sz w:val="21"/>
                      <w:szCs w:val="22"/>
                      <w:lang w:val="en-US" w:eastAsia="zh-CN" w:bidi="ar-SA"/>
                    </w:rPr>
                  </w:pPr>
                  <w:r>
                    <w:rPr>
                      <w:rFonts w:hint="eastAsia"/>
                      <w:color w:val="auto"/>
                      <w:lang w:val="en-US" w:eastAsia="zh-CN"/>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615" w:type="dxa"/>
                  <w:vMerge w:val="continue"/>
                  <w:shd w:val="clear" w:color="auto" w:fill="auto"/>
                  <w:noWrap w:val="0"/>
                  <w:vAlign w:val="center"/>
                </w:tcPr>
                <w:p>
                  <w:pPr>
                    <w:pStyle w:val="11"/>
                    <w:bidi w:val="0"/>
                  </w:pPr>
                </w:p>
              </w:tc>
              <w:tc>
                <w:tcPr>
                  <w:tcW w:w="3113" w:type="dxa"/>
                  <w:vMerge w:val="continue"/>
                  <w:shd w:val="clear" w:color="auto" w:fill="auto"/>
                  <w:noWrap w:val="0"/>
                  <w:vAlign w:val="center"/>
                </w:tcPr>
                <w:p>
                  <w:pPr>
                    <w:pStyle w:val="11"/>
                    <w:bidi w:val="0"/>
                    <w:rPr>
                      <w:rFonts w:hint="eastAsia"/>
                    </w:rPr>
                  </w:pPr>
                </w:p>
              </w:tc>
              <w:tc>
                <w:tcPr>
                  <w:tcW w:w="1229" w:type="dxa"/>
                  <w:vMerge w:val="continue"/>
                  <w:shd w:val="clear" w:color="auto" w:fill="auto"/>
                  <w:noWrap w:val="0"/>
                  <w:vAlign w:val="center"/>
                </w:tcPr>
                <w:p>
                  <w:pPr>
                    <w:pStyle w:val="11"/>
                    <w:bidi w:val="0"/>
                  </w:pPr>
                </w:p>
              </w:tc>
              <w:tc>
                <w:tcPr>
                  <w:tcW w:w="1787" w:type="dxa"/>
                  <w:shd w:val="clear" w:color="auto" w:fill="auto"/>
                  <w:noWrap w:val="0"/>
                  <w:vAlign w:val="center"/>
                </w:tcPr>
                <w:p>
                  <w:pPr>
                    <w:pStyle w:val="11"/>
                    <w:bidi w:val="0"/>
                    <w:ind w:firstLine="0" w:firstLineChars="0"/>
                    <w:rPr>
                      <w:rFonts w:hint="eastAsia" w:ascii="Times New Roman" w:hAnsi="Times New Roman" w:eastAsia="宋体" w:cs="Times New Roman"/>
                      <w:color w:val="auto"/>
                      <w:kern w:val="44"/>
                      <w:sz w:val="21"/>
                      <w:szCs w:val="22"/>
                      <w:lang w:val="en-US" w:eastAsia="zh-CN" w:bidi="ar-SA"/>
                    </w:rPr>
                  </w:pPr>
                  <w:r>
                    <w:rPr>
                      <w:rFonts w:hint="eastAsia"/>
                      <w:color w:val="auto"/>
                      <w:lang w:val="en-US" w:eastAsia="zh-CN"/>
                    </w:rPr>
                    <w:t>基准排气量</w:t>
                  </w:r>
                </w:p>
              </w:tc>
              <w:tc>
                <w:tcPr>
                  <w:tcW w:w="851" w:type="dxa"/>
                  <w:shd w:val="clear" w:color="auto" w:fill="auto"/>
                  <w:noWrap w:val="0"/>
                  <w:vAlign w:val="center"/>
                </w:tcPr>
                <w:p>
                  <w:pPr>
                    <w:pStyle w:val="11"/>
                    <w:bidi w:val="0"/>
                    <w:ind w:firstLine="0" w:firstLineChars="0"/>
                    <w:rPr>
                      <w:rFonts w:hint="default" w:ascii="Times New Roman" w:hAnsi="Times New Roman" w:eastAsia="宋体" w:cs="Times New Roman"/>
                      <w:color w:val="auto"/>
                      <w:kern w:val="44"/>
                      <w:sz w:val="21"/>
                      <w:szCs w:val="22"/>
                      <w:lang w:val="en-US" w:eastAsia="zh-CN" w:bidi="ar-SA"/>
                    </w:rPr>
                  </w:pPr>
                  <w:r>
                    <w:rPr>
                      <w:color w:val="auto"/>
                    </w:rPr>
                    <w:t>m</w:t>
                  </w:r>
                  <w:r>
                    <w:rPr>
                      <w:color w:val="auto"/>
                      <w:vertAlign w:val="superscript"/>
                    </w:rPr>
                    <w:t>3</w:t>
                  </w:r>
                  <w:r>
                    <w:rPr>
                      <w:rFonts w:hint="eastAsia"/>
                      <w:color w:val="auto"/>
                      <w:lang w:val="en-US" w:eastAsia="zh-CN"/>
                    </w:rPr>
                    <w:t>/t胶</w:t>
                  </w:r>
                </w:p>
              </w:tc>
              <w:tc>
                <w:tcPr>
                  <w:tcW w:w="850" w:type="dxa"/>
                  <w:gridSpan w:val="2"/>
                  <w:shd w:val="clear" w:color="auto" w:fill="auto"/>
                  <w:noWrap w:val="0"/>
                  <w:vAlign w:val="center"/>
                </w:tcPr>
                <w:p>
                  <w:pPr>
                    <w:pStyle w:val="11"/>
                    <w:bidi w:val="0"/>
                    <w:ind w:firstLine="0" w:firstLineChars="0"/>
                    <w:rPr>
                      <w:rFonts w:hint="eastAsia" w:ascii="Times New Roman" w:hAnsi="Times New Roman" w:eastAsia="宋体" w:cs="Times New Roman"/>
                      <w:color w:val="auto"/>
                      <w:kern w:val="44"/>
                      <w:sz w:val="21"/>
                      <w:szCs w:val="22"/>
                      <w:lang w:val="en-US" w:eastAsia="zh-CN" w:bidi="ar-SA"/>
                    </w:rPr>
                  </w:pPr>
                  <w:r>
                    <w:rPr>
                      <w:rFonts w:hint="eastAsia"/>
                      <w:color w:val="auto"/>
                      <w:lang w:val="en-US" w:eastAsia="zh-CN"/>
                    </w:rPr>
                    <w:t>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jc w:val="center"/>
              </w:trPr>
              <w:tc>
                <w:tcPr>
                  <w:tcW w:w="615" w:type="dxa"/>
                  <w:vMerge w:val="continue"/>
                  <w:shd w:val="clear" w:color="auto" w:fill="auto"/>
                  <w:noWrap w:val="0"/>
                  <w:vAlign w:val="center"/>
                </w:tcPr>
                <w:p>
                  <w:pPr>
                    <w:pStyle w:val="11"/>
                    <w:bidi w:val="0"/>
                  </w:pPr>
                </w:p>
              </w:tc>
              <w:tc>
                <w:tcPr>
                  <w:tcW w:w="3113" w:type="dxa"/>
                  <w:vMerge w:val="restart"/>
                  <w:shd w:val="clear" w:color="auto" w:fill="auto"/>
                  <w:noWrap w:val="0"/>
                  <w:vAlign w:val="center"/>
                </w:tcPr>
                <w:p>
                  <w:pPr>
                    <w:pStyle w:val="11"/>
                    <w:bidi w:val="0"/>
                    <w:rPr>
                      <w:rFonts w:hint="eastAsia"/>
                    </w:rPr>
                  </w:pPr>
                  <w:r>
                    <w:t>《关于全省开展工业企业挥发性有机物专项治理工作中排放建议值的通知》（豫环攻坚办</w:t>
                  </w:r>
                  <w:r>
                    <w:rPr>
                      <w:rFonts w:hint="eastAsia"/>
                      <w:lang w:val="en-US" w:eastAsia="zh-CN"/>
                    </w:rPr>
                    <w:t>〔</w:t>
                  </w:r>
                  <w:r>
                    <w:t>2017</w:t>
                  </w:r>
                  <w:r>
                    <w:rPr>
                      <w:rFonts w:hint="eastAsia"/>
                      <w:lang w:val="en-US" w:eastAsia="zh-CN"/>
                    </w:rPr>
                    <w:t>〕</w:t>
                  </w:r>
                  <w:r>
                    <w:t>162号）建议值</w:t>
                  </w:r>
                </w:p>
              </w:tc>
              <w:tc>
                <w:tcPr>
                  <w:tcW w:w="1229" w:type="dxa"/>
                  <w:vMerge w:val="restart"/>
                  <w:shd w:val="clear" w:color="auto" w:fill="auto"/>
                  <w:noWrap w:val="0"/>
                  <w:vAlign w:val="center"/>
                </w:tcPr>
                <w:p>
                  <w:pPr>
                    <w:pStyle w:val="11"/>
                    <w:bidi w:val="0"/>
                  </w:pPr>
                  <w:r>
                    <w:t>非甲烷总烃</w:t>
                  </w:r>
                </w:p>
              </w:tc>
              <w:tc>
                <w:tcPr>
                  <w:tcW w:w="1787" w:type="dxa"/>
                  <w:shd w:val="clear" w:color="auto" w:fill="auto"/>
                  <w:noWrap w:val="0"/>
                  <w:vAlign w:val="center"/>
                </w:tcPr>
                <w:p>
                  <w:pPr>
                    <w:pStyle w:val="11"/>
                    <w:bidi w:val="0"/>
                    <w:ind w:firstLine="0" w:firstLineChars="0"/>
                    <w:rPr>
                      <w:rFonts w:ascii="Times New Roman" w:hAnsi="Times New Roman" w:eastAsia="宋体" w:cs="Times New Roman"/>
                      <w:color w:val="auto"/>
                      <w:kern w:val="44"/>
                      <w:sz w:val="21"/>
                      <w:szCs w:val="22"/>
                      <w:lang w:val="en-US" w:eastAsia="zh-CN" w:bidi="ar-SA"/>
                    </w:rPr>
                  </w:pPr>
                  <w:r>
                    <w:rPr>
                      <w:color w:val="auto"/>
                    </w:rPr>
                    <w:t>建议排放浓度</w:t>
                  </w:r>
                </w:p>
              </w:tc>
              <w:tc>
                <w:tcPr>
                  <w:tcW w:w="851" w:type="dxa"/>
                  <w:shd w:val="clear" w:color="auto" w:fill="auto"/>
                  <w:noWrap w:val="0"/>
                  <w:vAlign w:val="center"/>
                </w:tcPr>
                <w:p>
                  <w:pPr>
                    <w:pStyle w:val="11"/>
                    <w:bidi w:val="0"/>
                    <w:rPr>
                      <w:color w:val="auto"/>
                    </w:rPr>
                  </w:pPr>
                  <w:r>
                    <w:rPr>
                      <w:color w:val="auto"/>
                    </w:rPr>
                    <w:t>mg/m</w:t>
                  </w:r>
                  <w:r>
                    <w:rPr>
                      <w:color w:val="auto"/>
                      <w:vertAlign w:val="superscript"/>
                    </w:rPr>
                    <w:t>3</w:t>
                  </w:r>
                </w:p>
              </w:tc>
              <w:tc>
                <w:tcPr>
                  <w:tcW w:w="850" w:type="dxa"/>
                  <w:gridSpan w:val="2"/>
                  <w:shd w:val="clear" w:color="auto" w:fill="auto"/>
                  <w:noWrap w:val="0"/>
                  <w:vAlign w:val="center"/>
                </w:tcPr>
                <w:p>
                  <w:pPr>
                    <w:pStyle w:val="11"/>
                    <w:bidi w:val="0"/>
                    <w:ind w:firstLine="0" w:firstLineChars="0"/>
                    <w:rPr>
                      <w:rFonts w:ascii="Times New Roman" w:hAnsi="Times New Roman" w:eastAsia="宋体" w:cs="Times New Roman"/>
                      <w:color w:val="auto"/>
                      <w:kern w:val="44"/>
                      <w:sz w:val="21"/>
                      <w:szCs w:val="22"/>
                      <w:lang w:val="en-US" w:eastAsia="zh-CN" w:bidi="ar-SA"/>
                    </w:rPr>
                  </w:pPr>
                  <w:r>
                    <w:rPr>
                      <w:color w:val="auto"/>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615" w:type="dxa"/>
                  <w:vMerge w:val="continue"/>
                  <w:shd w:val="clear" w:color="auto" w:fill="auto"/>
                  <w:noWrap w:val="0"/>
                  <w:vAlign w:val="center"/>
                </w:tcPr>
                <w:p>
                  <w:pPr>
                    <w:pStyle w:val="11"/>
                    <w:bidi w:val="0"/>
                  </w:pPr>
                </w:p>
              </w:tc>
              <w:tc>
                <w:tcPr>
                  <w:tcW w:w="3113" w:type="dxa"/>
                  <w:vMerge w:val="continue"/>
                  <w:shd w:val="clear" w:color="auto" w:fill="auto"/>
                  <w:noWrap w:val="0"/>
                  <w:vAlign w:val="center"/>
                </w:tcPr>
                <w:p>
                  <w:pPr>
                    <w:pStyle w:val="11"/>
                    <w:bidi w:val="0"/>
                  </w:pPr>
                </w:p>
              </w:tc>
              <w:tc>
                <w:tcPr>
                  <w:tcW w:w="1229" w:type="dxa"/>
                  <w:vMerge w:val="continue"/>
                  <w:shd w:val="clear" w:color="auto" w:fill="auto"/>
                  <w:noWrap w:val="0"/>
                  <w:vAlign w:val="center"/>
                </w:tcPr>
                <w:p>
                  <w:pPr>
                    <w:pStyle w:val="11"/>
                    <w:bidi w:val="0"/>
                  </w:pPr>
                </w:p>
              </w:tc>
              <w:tc>
                <w:tcPr>
                  <w:tcW w:w="1787" w:type="dxa"/>
                  <w:shd w:val="clear" w:color="auto" w:fill="auto"/>
                  <w:noWrap w:val="0"/>
                  <w:vAlign w:val="center"/>
                </w:tcPr>
                <w:p>
                  <w:pPr>
                    <w:pStyle w:val="11"/>
                    <w:bidi w:val="0"/>
                  </w:pPr>
                  <w:r>
                    <w:t>企业边界</w:t>
                  </w:r>
                </w:p>
                <w:p>
                  <w:pPr>
                    <w:pStyle w:val="11"/>
                    <w:bidi w:val="0"/>
                    <w:ind w:firstLine="0" w:firstLineChars="0"/>
                    <w:rPr>
                      <w:rFonts w:ascii="Times New Roman" w:hAnsi="Times New Roman" w:eastAsia="宋体" w:cs="Times New Roman"/>
                      <w:kern w:val="44"/>
                      <w:sz w:val="21"/>
                      <w:szCs w:val="22"/>
                      <w:lang w:val="en-US" w:eastAsia="zh-CN" w:bidi="ar-SA"/>
                    </w:rPr>
                  </w:pPr>
                  <w:r>
                    <w:t>排放建议值</w:t>
                  </w:r>
                </w:p>
              </w:tc>
              <w:tc>
                <w:tcPr>
                  <w:tcW w:w="851" w:type="dxa"/>
                  <w:shd w:val="clear" w:color="auto" w:fill="auto"/>
                  <w:noWrap w:val="0"/>
                  <w:vAlign w:val="center"/>
                </w:tcPr>
                <w:p>
                  <w:pPr>
                    <w:pStyle w:val="11"/>
                    <w:bidi w:val="0"/>
                  </w:pPr>
                  <w:r>
                    <w:t>mg/m</w:t>
                  </w:r>
                  <w:r>
                    <w:rPr>
                      <w:vertAlign w:val="superscript"/>
                    </w:rPr>
                    <w:t>3</w:t>
                  </w:r>
                </w:p>
              </w:tc>
              <w:tc>
                <w:tcPr>
                  <w:tcW w:w="850" w:type="dxa"/>
                  <w:gridSpan w:val="2"/>
                  <w:shd w:val="clear" w:color="auto" w:fill="auto"/>
                  <w:noWrap w:val="0"/>
                  <w:vAlign w:val="center"/>
                </w:tcPr>
                <w:p>
                  <w:pPr>
                    <w:pStyle w:val="11"/>
                    <w:bidi w:val="0"/>
                    <w:ind w:firstLine="0" w:firstLineChars="0"/>
                    <w:rPr>
                      <w:rFonts w:ascii="Times New Roman" w:hAnsi="Times New Roman" w:eastAsia="宋体" w:cs="Times New Roman"/>
                      <w:kern w:val="44"/>
                      <w:sz w:val="21"/>
                      <w:szCs w:val="22"/>
                      <w:lang w:val="en-US" w:eastAsia="zh-CN" w:bidi="ar-SA"/>
                    </w:rPr>
                  </w:pPr>
                  <w: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534" w:hRule="atLeast"/>
                <w:jc w:val="center"/>
              </w:trPr>
              <w:tc>
                <w:tcPr>
                  <w:tcW w:w="615" w:type="dxa"/>
                  <w:vMerge w:val="continue"/>
                  <w:shd w:val="clear" w:color="auto" w:fill="auto"/>
                  <w:noWrap w:val="0"/>
                  <w:vAlign w:val="center"/>
                </w:tcPr>
                <w:p>
                  <w:pPr>
                    <w:pStyle w:val="11"/>
                    <w:bidi w:val="0"/>
                  </w:pPr>
                </w:p>
              </w:tc>
              <w:tc>
                <w:tcPr>
                  <w:tcW w:w="3113" w:type="dxa"/>
                  <w:vMerge w:val="continue"/>
                  <w:shd w:val="clear" w:color="auto" w:fill="auto"/>
                  <w:noWrap w:val="0"/>
                  <w:vAlign w:val="center"/>
                </w:tcPr>
                <w:p>
                  <w:pPr>
                    <w:pStyle w:val="11"/>
                    <w:bidi w:val="0"/>
                  </w:pPr>
                </w:p>
              </w:tc>
              <w:tc>
                <w:tcPr>
                  <w:tcW w:w="1229" w:type="dxa"/>
                  <w:vMerge w:val="continue"/>
                  <w:shd w:val="clear" w:color="auto" w:fill="auto"/>
                  <w:noWrap w:val="0"/>
                  <w:vAlign w:val="center"/>
                </w:tcPr>
                <w:p>
                  <w:pPr>
                    <w:pStyle w:val="11"/>
                    <w:bidi w:val="0"/>
                  </w:pPr>
                </w:p>
              </w:tc>
              <w:tc>
                <w:tcPr>
                  <w:tcW w:w="1787" w:type="dxa"/>
                  <w:shd w:val="clear" w:color="auto" w:fill="auto"/>
                  <w:noWrap w:val="0"/>
                  <w:vAlign w:val="center"/>
                </w:tcPr>
                <w:p>
                  <w:pPr>
                    <w:pStyle w:val="11"/>
                    <w:bidi w:val="0"/>
                  </w:pPr>
                  <w:r>
                    <w:t>建议去除效率</w:t>
                  </w:r>
                </w:p>
              </w:tc>
              <w:tc>
                <w:tcPr>
                  <w:tcW w:w="1701" w:type="dxa"/>
                  <w:gridSpan w:val="3"/>
                  <w:shd w:val="clear" w:color="auto" w:fill="auto"/>
                  <w:noWrap w:val="0"/>
                  <w:vAlign w:val="center"/>
                </w:tcPr>
                <w:p>
                  <w:pPr>
                    <w:pStyle w:val="11"/>
                    <w:bidi w:val="0"/>
                  </w:pPr>
                  <w: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615" w:type="dxa"/>
                  <w:vMerge w:val="continue"/>
                  <w:shd w:val="clear" w:color="auto" w:fill="auto"/>
                  <w:noWrap w:val="0"/>
                  <w:vAlign w:val="center"/>
                </w:tcPr>
                <w:p>
                  <w:pPr>
                    <w:pStyle w:val="11"/>
                    <w:bidi w:val="0"/>
                  </w:pPr>
                </w:p>
              </w:tc>
              <w:tc>
                <w:tcPr>
                  <w:tcW w:w="3113" w:type="dxa"/>
                  <w:vMerge w:val="restart"/>
                  <w:shd w:val="clear" w:color="auto" w:fill="auto"/>
                  <w:noWrap w:val="0"/>
                  <w:vAlign w:val="center"/>
                </w:tcPr>
                <w:p>
                  <w:pPr>
                    <w:pStyle w:val="11"/>
                    <w:bidi w:val="0"/>
                    <w:rPr>
                      <w:rFonts w:hint="eastAsia"/>
                    </w:rPr>
                  </w:pPr>
                  <w:r>
                    <w:rPr>
                      <w:rFonts w:hint="eastAsia"/>
                    </w:rPr>
                    <w:t>《恶臭污染物排放标准》</w:t>
                  </w:r>
                </w:p>
                <w:p>
                  <w:pPr>
                    <w:pStyle w:val="11"/>
                    <w:bidi w:val="0"/>
                  </w:pPr>
                  <w:r>
                    <w:rPr>
                      <w:rFonts w:hint="eastAsia"/>
                    </w:rPr>
                    <w:t>（GB14554-93）</w:t>
                  </w:r>
                </w:p>
              </w:tc>
              <w:tc>
                <w:tcPr>
                  <w:tcW w:w="1229" w:type="dxa"/>
                  <w:vMerge w:val="restart"/>
                  <w:shd w:val="clear" w:color="auto" w:fill="auto"/>
                  <w:noWrap w:val="0"/>
                  <w:vAlign w:val="center"/>
                </w:tcPr>
                <w:p>
                  <w:pPr>
                    <w:pStyle w:val="11"/>
                    <w:bidi w:val="0"/>
                  </w:pPr>
                  <w:r>
                    <w:rPr>
                      <w:rFonts w:hint="eastAsia"/>
                    </w:rPr>
                    <w:t>硫化氢</w:t>
                  </w:r>
                </w:p>
              </w:tc>
              <w:tc>
                <w:tcPr>
                  <w:tcW w:w="1787" w:type="dxa"/>
                  <w:shd w:val="clear" w:color="auto" w:fill="auto"/>
                  <w:noWrap w:val="0"/>
                  <w:vAlign w:val="center"/>
                </w:tcPr>
                <w:p>
                  <w:pPr>
                    <w:pStyle w:val="11"/>
                    <w:bidi w:val="0"/>
                  </w:pPr>
                  <w:r>
                    <w:rPr>
                      <w:rFonts w:hint="eastAsia"/>
                    </w:rPr>
                    <w:t>排放速率</w:t>
                  </w:r>
                </w:p>
              </w:tc>
              <w:tc>
                <w:tcPr>
                  <w:tcW w:w="851" w:type="dxa"/>
                  <w:shd w:val="clear" w:color="auto" w:fill="auto"/>
                  <w:noWrap w:val="0"/>
                  <w:vAlign w:val="center"/>
                </w:tcPr>
                <w:p>
                  <w:pPr>
                    <w:pStyle w:val="11"/>
                    <w:bidi w:val="0"/>
                  </w:pPr>
                  <w:r>
                    <w:rPr>
                      <w:rFonts w:hint="eastAsia"/>
                    </w:rPr>
                    <w:t>kg/h</w:t>
                  </w:r>
                </w:p>
              </w:tc>
              <w:tc>
                <w:tcPr>
                  <w:tcW w:w="850" w:type="dxa"/>
                  <w:gridSpan w:val="2"/>
                  <w:shd w:val="clear" w:color="auto" w:fill="auto"/>
                  <w:noWrap w:val="0"/>
                  <w:vAlign w:val="center"/>
                </w:tcPr>
                <w:p>
                  <w:pPr>
                    <w:pStyle w:val="11"/>
                    <w:bidi w:val="0"/>
                  </w:pPr>
                  <w:r>
                    <w:rPr>
                      <w:rFonts w:hint="eastAsia"/>
                    </w:rPr>
                    <w:t>0.33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615" w:type="dxa"/>
                  <w:vMerge w:val="continue"/>
                  <w:shd w:val="clear" w:color="auto" w:fill="auto"/>
                  <w:noWrap w:val="0"/>
                  <w:vAlign w:val="center"/>
                </w:tcPr>
                <w:p>
                  <w:pPr>
                    <w:pStyle w:val="11"/>
                    <w:bidi w:val="0"/>
                  </w:pPr>
                </w:p>
              </w:tc>
              <w:tc>
                <w:tcPr>
                  <w:tcW w:w="3113" w:type="dxa"/>
                  <w:vMerge w:val="continue"/>
                  <w:shd w:val="clear" w:color="auto" w:fill="auto"/>
                  <w:noWrap w:val="0"/>
                  <w:vAlign w:val="center"/>
                </w:tcPr>
                <w:p>
                  <w:pPr>
                    <w:pStyle w:val="11"/>
                    <w:bidi w:val="0"/>
                    <w:rPr>
                      <w:rFonts w:hint="eastAsia"/>
                    </w:rPr>
                  </w:pPr>
                </w:p>
              </w:tc>
              <w:tc>
                <w:tcPr>
                  <w:tcW w:w="1229" w:type="dxa"/>
                  <w:vMerge w:val="continue"/>
                  <w:shd w:val="clear" w:color="auto" w:fill="auto"/>
                  <w:noWrap w:val="0"/>
                  <w:vAlign w:val="center"/>
                </w:tcPr>
                <w:p>
                  <w:pPr>
                    <w:pStyle w:val="11"/>
                    <w:bidi w:val="0"/>
                  </w:pPr>
                </w:p>
              </w:tc>
              <w:tc>
                <w:tcPr>
                  <w:tcW w:w="1787" w:type="dxa"/>
                  <w:shd w:val="clear" w:color="auto" w:fill="auto"/>
                  <w:noWrap w:val="0"/>
                  <w:vAlign w:val="center"/>
                </w:tcPr>
                <w:p>
                  <w:pPr>
                    <w:pStyle w:val="11"/>
                    <w:bidi w:val="0"/>
                    <w:rPr>
                      <w:rFonts w:hint="eastAsia"/>
                    </w:rPr>
                  </w:pPr>
                  <w:r>
                    <w:rPr>
                      <w:rFonts w:hint="eastAsia"/>
                    </w:rPr>
                    <w:t>无组织排放监</w:t>
                  </w:r>
                </w:p>
                <w:p>
                  <w:pPr>
                    <w:pStyle w:val="11"/>
                    <w:bidi w:val="0"/>
                  </w:pPr>
                  <w:r>
                    <w:rPr>
                      <w:rFonts w:hint="eastAsia"/>
                    </w:rPr>
                    <w:t>控浓度限值</w:t>
                  </w:r>
                </w:p>
              </w:tc>
              <w:tc>
                <w:tcPr>
                  <w:tcW w:w="851" w:type="dxa"/>
                  <w:shd w:val="clear" w:color="auto" w:fill="auto"/>
                  <w:noWrap w:val="0"/>
                  <w:vAlign w:val="center"/>
                </w:tcPr>
                <w:p>
                  <w:pPr>
                    <w:pStyle w:val="11"/>
                    <w:bidi w:val="0"/>
                  </w:pPr>
                  <w:r>
                    <w:t>mg/m</w:t>
                  </w:r>
                  <w:r>
                    <w:rPr>
                      <w:vertAlign w:val="superscript"/>
                    </w:rPr>
                    <w:t>3</w:t>
                  </w:r>
                </w:p>
              </w:tc>
              <w:tc>
                <w:tcPr>
                  <w:tcW w:w="850" w:type="dxa"/>
                  <w:gridSpan w:val="2"/>
                  <w:shd w:val="clear" w:color="auto" w:fill="auto"/>
                  <w:noWrap w:val="0"/>
                  <w:vAlign w:val="center"/>
                </w:tcPr>
                <w:p>
                  <w:pPr>
                    <w:pStyle w:val="11"/>
                    <w:bidi w:val="0"/>
                    <w:rPr>
                      <w:rFonts w:hint="default" w:eastAsia="宋体"/>
                      <w:lang w:val="en-US" w:eastAsia="zh-CN"/>
                    </w:rPr>
                  </w:pPr>
                  <w:r>
                    <w:rPr>
                      <w:rFonts w:hint="eastAsia"/>
                      <w:lang w:val="en-US" w:eastAsia="zh-CN"/>
                    </w:rPr>
                    <w:t>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615" w:type="dxa"/>
                  <w:vMerge w:val="continue"/>
                  <w:shd w:val="clear" w:color="auto" w:fill="auto"/>
                  <w:noWrap w:val="0"/>
                  <w:vAlign w:val="center"/>
                </w:tcPr>
                <w:p>
                  <w:pPr>
                    <w:pStyle w:val="11"/>
                    <w:bidi w:val="0"/>
                  </w:pPr>
                </w:p>
              </w:tc>
              <w:tc>
                <w:tcPr>
                  <w:tcW w:w="3113" w:type="dxa"/>
                  <w:vMerge w:val="restart"/>
                  <w:shd w:val="clear" w:color="auto" w:fill="auto"/>
                  <w:noWrap w:val="0"/>
                  <w:vAlign w:val="center"/>
                </w:tcPr>
                <w:p>
                  <w:pPr>
                    <w:pStyle w:val="11"/>
                    <w:bidi w:val="0"/>
                  </w:pPr>
                  <w:r>
                    <w:t>《挥发性有机物无组织排放控制标准》（GB37822</w:t>
                  </w:r>
                  <w:r>
                    <w:rPr>
                      <w:rFonts w:hint="eastAsia"/>
                      <w:lang w:val="en-US" w:eastAsia="zh-CN"/>
                    </w:rPr>
                    <w:t>-</w:t>
                  </w:r>
                  <w:r>
                    <w:t>2019）</w:t>
                  </w:r>
                </w:p>
              </w:tc>
              <w:tc>
                <w:tcPr>
                  <w:tcW w:w="1229" w:type="dxa"/>
                  <w:vMerge w:val="restart"/>
                  <w:shd w:val="clear" w:color="auto" w:fill="auto"/>
                  <w:noWrap w:val="0"/>
                  <w:vAlign w:val="center"/>
                </w:tcPr>
                <w:p>
                  <w:pPr>
                    <w:pStyle w:val="11"/>
                    <w:bidi w:val="0"/>
                  </w:pPr>
                  <w:r>
                    <w:t>非甲烷总烃</w:t>
                  </w:r>
                </w:p>
              </w:tc>
              <w:tc>
                <w:tcPr>
                  <w:tcW w:w="1787" w:type="dxa"/>
                  <w:shd w:val="clear" w:color="auto" w:fill="auto"/>
                  <w:noWrap w:val="0"/>
                  <w:vAlign w:val="center"/>
                </w:tcPr>
                <w:p>
                  <w:pPr>
                    <w:pStyle w:val="11"/>
                    <w:bidi w:val="0"/>
                  </w:pPr>
                  <w:r>
                    <w:t>厂区内监控点</w:t>
                  </w:r>
                </w:p>
                <w:p>
                  <w:pPr>
                    <w:pStyle w:val="11"/>
                    <w:bidi w:val="0"/>
                  </w:pPr>
                  <w:r>
                    <w:t>1h平均浓度值</w:t>
                  </w:r>
                </w:p>
              </w:tc>
              <w:tc>
                <w:tcPr>
                  <w:tcW w:w="851" w:type="dxa"/>
                  <w:vMerge w:val="restart"/>
                  <w:shd w:val="clear" w:color="auto" w:fill="auto"/>
                  <w:noWrap w:val="0"/>
                  <w:vAlign w:val="center"/>
                </w:tcPr>
                <w:p>
                  <w:pPr>
                    <w:pStyle w:val="11"/>
                    <w:bidi w:val="0"/>
                  </w:pPr>
                  <w:r>
                    <w:t>mg/m</w:t>
                  </w:r>
                  <w:r>
                    <w:rPr>
                      <w:vertAlign w:val="superscript"/>
                    </w:rPr>
                    <w:t>3</w:t>
                  </w:r>
                </w:p>
              </w:tc>
              <w:tc>
                <w:tcPr>
                  <w:tcW w:w="850" w:type="dxa"/>
                  <w:gridSpan w:val="2"/>
                  <w:shd w:val="clear" w:color="auto" w:fill="auto"/>
                  <w:noWrap w:val="0"/>
                  <w:vAlign w:val="center"/>
                </w:tcPr>
                <w:p>
                  <w:pPr>
                    <w:pStyle w:val="11"/>
                    <w:bidi w:val="0"/>
                  </w:pPr>
                  <w: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615" w:type="dxa"/>
                  <w:vMerge w:val="continue"/>
                  <w:shd w:val="clear" w:color="auto" w:fill="auto"/>
                  <w:noWrap w:val="0"/>
                  <w:vAlign w:val="center"/>
                </w:tcPr>
                <w:p>
                  <w:pPr>
                    <w:pStyle w:val="11"/>
                    <w:bidi w:val="0"/>
                  </w:pPr>
                </w:p>
              </w:tc>
              <w:tc>
                <w:tcPr>
                  <w:tcW w:w="3113" w:type="dxa"/>
                  <w:vMerge w:val="continue"/>
                  <w:shd w:val="clear" w:color="auto" w:fill="auto"/>
                  <w:noWrap w:val="0"/>
                  <w:vAlign w:val="center"/>
                </w:tcPr>
                <w:p>
                  <w:pPr>
                    <w:pStyle w:val="11"/>
                    <w:bidi w:val="0"/>
                  </w:pPr>
                </w:p>
              </w:tc>
              <w:tc>
                <w:tcPr>
                  <w:tcW w:w="1229" w:type="dxa"/>
                  <w:vMerge w:val="continue"/>
                  <w:shd w:val="clear" w:color="auto" w:fill="auto"/>
                  <w:noWrap w:val="0"/>
                  <w:vAlign w:val="center"/>
                </w:tcPr>
                <w:p>
                  <w:pPr>
                    <w:pStyle w:val="11"/>
                    <w:bidi w:val="0"/>
                  </w:pPr>
                </w:p>
              </w:tc>
              <w:tc>
                <w:tcPr>
                  <w:tcW w:w="1787" w:type="dxa"/>
                  <w:shd w:val="clear" w:color="auto" w:fill="auto"/>
                  <w:noWrap w:val="0"/>
                  <w:vAlign w:val="center"/>
                </w:tcPr>
                <w:p>
                  <w:pPr>
                    <w:pStyle w:val="11"/>
                    <w:bidi w:val="0"/>
                  </w:pPr>
                  <w:r>
                    <w:t>厂区内监控点</w:t>
                  </w:r>
                </w:p>
                <w:p>
                  <w:pPr>
                    <w:pStyle w:val="11"/>
                    <w:bidi w:val="0"/>
                  </w:pPr>
                  <w:r>
                    <w:t>任意一次浓度值</w:t>
                  </w:r>
                </w:p>
              </w:tc>
              <w:tc>
                <w:tcPr>
                  <w:tcW w:w="851" w:type="dxa"/>
                  <w:vMerge w:val="continue"/>
                  <w:shd w:val="clear" w:color="auto" w:fill="auto"/>
                  <w:noWrap w:val="0"/>
                  <w:vAlign w:val="center"/>
                </w:tcPr>
                <w:p>
                  <w:pPr>
                    <w:pStyle w:val="11"/>
                    <w:bidi w:val="0"/>
                  </w:pPr>
                </w:p>
              </w:tc>
              <w:tc>
                <w:tcPr>
                  <w:tcW w:w="850" w:type="dxa"/>
                  <w:gridSpan w:val="2"/>
                  <w:shd w:val="clear" w:color="auto" w:fill="auto"/>
                  <w:noWrap w:val="0"/>
                  <w:vAlign w:val="center"/>
                </w:tcPr>
                <w:p>
                  <w:pPr>
                    <w:pStyle w:val="11"/>
                    <w:bidi w:val="0"/>
                  </w:pPr>
                  <w: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615" w:type="dxa"/>
                  <w:vMerge w:val="restart"/>
                  <w:shd w:val="clear" w:color="auto" w:fill="auto"/>
                  <w:noWrap w:val="0"/>
                  <w:vAlign w:val="center"/>
                </w:tcPr>
                <w:p>
                  <w:pPr>
                    <w:pStyle w:val="11"/>
                    <w:bidi w:val="0"/>
                  </w:pPr>
                  <w:r>
                    <w:rPr>
                      <w:rFonts w:hint="eastAsia"/>
                    </w:rPr>
                    <w:t>废水</w:t>
                  </w:r>
                </w:p>
              </w:tc>
              <w:tc>
                <w:tcPr>
                  <w:tcW w:w="3113" w:type="dxa"/>
                  <w:vMerge w:val="restart"/>
                  <w:shd w:val="clear" w:color="auto" w:fill="auto"/>
                  <w:noWrap w:val="0"/>
                  <w:vAlign w:val="center"/>
                </w:tcPr>
                <w:p>
                  <w:pPr>
                    <w:pStyle w:val="11"/>
                    <w:bidi w:val="0"/>
                  </w:pPr>
                  <w:r>
                    <w:t>《污水综合排放标准》</w:t>
                  </w:r>
                </w:p>
                <w:p>
                  <w:pPr>
                    <w:pStyle w:val="11"/>
                    <w:bidi w:val="0"/>
                  </w:pPr>
                  <w:r>
                    <w:t>（GB8978-1996）表4三级标准</w:t>
                  </w:r>
                </w:p>
              </w:tc>
              <w:tc>
                <w:tcPr>
                  <w:tcW w:w="1229" w:type="dxa"/>
                  <w:shd w:val="clear" w:color="auto" w:fill="auto"/>
                  <w:noWrap w:val="0"/>
                  <w:vAlign w:val="center"/>
                </w:tcPr>
                <w:p>
                  <w:pPr>
                    <w:pStyle w:val="11"/>
                    <w:bidi w:val="0"/>
                  </w:pPr>
                  <w:r>
                    <w:t>COD</w:t>
                  </w:r>
                </w:p>
              </w:tc>
              <w:tc>
                <w:tcPr>
                  <w:tcW w:w="1787" w:type="dxa"/>
                  <w:noWrap w:val="0"/>
                  <w:vAlign w:val="center"/>
                </w:tcPr>
                <w:p>
                  <w:pPr>
                    <w:pStyle w:val="11"/>
                    <w:bidi w:val="0"/>
                  </w:pPr>
                  <w:r>
                    <w:t>——</w:t>
                  </w:r>
                </w:p>
              </w:tc>
              <w:tc>
                <w:tcPr>
                  <w:tcW w:w="851" w:type="dxa"/>
                  <w:noWrap w:val="0"/>
                  <w:vAlign w:val="center"/>
                </w:tcPr>
                <w:p>
                  <w:pPr>
                    <w:pStyle w:val="11"/>
                    <w:bidi w:val="0"/>
                  </w:pPr>
                  <w:r>
                    <w:t>mg/L</w:t>
                  </w:r>
                </w:p>
              </w:tc>
              <w:tc>
                <w:tcPr>
                  <w:tcW w:w="850" w:type="dxa"/>
                  <w:gridSpan w:val="2"/>
                  <w:noWrap w:val="0"/>
                  <w:vAlign w:val="center"/>
                </w:tcPr>
                <w:p>
                  <w:pPr>
                    <w:pStyle w:val="11"/>
                    <w:bidi w:val="0"/>
                  </w:pPr>
                  <w:r>
                    <w:rPr>
                      <w:rFonts w:hint="eastAsia"/>
                    </w:rPr>
                    <w:t>5</w:t>
                  </w:r>
                  <w: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615" w:type="dxa"/>
                  <w:vMerge w:val="continue"/>
                  <w:shd w:val="clear" w:color="auto" w:fill="auto"/>
                  <w:noWrap w:val="0"/>
                  <w:vAlign w:val="center"/>
                </w:tcPr>
                <w:p>
                  <w:pPr>
                    <w:pStyle w:val="11"/>
                    <w:bidi w:val="0"/>
                  </w:pPr>
                </w:p>
              </w:tc>
              <w:tc>
                <w:tcPr>
                  <w:tcW w:w="3113" w:type="dxa"/>
                  <w:vMerge w:val="continue"/>
                  <w:shd w:val="clear" w:color="auto" w:fill="auto"/>
                  <w:noWrap w:val="0"/>
                  <w:vAlign w:val="center"/>
                </w:tcPr>
                <w:p>
                  <w:pPr>
                    <w:pStyle w:val="11"/>
                    <w:bidi w:val="0"/>
                  </w:pPr>
                </w:p>
              </w:tc>
              <w:tc>
                <w:tcPr>
                  <w:tcW w:w="1229" w:type="dxa"/>
                  <w:shd w:val="clear" w:color="auto" w:fill="auto"/>
                  <w:noWrap w:val="0"/>
                  <w:vAlign w:val="center"/>
                </w:tcPr>
                <w:p>
                  <w:pPr>
                    <w:pStyle w:val="11"/>
                    <w:bidi w:val="0"/>
                  </w:pPr>
                  <w:r>
                    <w:t>BOD</w:t>
                  </w:r>
                  <w:r>
                    <w:rPr>
                      <w:vertAlign w:val="subscript"/>
                    </w:rPr>
                    <w:t>5</w:t>
                  </w:r>
                </w:p>
              </w:tc>
              <w:tc>
                <w:tcPr>
                  <w:tcW w:w="1787" w:type="dxa"/>
                  <w:noWrap w:val="0"/>
                  <w:vAlign w:val="center"/>
                </w:tcPr>
                <w:p>
                  <w:pPr>
                    <w:pStyle w:val="11"/>
                    <w:bidi w:val="0"/>
                  </w:pPr>
                  <w:r>
                    <w:t>——</w:t>
                  </w:r>
                </w:p>
              </w:tc>
              <w:tc>
                <w:tcPr>
                  <w:tcW w:w="851" w:type="dxa"/>
                  <w:noWrap w:val="0"/>
                  <w:vAlign w:val="center"/>
                </w:tcPr>
                <w:p>
                  <w:pPr>
                    <w:pStyle w:val="11"/>
                    <w:bidi w:val="0"/>
                  </w:pPr>
                  <w:r>
                    <w:t>mg/L</w:t>
                  </w:r>
                </w:p>
              </w:tc>
              <w:tc>
                <w:tcPr>
                  <w:tcW w:w="850" w:type="dxa"/>
                  <w:gridSpan w:val="2"/>
                  <w:noWrap w:val="0"/>
                  <w:vAlign w:val="center"/>
                </w:tcPr>
                <w:p>
                  <w:pPr>
                    <w:pStyle w:val="11"/>
                    <w:bidi w:val="0"/>
                  </w:pPr>
                  <w:r>
                    <w:rPr>
                      <w:rFonts w:hint="eastAsia"/>
                    </w:rPr>
                    <w:t>3</w:t>
                  </w:r>
                  <w: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615" w:type="dxa"/>
                  <w:vMerge w:val="continue"/>
                  <w:shd w:val="clear" w:color="auto" w:fill="auto"/>
                  <w:noWrap w:val="0"/>
                  <w:vAlign w:val="center"/>
                </w:tcPr>
                <w:p>
                  <w:pPr>
                    <w:pStyle w:val="11"/>
                    <w:bidi w:val="0"/>
                  </w:pPr>
                </w:p>
              </w:tc>
              <w:tc>
                <w:tcPr>
                  <w:tcW w:w="3113" w:type="dxa"/>
                  <w:vMerge w:val="continue"/>
                  <w:shd w:val="clear" w:color="auto" w:fill="auto"/>
                  <w:noWrap w:val="0"/>
                  <w:vAlign w:val="center"/>
                </w:tcPr>
                <w:p>
                  <w:pPr>
                    <w:pStyle w:val="11"/>
                    <w:bidi w:val="0"/>
                  </w:pPr>
                </w:p>
              </w:tc>
              <w:tc>
                <w:tcPr>
                  <w:tcW w:w="1229" w:type="dxa"/>
                  <w:shd w:val="clear" w:color="auto" w:fill="auto"/>
                  <w:noWrap w:val="0"/>
                  <w:vAlign w:val="center"/>
                </w:tcPr>
                <w:p>
                  <w:pPr>
                    <w:pStyle w:val="11"/>
                    <w:bidi w:val="0"/>
                  </w:pPr>
                  <w:r>
                    <w:t>SS</w:t>
                  </w:r>
                </w:p>
              </w:tc>
              <w:tc>
                <w:tcPr>
                  <w:tcW w:w="1787" w:type="dxa"/>
                  <w:noWrap w:val="0"/>
                  <w:vAlign w:val="center"/>
                </w:tcPr>
                <w:p>
                  <w:pPr>
                    <w:pStyle w:val="11"/>
                    <w:bidi w:val="0"/>
                  </w:pPr>
                  <w:r>
                    <w:t>——</w:t>
                  </w:r>
                </w:p>
              </w:tc>
              <w:tc>
                <w:tcPr>
                  <w:tcW w:w="851" w:type="dxa"/>
                  <w:noWrap w:val="0"/>
                  <w:vAlign w:val="center"/>
                </w:tcPr>
                <w:p>
                  <w:pPr>
                    <w:pStyle w:val="11"/>
                    <w:bidi w:val="0"/>
                  </w:pPr>
                  <w:r>
                    <w:t>mg/L</w:t>
                  </w:r>
                </w:p>
              </w:tc>
              <w:tc>
                <w:tcPr>
                  <w:tcW w:w="850" w:type="dxa"/>
                  <w:gridSpan w:val="2"/>
                  <w:noWrap w:val="0"/>
                  <w:vAlign w:val="center"/>
                </w:tcPr>
                <w:p>
                  <w:pPr>
                    <w:pStyle w:val="11"/>
                    <w:bidi w:val="0"/>
                  </w:pPr>
                  <w:r>
                    <w:rPr>
                      <w:rFonts w:hint="eastAsia"/>
                    </w:rPr>
                    <w:t>4</w:t>
                  </w:r>
                  <w: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615" w:type="dxa"/>
                  <w:vMerge w:val="continue"/>
                  <w:shd w:val="clear" w:color="auto" w:fill="auto"/>
                  <w:noWrap w:val="0"/>
                  <w:vAlign w:val="center"/>
                </w:tcPr>
                <w:p>
                  <w:pPr>
                    <w:pStyle w:val="11"/>
                    <w:bidi w:val="0"/>
                  </w:pPr>
                </w:p>
              </w:tc>
              <w:tc>
                <w:tcPr>
                  <w:tcW w:w="3113" w:type="dxa"/>
                  <w:vMerge w:val="continue"/>
                  <w:shd w:val="clear" w:color="auto" w:fill="auto"/>
                  <w:noWrap w:val="0"/>
                  <w:vAlign w:val="center"/>
                </w:tcPr>
                <w:p>
                  <w:pPr>
                    <w:pStyle w:val="11"/>
                    <w:bidi w:val="0"/>
                  </w:pPr>
                </w:p>
              </w:tc>
              <w:tc>
                <w:tcPr>
                  <w:tcW w:w="1229" w:type="dxa"/>
                  <w:shd w:val="clear" w:color="auto" w:fill="auto"/>
                  <w:noWrap w:val="0"/>
                  <w:vAlign w:val="center"/>
                </w:tcPr>
                <w:p>
                  <w:pPr>
                    <w:pStyle w:val="11"/>
                    <w:bidi w:val="0"/>
                  </w:pPr>
                  <w:r>
                    <w:t>氨氮</w:t>
                  </w:r>
                </w:p>
              </w:tc>
              <w:tc>
                <w:tcPr>
                  <w:tcW w:w="1787" w:type="dxa"/>
                  <w:noWrap w:val="0"/>
                  <w:vAlign w:val="center"/>
                </w:tcPr>
                <w:p>
                  <w:pPr>
                    <w:pStyle w:val="11"/>
                    <w:bidi w:val="0"/>
                  </w:pPr>
                  <w:r>
                    <w:t>——</w:t>
                  </w:r>
                </w:p>
              </w:tc>
              <w:tc>
                <w:tcPr>
                  <w:tcW w:w="851" w:type="dxa"/>
                  <w:noWrap w:val="0"/>
                  <w:vAlign w:val="center"/>
                </w:tcPr>
                <w:p>
                  <w:pPr>
                    <w:pStyle w:val="11"/>
                    <w:bidi w:val="0"/>
                  </w:pPr>
                  <w:r>
                    <w:t>mg/L</w:t>
                  </w:r>
                </w:p>
              </w:tc>
              <w:tc>
                <w:tcPr>
                  <w:tcW w:w="850" w:type="dxa"/>
                  <w:gridSpan w:val="2"/>
                  <w:noWrap w:val="0"/>
                  <w:vAlign w:val="center"/>
                </w:tcPr>
                <w:p>
                  <w:pPr>
                    <w:pStyle w:val="11"/>
                    <w:bidi w:val="0"/>
                  </w:pPr>
                  <w: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615" w:type="dxa"/>
                  <w:vMerge w:val="continue"/>
                  <w:shd w:val="clear" w:color="auto" w:fill="auto"/>
                  <w:noWrap w:val="0"/>
                  <w:vAlign w:val="center"/>
                </w:tcPr>
                <w:p>
                  <w:pPr>
                    <w:pStyle w:val="11"/>
                    <w:bidi w:val="0"/>
                  </w:pPr>
                </w:p>
              </w:tc>
              <w:tc>
                <w:tcPr>
                  <w:tcW w:w="3113" w:type="dxa"/>
                  <w:vMerge w:val="restart"/>
                  <w:shd w:val="clear" w:color="auto" w:fill="auto"/>
                  <w:noWrap w:val="0"/>
                  <w:vAlign w:val="center"/>
                </w:tcPr>
                <w:p>
                  <w:pPr>
                    <w:pStyle w:val="11"/>
                    <w:bidi w:val="0"/>
                  </w:pPr>
                  <w:r>
                    <w:rPr>
                      <w:rFonts w:hint="eastAsia"/>
                      <w:color w:val="auto"/>
                      <w:lang w:eastAsia="zh-CN"/>
                    </w:rPr>
                    <w:t>许昌市城乡一体化示范区中原电气谷污水处理厂</w:t>
                  </w:r>
                  <w:r>
                    <w:rPr>
                      <w:rFonts w:hint="eastAsia"/>
                    </w:rPr>
                    <w:t>进水水质标准</w:t>
                  </w:r>
                </w:p>
              </w:tc>
              <w:tc>
                <w:tcPr>
                  <w:tcW w:w="1229" w:type="dxa"/>
                  <w:shd w:val="clear" w:color="auto" w:fill="auto"/>
                  <w:noWrap w:val="0"/>
                  <w:vAlign w:val="center"/>
                </w:tcPr>
                <w:p>
                  <w:pPr>
                    <w:pStyle w:val="11"/>
                    <w:bidi w:val="0"/>
                  </w:pPr>
                  <w:r>
                    <w:t>COD</w:t>
                  </w:r>
                </w:p>
              </w:tc>
              <w:tc>
                <w:tcPr>
                  <w:tcW w:w="1787" w:type="dxa"/>
                  <w:vMerge w:val="restart"/>
                  <w:noWrap w:val="0"/>
                  <w:vAlign w:val="center"/>
                </w:tcPr>
                <w:p>
                  <w:pPr>
                    <w:pStyle w:val="11"/>
                    <w:bidi w:val="0"/>
                    <w:rPr>
                      <w:rFonts w:hint="eastAsia"/>
                    </w:rPr>
                  </w:pPr>
                  <w:r>
                    <w:rPr>
                      <w:rFonts w:hint="eastAsia"/>
                    </w:rPr>
                    <w:t>进水水质要求</w:t>
                  </w:r>
                </w:p>
              </w:tc>
              <w:tc>
                <w:tcPr>
                  <w:tcW w:w="851" w:type="dxa"/>
                  <w:noWrap w:val="0"/>
                  <w:vAlign w:val="center"/>
                </w:tcPr>
                <w:p>
                  <w:pPr>
                    <w:pStyle w:val="11"/>
                    <w:bidi w:val="0"/>
                  </w:pPr>
                  <w:r>
                    <w:t>mg/L</w:t>
                  </w:r>
                </w:p>
              </w:tc>
              <w:tc>
                <w:tcPr>
                  <w:tcW w:w="850" w:type="dxa"/>
                  <w:gridSpan w:val="2"/>
                  <w:noWrap w:val="0"/>
                  <w:vAlign w:val="center"/>
                </w:tcPr>
                <w:p>
                  <w:pPr>
                    <w:pStyle w:val="11"/>
                    <w:bidi w:val="0"/>
                  </w:pPr>
                  <w:r>
                    <w:rPr>
                      <w:rFonts w:hint="eastAsia"/>
                      <w:lang w:val="en-US" w:eastAsia="zh-CN"/>
                    </w:rPr>
                    <w:t>4</w:t>
                  </w:r>
                  <w: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615" w:type="dxa"/>
                  <w:vMerge w:val="continue"/>
                  <w:shd w:val="clear" w:color="auto" w:fill="auto"/>
                  <w:noWrap w:val="0"/>
                  <w:vAlign w:val="center"/>
                </w:tcPr>
                <w:p>
                  <w:pPr>
                    <w:pStyle w:val="11"/>
                    <w:bidi w:val="0"/>
                  </w:pPr>
                </w:p>
              </w:tc>
              <w:tc>
                <w:tcPr>
                  <w:tcW w:w="3113" w:type="dxa"/>
                  <w:vMerge w:val="continue"/>
                  <w:shd w:val="clear" w:color="auto" w:fill="auto"/>
                  <w:noWrap w:val="0"/>
                  <w:vAlign w:val="center"/>
                </w:tcPr>
                <w:p>
                  <w:pPr>
                    <w:pStyle w:val="11"/>
                    <w:bidi w:val="0"/>
                  </w:pPr>
                </w:p>
              </w:tc>
              <w:tc>
                <w:tcPr>
                  <w:tcW w:w="1229" w:type="dxa"/>
                  <w:shd w:val="clear" w:color="auto" w:fill="auto"/>
                  <w:noWrap w:val="0"/>
                  <w:vAlign w:val="center"/>
                </w:tcPr>
                <w:p>
                  <w:pPr>
                    <w:pStyle w:val="11"/>
                    <w:bidi w:val="0"/>
                  </w:pPr>
                  <w:r>
                    <w:t>BOD</w:t>
                  </w:r>
                  <w:r>
                    <w:rPr>
                      <w:vertAlign w:val="subscript"/>
                    </w:rPr>
                    <w:t>5</w:t>
                  </w:r>
                </w:p>
              </w:tc>
              <w:tc>
                <w:tcPr>
                  <w:tcW w:w="1787" w:type="dxa"/>
                  <w:vMerge w:val="continue"/>
                  <w:noWrap w:val="0"/>
                  <w:vAlign w:val="center"/>
                </w:tcPr>
                <w:p>
                  <w:pPr>
                    <w:pStyle w:val="11"/>
                    <w:bidi w:val="0"/>
                  </w:pPr>
                </w:p>
              </w:tc>
              <w:tc>
                <w:tcPr>
                  <w:tcW w:w="851" w:type="dxa"/>
                  <w:noWrap w:val="0"/>
                  <w:vAlign w:val="center"/>
                </w:tcPr>
                <w:p>
                  <w:pPr>
                    <w:pStyle w:val="11"/>
                    <w:bidi w:val="0"/>
                  </w:pPr>
                  <w:r>
                    <w:t>mg/L</w:t>
                  </w:r>
                </w:p>
              </w:tc>
              <w:tc>
                <w:tcPr>
                  <w:tcW w:w="850" w:type="dxa"/>
                  <w:gridSpan w:val="2"/>
                  <w:noWrap w:val="0"/>
                  <w:vAlign w:val="center"/>
                </w:tcPr>
                <w:p>
                  <w:pPr>
                    <w:pStyle w:val="11"/>
                    <w:bidi w:val="0"/>
                  </w:pPr>
                  <w:r>
                    <w:rPr>
                      <w:rFonts w:hint="eastAsia"/>
                      <w:lang w:val="en-US" w:eastAsia="zh-CN"/>
                    </w:rPr>
                    <w:t>20</w:t>
                  </w:r>
                  <w: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615" w:type="dxa"/>
                  <w:vMerge w:val="continue"/>
                  <w:shd w:val="clear" w:color="auto" w:fill="auto"/>
                  <w:noWrap w:val="0"/>
                  <w:vAlign w:val="center"/>
                </w:tcPr>
                <w:p>
                  <w:pPr>
                    <w:pStyle w:val="11"/>
                    <w:bidi w:val="0"/>
                  </w:pPr>
                </w:p>
              </w:tc>
              <w:tc>
                <w:tcPr>
                  <w:tcW w:w="3113" w:type="dxa"/>
                  <w:vMerge w:val="continue"/>
                  <w:shd w:val="clear" w:color="auto" w:fill="auto"/>
                  <w:noWrap w:val="0"/>
                  <w:vAlign w:val="center"/>
                </w:tcPr>
                <w:p>
                  <w:pPr>
                    <w:pStyle w:val="11"/>
                    <w:bidi w:val="0"/>
                  </w:pPr>
                </w:p>
              </w:tc>
              <w:tc>
                <w:tcPr>
                  <w:tcW w:w="1229" w:type="dxa"/>
                  <w:shd w:val="clear" w:color="auto" w:fill="auto"/>
                  <w:noWrap w:val="0"/>
                  <w:vAlign w:val="center"/>
                </w:tcPr>
                <w:p>
                  <w:pPr>
                    <w:pStyle w:val="11"/>
                    <w:bidi w:val="0"/>
                  </w:pPr>
                  <w:r>
                    <w:t>SS</w:t>
                  </w:r>
                </w:p>
              </w:tc>
              <w:tc>
                <w:tcPr>
                  <w:tcW w:w="1787" w:type="dxa"/>
                  <w:vMerge w:val="continue"/>
                  <w:noWrap w:val="0"/>
                  <w:vAlign w:val="center"/>
                </w:tcPr>
                <w:p>
                  <w:pPr>
                    <w:pStyle w:val="11"/>
                    <w:bidi w:val="0"/>
                  </w:pPr>
                </w:p>
              </w:tc>
              <w:tc>
                <w:tcPr>
                  <w:tcW w:w="851" w:type="dxa"/>
                  <w:noWrap w:val="0"/>
                  <w:vAlign w:val="center"/>
                </w:tcPr>
                <w:p>
                  <w:pPr>
                    <w:pStyle w:val="11"/>
                    <w:bidi w:val="0"/>
                  </w:pPr>
                  <w:r>
                    <w:t>mg/L</w:t>
                  </w:r>
                </w:p>
              </w:tc>
              <w:tc>
                <w:tcPr>
                  <w:tcW w:w="850" w:type="dxa"/>
                  <w:gridSpan w:val="2"/>
                  <w:noWrap w:val="0"/>
                  <w:vAlign w:val="center"/>
                </w:tcPr>
                <w:p>
                  <w:pPr>
                    <w:pStyle w:val="11"/>
                    <w:bidi w:val="0"/>
                  </w:pPr>
                  <w:r>
                    <w:rPr>
                      <w:rFonts w:hint="eastAsia"/>
                      <w:lang w:val="en-US" w:eastAsia="zh-CN"/>
                    </w:rPr>
                    <w:t>25</w:t>
                  </w:r>
                  <w: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615" w:type="dxa"/>
                  <w:vMerge w:val="continue"/>
                  <w:shd w:val="clear" w:color="auto" w:fill="auto"/>
                  <w:noWrap w:val="0"/>
                  <w:vAlign w:val="center"/>
                </w:tcPr>
                <w:p>
                  <w:pPr>
                    <w:pStyle w:val="11"/>
                    <w:bidi w:val="0"/>
                  </w:pPr>
                </w:p>
              </w:tc>
              <w:tc>
                <w:tcPr>
                  <w:tcW w:w="3113" w:type="dxa"/>
                  <w:vMerge w:val="continue"/>
                  <w:shd w:val="clear" w:color="auto" w:fill="auto"/>
                  <w:noWrap w:val="0"/>
                  <w:vAlign w:val="center"/>
                </w:tcPr>
                <w:p>
                  <w:pPr>
                    <w:pStyle w:val="11"/>
                    <w:bidi w:val="0"/>
                  </w:pPr>
                </w:p>
              </w:tc>
              <w:tc>
                <w:tcPr>
                  <w:tcW w:w="1229" w:type="dxa"/>
                  <w:shd w:val="clear" w:color="auto" w:fill="auto"/>
                  <w:noWrap w:val="0"/>
                  <w:vAlign w:val="center"/>
                </w:tcPr>
                <w:p>
                  <w:pPr>
                    <w:pStyle w:val="11"/>
                    <w:bidi w:val="0"/>
                  </w:pPr>
                  <w:r>
                    <w:t>氨氮</w:t>
                  </w:r>
                </w:p>
              </w:tc>
              <w:tc>
                <w:tcPr>
                  <w:tcW w:w="1787" w:type="dxa"/>
                  <w:vMerge w:val="continue"/>
                  <w:noWrap w:val="0"/>
                  <w:vAlign w:val="center"/>
                </w:tcPr>
                <w:p>
                  <w:pPr>
                    <w:pStyle w:val="11"/>
                    <w:bidi w:val="0"/>
                  </w:pPr>
                </w:p>
              </w:tc>
              <w:tc>
                <w:tcPr>
                  <w:tcW w:w="851" w:type="dxa"/>
                  <w:noWrap w:val="0"/>
                  <w:vAlign w:val="center"/>
                </w:tcPr>
                <w:p>
                  <w:pPr>
                    <w:pStyle w:val="11"/>
                    <w:bidi w:val="0"/>
                  </w:pPr>
                  <w:r>
                    <w:t>mg/L</w:t>
                  </w:r>
                </w:p>
              </w:tc>
              <w:tc>
                <w:tcPr>
                  <w:tcW w:w="850" w:type="dxa"/>
                  <w:gridSpan w:val="2"/>
                  <w:noWrap w:val="0"/>
                  <w:vAlign w:val="center"/>
                </w:tcPr>
                <w:p>
                  <w:pPr>
                    <w:pStyle w:val="11"/>
                    <w:bidi w:val="0"/>
                    <w:rPr>
                      <w:rFonts w:hint="eastAsia" w:eastAsia="宋体"/>
                      <w:lang w:eastAsia="zh-CN"/>
                    </w:rPr>
                  </w:pPr>
                  <w:r>
                    <w:rPr>
                      <w:rFonts w:hint="eastAsia"/>
                      <w:lang w:val="en-US" w:eastAsia="zh-CN"/>
                    </w:rPr>
                    <w:t>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615" w:type="dxa"/>
                  <w:vMerge w:val="restart"/>
                  <w:shd w:val="clear" w:color="auto" w:fill="auto"/>
                  <w:noWrap w:val="0"/>
                  <w:vAlign w:val="center"/>
                </w:tcPr>
                <w:p>
                  <w:pPr>
                    <w:pStyle w:val="11"/>
                    <w:bidi w:val="0"/>
                  </w:pPr>
                  <w:r>
                    <w:t>噪声</w:t>
                  </w:r>
                </w:p>
              </w:tc>
              <w:tc>
                <w:tcPr>
                  <w:tcW w:w="3113" w:type="dxa"/>
                  <w:vMerge w:val="restart"/>
                  <w:shd w:val="clear" w:color="auto" w:fill="auto"/>
                  <w:noWrap w:val="0"/>
                  <w:vAlign w:val="center"/>
                </w:tcPr>
                <w:p>
                  <w:pPr>
                    <w:pStyle w:val="11"/>
                    <w:bidi w:val="0"/>
                  </w:pPr>
                  <w:r>
                    <w:t>《工业企业厂界环境噪声排放标准》（GB12348-2008）2类标准</w:t>
                  </w:r>
                </w:p>
              </w:tc>
              <w:tc>
                <w:tcPr>
                  <w:tcW w:w="1229" w:type="dxa"/>
                  <w:vMerge w:val="restart"/>
                  <w:shd w:val="clear" w:color="auto" w:fill="auto"/>
                  <w:noWrap w:val="0"/>
                  <w:vAlign w:val="center"/>
                </w:tcPr>
                <w:p>
                  <w:pPr>
                    <w:pStyle w:val="11"/>
                    <w:bidi w:val="0"/>
                  </w:pPr>
                  <w:r>
                    <w:t>Leq</w:t>
                  </w:r>
                </w:p>
              </w:tc>
              <w:tc>
                <w:tcPr>
                  <w:tcW w:w="1787" w:type="dxa"/>
                  <w:noWrap w:val="0"/>
                  <w:vAlign w:val="center"/>
                </w:tcPr>
                <w:p>
                  <w:pPr>
                    <w:pStyle w:val="11"/>
                    <w:bidi w:val="0"/>
                  </w:pPr>
                  <w:r>
                    <w:t>昼间</w:t>
                  </w:r>
                </w:p>
              </w:tc>
              <w:tc>
                <w:tcPr>
                  <w:tcW w:w="851" w:type="dxa"/>
                  <w:vMerge w:val="restart"/>
                  <w:noWrap w:val="0"/>
                  <w:vAlign w:val="center"/>
                </w:tcPr>
                <w:p>
                  <w:pPr>
                    <w:pStyle w:val="11"/>
                    <w:bidi w:val="0"/>
                  </w:pPr>
                  <w:r>
                    <w:t>dB（A）</w:t>
                  </w:r>
                </w:p>
              </w:tc>
              <w:tc>
                <w:tcPr>
                  <w:tcW w:w="850" w:type="dxa"/>
                  <w:gridSpan w:val="2"/>
                  <w:noWrap w:val="0"/>
                  <w:vAlign w:val="center"/>
                </w:tcPr>
                <w:p>
                  <w:pPr>
                    <w:pStyle w:val="11"/>
                    <w:bidi w:val="0"/>
                  </w:pPr>
                  <w: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615" w:type="dxa"/>
                  <w:vMerge w:val="continue"/>
                  <w:shd w:val="clear" w:color="auto" w:fill="auto"/>
                  <w:noWrap w:val="0"/>
                  <w:vAlign w:val="center"/>
                </w:tcPr>
                <w:p>
                  <w:pPr>
                    <w:pStyle w:val="11"/>
                    <w:bidi w:val="0"/>
                  </w:pPr>
                </w:p>
              </w:tc>
              <w:tc>
                <w:tcPr>
                  <w:tcW w:w="3113" w:type="dxa"/>
                  <w:vMerge w:val="continue"/>
                  <w:shd w:val="clear" w:color="auto" w:fill="auto"/>
                  <w:noWrap w:val="0"/>
                  <w:vAlign w:val="center"/>
                </w:tcPr>
                <w:p>
                  <w:pPr>
                    <w:pStyle w:val="11"/>
                    <w:bidi w:val="0"/>
                  </w:pPr>
                </w:p>
              </w:tc>
              <w:tc>
                <w:tcPr>
                  <w:tcW w:w="1229" w:type="dxa"/>
                  <w:vMerge w:val="continue"/>
                  <w:shd w:val="clear" w:color="auto" w:fill="auto"/>
                  <w:noWrap w:val="0"/>
                  <w:vAlign w:val="center"/>
                </w:tcPr>
                <w:p>
                  <w:pPr>
                    <w:pStyle w:val="11"/>
                    <w:bidi w:val="0"/>
                  </w:pPr>
                </w:p>
              </w:tc>
              <w:tc>
                <w:tcPr>
                  <w:tcW w:w="1787" w:type="dxa"/>
                  <w:noWrap w:val="0"/>
                  <w:vAlign w:val="center"/>
                </w:tcPr>
                <w:p>
                  <w:pPr>
                    <w:pStyle w:val="11"/>
                    <w:bidi w:val="0"/>
                  </w:pPr>
                  <w:r>
                    <w:t>夜间</w:t>
                  </w:r>
                </w:p>
              </w:tc>
              <w:tc>
                <w:tcPr>
                  <w:tcW w:w="851" w:type="dxa"/>
                  <w:vMerge w:val="continue"/>
                  <w:noWrap w:val="0"/>
                  <w:vAlign w:val="center"/>
                </w:tcPr>
                <w:p>
                  <w:pPr>
                    <w:pStyle w:val="11"/>
                    <w:bidi w:val="0"/>
                  </w:pPr>
                </w:p>
              </w:tc>
              <w:tc>
                <w:tcPr>
                  <w:tcW w:w="850" w:type="dxa"/>
                  <w:gridSpan w:val="2"/>
                  <w:noWrap w:val="0"/>
                  <w:vAlign w:val="center"/>
                </w:tcPr>
                <w:p>
                  <w:pPr>
                    <w:pStyle w:val="11"/>
                    <w:bidi w:val="0"/>
                  </w:pPr>
                  <w: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gridAfter w:val="1"/>
                <w:wAfter w:w="10" w:type="dxa"/>
                <w:trHeight w:val="545" w:hRule="atLeast"/>
                <w:jc w:val="center"/>
              </w:trPr>
              <w:tc>
                <w:tcPr>
                  <w:tcW w:w="615" w:type="dxa"/>
                  <w:vMerge w:val="restart"/>
                  <w:shd w:val="clear" w:color="auto" w:fill="auto"/>
                  <w:noWrap w:val="0"/>
                  <w:vAlign w:val="center"/>
                </w:tcPr>
                <w:p>
                  <w:pPr>
                    <w:pStyle w:val="11"/>
                    <w:bidi w:val="0"/>
                  </w:pPr>
                  <w:r>
                    <w:t>工业固体废物</w:t>
                  </w:r>
                </w:p>
              </w:tc>
              <w:tc>
                <w:tcPr>
                  <w:tcW w:w="7820" w:type="dxa"/>
                  <w:gridSpan w:val="5"/>
                  <w:shd w:val="clear" w:color="auto" w:fill="auto"/>
                  <w:noWrap w:val="0"/>
                  <w:vAlign w:val="center"/>
                </w:tcPr>
                <w:p>
                  <w:pPr>
                    <w:pStyle w:val="11"/>
                    <w:bidi w:val="0"/>
                  </w:pPr>
                  <w:r>
                    <w:rPr>
                      <w:rFonts w:hint="eastAsia"/>
                    </w:rPr>
                    <w:t>《一般工业固体废物贮存和填埋污染控制标准》（GB18599-2020）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gridAfter w:val="1"/>
                <w:wAfter w:w="10" w:type="dxa"/>
                <w:trHeight w:val="23" w:hRule="atLeast"/>
                <w:jc w:val="center"/>
              </w:trPr>
              <w:tc>
                <w:tcPr>
                  <w:tcW w:w="615" w:type="dxa"/>
                  <w:vMerge w:val="continue"/>
                  <w:shd w:val="clear" w:color="auto" w:fill="auto"/>
                  <w:noWrap w:val="0"/>
                  <w:vAlign w:val="center"/>
                </w:tcPr>
                <w:p>
                  <w:pPr>
                    <w:pStyle w:val="11"/>
                    <w:bidi w:val="0"/>
                  </w:pPr>
                </w:p>
              </w:tc>
              <w:tc>
                <w:tcPr>
                  <w:tcW w:w="7820" w:type="dxa"/>
                  <w:gridSpan w:val="5"/>
                  <w:shd w:val="clear" w:color="auto" w:fill="auto"/>
                  <w:noWrap w:val="0"/>
                  <w:vAlign w:val="center"/>
                </w:tcPr>
                <w:p>
                  <w:pPr>
                    <w:pStyle w:val="11"/>
                    <w:bidi w:val="0"/>
                  </w:pPr>
                  <w:r>
                    <w:t>《危险废物贮存污染控制标准》（GB18597-2001）及其修改单</w:t>
                  </w:r>
                </w:p>
              </w:tc>
            </w:tr>
          </w:tbl>
          <w:p>
            <w:pPr>
              <w:pStyle w:val="11"/>
              <w:bidi w:val="0"/>
              <w:jc w:val="both"/>
              <w:rPr>
                <w:rFonts w:hint="eastAsia"/>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394" w:type="dxa"/>
            <w:vAlign w:val="center"/>
          </w:tcPr>
          <w:p>
            <w:pPr>
              <w:pStyle w:val="11"/>
              <w:bidi w:val="0"/>
              <w:rPr>
                <w:rFonts w:hint="eastAsia"/>
                <w:sz w:val="24"/>
                <w:szCs w:val="24"/>
                <w:lang w:eastAsia="zh-CN"/>
              </w:rPr>
            </w:pPr>
            <w:r>
              <w:rPr>
                <w:rFonts w:hint="eastAsia"/>
                <w:sz w:val="24"/>
                <w:szCs w:val="24"/>
                <w:lang w:eastAsia="zh-CN"/>
              </w:rPr>
              <w:t>总量控制指标</w:t>
            </w:r>
          </w:p>
        </w:tc>
        <w:tc>
          <w:tcPr>
            <w:tcW w:w="8554" w:type="dxa"/>
            <w:vAlign w:val="center"/>
          </w:tcPr>
          <w:p>
            <w:pPr>
              <w:adjustRightInd w:val="0"/>
              <w:snapToGrid w:val="0"/>
              <w:spacing w:line="360" w:lineRule="auto"/>
              <w:ind w:firstLine="480" w:firstLineChars="200"/>
              <w:rPr>
                <w:sz w:val="24"/>
              </w:rPr>
            </w:pPr>
            <w:r>
              <w:rPr>
                <w:sz w:val="24"/>
              </w:rPr>
              <w:t>根据《河南省环境保护厅关于印发河南建设项目重点污染物总量指标核定及管理规定》豫环文</w:t>
            </w:r>
            <w:r>
              <w:rPr>
                <w:rFonts w:hint="eastAsia"/>
                <w:sz w:val="24"/>
                <w:lang w:val="en-US" w:eastAsia="zh-CN"/>
              </w:rPr>
              <w:t>〔</w:t>
            </w:r>
            <w:r>
              <w:rPr>
                <w:sz w:val="24"/>
              </w:rPr>
              <w:t>2015</w:t>
            </w:r>
            <w:r>
              <w:rPr>
                <w:rFonts w:hint="eastAsia"/>
                <w:sz w:val="24"/>
                <w:lang w:val="en-US" w:eastAsia="zh-CN"/>
              </w:rPr>
              <w:t>〕</w:t>
            </w:r>
            <w:r>
              <w:rPr>
                <w:sz w:val="24"/>
              </w:rPr>
              <w:t>292号文件要求，结合本项目产生污染物排放情况</w:t>
            </w:r>
            <w:r>
              <w:rPr>
                <w:rFonts w:hint="eastAsia"/>
                <w:sz w:val="24"/>
              </w:rPr>
              <w:t>，确定本项目总量控制污染物为C</w:t>
            </w:r>
            <w:r>
              <w:rPr>
                <w:sz w:val="24"/>
              </w:rPr>
              <w:t>OD</w:t>
            </w:r>
            <w:r>
              <w:rPr>
                <w:rFonts w:hint="eastAsia"/>
                <w:sz w:val="24"/>
              </w:rPr>
              <w:t>、氨氮、</w:t>
            </w:r>
            <w:r>
              <w:rPr>
                <w:sz w:val="24"/>
              </w:rPr>
              <w:t>VOC</w:t>
            </w:r>
            <w:r>
              <w:rPr>
                <w:rFonts w:hint="eastAsia"/>
                <w:sz w:val="24"/>
              </w:rPr>
              <w:t>s。</w:t>
            </w:r>
          </w:p>
          <w:p>
            <w:pPr>
              <w:adjustRightInd w:val="0"/>
              <w:snapToGrid w:val="0"/>
              <w:spacing w:line="360" w:lineRule="auto"/>
              <w:ind w:firstLine="480" w:firstLineChars="200"/>
              <w:rPr>
                <w:rFonts w:hint="eastAsia"/>
                <w:sz w:val="24"/>
              </w:rPr>
            </w:pPr>
            <w:r>
              <w:rPr>
                <w:sz w:val="24"/>
              </w:rPr>
              <w:t>本项目</w:t>
            </w:r>
            <w:r>
              <w:rPr>
                <w:rFonts w:hint="eastAsia"/>
                <w:sz w:val="24"/>
              </w:rPr>
              <w:t>无生产性废水，仅有</w:t>
            </w:r>
            <w:r>
              <w:rPr>
                <w:sz w:val="24"/>
              </w:rPr>
              <w:t>生活污水产生，</w:t>
            </w:r>
            <w:r>
              <w:rPr>
                <w:rFonts w:hint="eastAsia"/>
                <w:sz w:val="24"/>
              </w:rPr>
              <w:t>排放量为</w:t>
            </w:r>
            <w:r>
              <w:rPr>
                <w:rFonts w:hint="eastAsia"/>
                <w:sz w:val="24"/>
                <w:lang w:val="en-US" w:eastAsia="zh-CN"/>
              </w:rPr>
              <w:t>249.6</w:t>
            </w:r>
            <w:r>
              <w:rPr>
                <w:rFonts w:hint="eastAsia"/>
                <w:sz w:val="24"/>
              </w:rPr>
              <w:t>t</w:t>
            </w:r>
            <w:r>
              <w:rPr>
                <w:sz w:val="24"/>
              </w:rPr>
              <w:t>/</w:t>
            </w:r>
            <w:r>
              <w:rPr>
                <w:rFonts w:hint="eastAsia"/>
                <w:sz w:val="24"/>
              </w:rPr>
              <w:t>a，</w:t>
            </w:r>
            <w:r>
              <w:rPr>
                <w:spacing w:val="12"/>
                <w:sz w:val="24"/>
              </w:rPr>
              <w:t>项</w:t>
            </w:r>
            <w:r>
              <w:rPr>
                <w:color w:val="auto"/>
                <w:spacing w:val="12"/>
                <w:sz w:val="24"/>
              </w:rPr>
              <w:t>目</w:t>
            </w:r>
            <w:r>
              <w:rPr>
                <w:color w:val="auto"/>
                <w:kern w:val="0"/>
                <w:sz w:val="24"/>
              </w:rPr>
              <w:t>生活污水</w:t>
            </w:r>
            <w:r>
              <w:rPr>
                <w:rFonts w:hint="eastAsia"/>
                <w:color w:val="auto"/>
                <w:kern w:val="0"/>
                <w:sz w:val="24"/>
                <w:lang w:val="en-US" w:eastAsia="zh-CN"/>
              </w:rPr>
              <w:t>依托园区</w:t>
            </w:r>
            <w:r>
              <w:rPr>
                <w:color w:val="auto"/>
                <w:kern w:val="0"/>
                <w:sz w:val="24"/>
              </w:rPr>
              <w:t>化粪池处理后</w:t>
            </w:r>
            <w:r>
              <w:rPr>
                <w:rFonts w:hint="eastAsia"/>
                <w:color w:val="auto"/>
                <w:kern w:val="0"/>
                <w:sz w:val="24"/>
                <w:lang w:eastAsia="zh-CN"/>
              </w:rPr>
              <w:t>，</w:t>
            </w:r>
            <w:r>
              <w:rPr>
                <w:rFonts w:hint="eastAsia"/>
                <w:color w:val="auto"/>
                <w:spacing w:val="12"/>
                <w:sz w:val="24"/>
                <w:lang w:val="en-US" w:eastAsia="zh-CN"/>
              </w:rPr>
              <w:t>用于周边农田施肥，远期管网环通后</w:t>
            </w:r>
            <w:r>
              <w:rPr>
                <w:rFonts w:hint="eastAsia"/>
                <w:color w:val="auto"/>
                <w:kern w:val="0"/>
                <w:sz w:val="24"/>
              </w:rPr>
              <w:t>经市政污水管网进入</w:t>
            </w:r>
            <w:r>
              <w:rPr>
                <w:rFonts w:hint="eastAsia"/>
                <w:color w:val="auto"/>
                <w:kern w:val="0"/>
                <w:sz w:val="24"/>
                <w:lang w:eastAsia="zh-CN"/>
              </w:rPr>
              <w:t>许昌市城乡一体化示范区中原电气谷污水处理厂</w:t>
            </w:r>
            <w:r>
              <w:rPr>
                <w:rFonts w:hint="eastAsia"/>
                <w:color w:val="auto"/>
                <w:kern w:val="0"/>
                <w:sz w:val="24"/>
              </w:rPr>
              <w:t>进行深度处理</w:t>
            </w:r>
            <w:r>
              <w:rPr>
                <w:color w:val="auto"/>
                <w:kern w:val="0"/>
                <w:sz w:val="24"/>
              </w:rPr>
              <w:t>，</w:t>
            </w:r>
            <w:r>
              <w:rPr>
                <w:rFonts w:hint="eastAsia"/>
                <w:color w:val="auto"/>
                <w:kern w:val="0"/>
                <w:sz w:val="24"/>
                <w:lang w:val="en-US" w:eastAsia="zh-CN"/>
              </w:rPr>
              <w:t>最终排入小洪河</w:t>
            </w:r>
            <w:r>
              <w:rPr>
                <w:bCs/>
                <w:iCs/>
                <w:color w:val="auto"/>
                <w:sz w:val="24"/>
                <w:szCs w:val="32"/>
              </w:rPr>
              <w:t>。</w:t>
            </w:r>
            <w:r>
              <w:rPr>
                <w:rFonts w:hint="eastAsia"/>
                <w:color w:val="auto"/>
                <w:sz w:val="24"/>
              </w:rPr>
              <w:t>C</w:t>
            </w:r>
            <w:r>
              <w:rPr>
                <w:color w:val="auto"/>
                <w:sz w:val="24"/>
              </w:rPr>
              <w:t>OD</w:t>
            </w:r>
            <w:r>
              <w:rPr>
                <w:rFonts w:hint="eastAsia"/>
                <w:color w:val="auto"/>
                <w:sz w:val="24"/>
              </w:rPr>
              <w:t>出厂量：</w:t>
            </w:r>
            <w:r>
              <w:rPr>
                <w:rFonts w:hint="eastAsia"/>
                <w:color w:val="auto"/>
                <w:sz w:val="24"/>
                <w:lang w:val="en-US" w:eastAsia="zh-CN"/>
              </w:rPr>
              <w:t>0.0615</w:t>
            </w:r>
            <w:r>
              <w:rPr>
                <w:color w:val="auto"/>
                <w:sz w:val="24"/>
              </w:rPr>
              <w:t>t/a</w:t>
            </w:r>
            <w:r>
              <w:rPr>
                <w:rFonts w:hint="eastAsia"/>
                <w:color w:val="auto"/>
                <w:sz w:val="24"/>
              </w:rPr>
              <w:t>、氨氮出厂量：</w:t>
            </w:r>
            <w:r>
              <w:rPr>
                <w:rFonts w:hint="eastAsia"/>
                <w:color w:val="auto"/>
                <w:sz w:val="24"/>
                <w:lang w:val="en-US" w:eastAsia="zh-CN"/>
              </w:rPr>
              <w:t>0.0075</w:t>
            </w:r>
            <w:r>
              <w:rPr>
                <w:color w:val="auto"/>
                <w:sz w:val="24"/>
              </w:rPr>
              <w:t>t/a</w:t>
            </w:r>
            <w:r>
              <w:rPr>
                <w:rFonts w:hint="eastAsia"/>
                <w:color w:val="auto"/>
                <w:sz w:val="24"/>
              </w:rPr>
              <w:t>；污染物排放总量按</w:t>
            </w:r>
            <w:r>
              <w:rPr>
                <w:rFonts w:hint="eastAsia"/>
                <w:color w:val="auto"/>
                <w:sz w:val="24"/>
                <w:lang w:eastAsia="zh-CN"/>
              </w:rPr>
              <w:t>许昌市城乡一体化示范区中原电气谷污水处理厂</w:t>
            </w:r>
            <w:r>
              <w:rPr>
                <w:rFonts w:hint="eastAsia"/>
                <w:color w:val="auto"/>
                <w:sz w:val="24"/>
              </w:rPr>
              <w:t>设计浓度（C</w:t>
            </w:r>
            <w:r>
              <w:rPr>
                <w:color w:val="auto"/>
                <w:sz w:val="24"/>
              </w:rPr>
              <w:t>OD30</w:t>
            </w:r>
            <w:r>
              <w:rPr>
                <w:rFonts w:hint="eastAsia"/>
                <w:color w:val="auto"/>
                <w:sz w:val="24"/>
              </w:rPr>
              <w:t>mg</w:t>
            </w:r>
            <w:r>
              <w:rPr>
                <w:color w:val="auto"/>
                <w:sz w:val="24"/>
              </w:rPr>
              <w:t>/L</w:t>
            </w:r>
            <w:r>
              <w:rPr>
                <w:rFonts w:hint="eastAsia"/>
                <w:color w:val="auto"/>
                <w:sz w:val="24"/>
              </w:rPr>
              <w:t>、氨氮</w:t>
            </w:r>
            <w:r>
              <w:rPr>
                <w:color w:val="auto"/>
                <w:sz w:val="24"/>
              </w:rPr>
              <w:t>1.5</w:t>
            </w:r>
            <w:r>
              <w:rPr>
                <w:rFonts w:hint="eastAsia"/>
                <w:color w:val="auto"/>
                <w:sz w:val="24"/>
              </w:rPr>
              <w:t>mg</w:t>
            </w:r>
            <w:r>
              <w:rPr>
                <w:color w:val="auto"/>
                <w:sz w:val="24"/>
              </w:rPr>
              <w:t>/L</w:t>
            </w:r>
            <w:r>
              <w:rPr>
                <w:rFonts w:hint="eastAsia"/>
                <w:color w:val="auto"/>
                <w:sz w:val="24"/>
              </w:rPr>
              <w:t>）核算，总量控制指标（入环境量）为C</w:t>
            </w:r>
            <w:r>
              <w:rPr>
                <w:color w:val="auto"/>
                <w:sz w:val="24"/>
              </w:rPr>
              <w:t>OD</w:t>
            </w:r>
            <w:r>
              <w:rPr>
                <w:rFonts w:hint="eastAsia"/>
                <w:color w:val="auto"/>
                <w:sz w:val="24"/>
              </w:rPr>
              <w:t>：</w:t>
            </w:r>
            <w:r>
              <w:rPr>
                <w:rFonts w:hint="eastAsia"/>
                <w:color w:val="auto"/>
                <w:sz w:val="24"/>
                <w:lang w:val="en-US" w:eastAsia="zh-CN"/>
              </w:rPr>
              <w:t>0.0075</w:t>
            </w:r>
            <w:r>
              <w:rPr>
                <w:color w:val="auto"/>
                <w:sz w:val="24"/>
              </w:rPr>
              <w:t>t/a</w:t>
            </w:r>
            <w:r>
              <w:rPr>
                <w:rFonts w:hint="eastAsia"/>
                <w:color w:val="auto"/>
                <w:sz w:val="24"/>
              </w:rPr>
              <w:t>、氨氮：</w:t>
            </w:r>
            <w:r>
              <w:rPr>
                <w:rFonts w:hint="eastAsia"/>
                <w:color w:val="auto"/>
                <w:sz w:val="24"/>
                <w:lang w:val="en-US" w:eastAsia="zh-CN"/>
              </w:rPr>
              <w:t>0.00037</w:t>
            </w:r>
            <w:r>
              <w:rPr>
                <w:color w:val="auto"/>
                <w:sz w:val="24"/>
              </w:rPr>
              <w:t>t/a</w:t>
            </w:r>
            <w:r>
              <w:rPr>
                <w:rFonts w:hint="eastAsia"/>
                <w:color w:val="auto"/>
                <w:sz w:val="24"/>
              </w:rPr>
              <w:t>。</w:t>
            </w:r>
          </w:p>
          <w:p>
            <w:pPr>
              <w:adjustRightInd w:val="0"/>
              <w:snapToGrid w:val="0"/>
              <w:spacing w:line="360" w:lineRule="auto"/>
              <w:ind w:firstLine="480" w:firstLineChars="200"/>
              <w:rPr>
                <w:rFonts w:hint="eastAsia" w:eastAsia="宋体"/>
                <w:color w:val="FF0000"/>
                <w:sz w:val="24"/>
                <w:lang w:val="en-US" w:eastAsia="zh-CN"/>
              </w:rPr>
            </w:pPr>
            <w:r>
              <w:rPr>
                <w:rFonts w:hint="eastAsia"/>
                <w:sz w:val="24"/>
                <w:lang w:val="en-US" w:eastAsia="zh-CN"/>
              </w:rPr>
              <w:t>本</w:t>
            </w:r>
            <w:r>
              <w:rPr>
                <w:sz w:val="24"/>
              </w:rPr>
              <w:t>项目</w:t>
            </w:r>
            <w:r>
              <w:rPr>
                <w:rFonts w:hint="eastAsia"/>
                <w:sz w:val="24"/>
                <w:lang w:val="en-US" w:eastAsia="zh-CN"/>
              </w:rPr>
              <w:t>属于搬迁项目，新项目建成后原有项目将不再生产。河南新弘电力科技有限公司已建设的高压输电线路高性能外绝缘配套项目</w:t>
            </w:r>
            <w:r>
              <w:rPr>
                <w:color w:val="auto"/>
                <w:sz w:val="24"/>
              </w:rPr>
              <w:t>VOCs排放量为0.</w:t>
            </w:r>
            <w:r>
              <w:rPr>
                <w:rFonts w:hint="eastAsia"/>
                <w:color w:val="auto"/>
                <w:sz w:val="24"/>
                <w:lang w:val="en-US" w:eastAsia="zh-CN"/>
              </w:rPr>
              <w:t>0576</w:t>
            </w:r>
            <w:r>
              <w:rPr>
                <w:color w:val="auto"/>
                <w:sz w:val="24"/>
              </w:rPr>
              <w:t>t/a，</w:t>
            </w:r>
            <w:r>
              <w:rPr>
                <w:rFonts w:hint="eastAsia"/>
                <w:color w:val="auto"/>
                <w:sz w:val="24"/>
                <w:lang w:val="en-US" w:eastAsia="zh-CN"/>
              </w:rPr>
              <w:t>本次项目</w:t>
            </w:r>
            <w:r>
              <w:rPr>
                <w:color w:val="auto"/>
                <w:sz w:val="24"/>
              </w:rPr>
              <w:t>有机废气VOCs排放量为</w:t>
            </w:r>
            <w:r>
              <w:rPr>
                <w:rFonts w:hint="eastAsia"/>
                <w:color w:val="auto"/>
                <w:sz w:val="24"/>
                <w:lang w:val="en-US" w:eastAsia="zh-CN"/>
              </w:rPr>
              <w:t>0.0441</w:t>
            </w:r>
            <w:r>
              <w:rPr>
                <w:color w:val="auto"/>
                <w:sz w:val="24"/>
              </w:rPr>
              <w:t>t/a，</w:t>
            </w:r>
            <w:r>
              <w:rPr>
                <w:rFonts w:hint="eastAsia"/>
                <w:color w:val="auto"/>
                <w:sz w:val="24"/>
                <w:lang w:val="en-US" w:eastAsia="zh-CN"/>
              </w:rPr>
              <w:t>因此本项目不新增</w:t>
            </w:r>
            <w:r>
              <w:rPr>
                <w:color w:val="auto"/>
                <w:sz w:val="24"/>
              </w:rPr>
              <w:t>VOCs</w:t>
            </w:r>
            <w:r>
              <w:rPr>
                <w:rFonts w:hint="eastAsia"/>
                <w:color w:val="auto"/>
                <w:sz w:val="24"/>
                <w:lang w:val="en-US" w:eastAsia="zh-CN"/>
              </w:rPr>
              <w:t>污染物。</w:t>
            </w:r>
          </w:p>
          <w:p>
            <w:pPr>
              <w:adjustRightInd w:val="0"/>
              <w:snapToGrid w:val="0"/>
              <w:spacing w:line="360" w:lineRule="auto"/>
              <w:ind w:firstLine="480" w:firstLineChars="200"/>
              <w:rPr>
                <w:sz w:val="24"/>
              </w:rPr>
            </w:pPr>
            <w:r>
              <w:rPr>
                <w:rFonts w:hint="eastAsia"/>
                <w:sz w:val="24"/>
                <w:lang w:val="en-US" w:eastAsia="zh-CN"/>
              </w:rPr>
              <w:t>综上</w:t>
            </w:r>
            <w:r>
              <w:rPr>
                <w:rFonts w:hint="eastAsia"/>
                <w:sz w:val="24"/>
              </w:rPr>
              <w:t>，</w:t>
            </w:r>
            <w:r>
              <w:rPr>
                <w:sz w:val="24"/>
              </w:rPr>
              <w:t>本项目建议总量控制指标为</w:t>
            </w:r>
            <w:r>
              <w:rPr>
                <w:rFonts w:hint="eastAsia"/>
                <w:color w:val="auto"/>
                <w:sz w:val="24"/>
              </w:rPr>
              <w:t>C</w:t>
            </w:r>
            <w:r>
              <w:rPr>
                <w:color w:val="auto"/>
                <w:sz w:val="24"/>
              </w:rPr>
              <w:t>OD</w:t>
            </w:r>
            <w:r>
              <w:rPr>
                <w:rFonts w:hint="eastAsia"/>
                <w:color w:val="auto"/>
                <w:sz w:val="24"/>
              </w:rPr>
              <w:t>：</w:t>
            </w:r>
            <w:r>
              <w:rPr>
                <w:rFonts w:hint="eastAsia"/>
                <w:color w:val="auto"/>
                <w:sz w:val="24"/>
                <w:lang w:val="en-US" w:eastAsia="zh-CN"/>
              </w:rPr>
              <w:t>0.0075</w:t>
            </w:r>
            <w:r>
              <w:rPr>
                <w:color w:val="auto"/>
                <w:sz w:val="24"/>
              </w:rPr>
              <w:t>t/a</w:t>
            </w:r>
            <w:r>
              <w:rPr>
                <w:rFonts w:hint="eastAsia"/>
                <w:color w:val="auto"/>
                <w:sz w:val="24"/>
              </w:rPr>
              <w:t>、氨氮：</w:t>
            </w:r>
            <w:r>
              <w:rPr>
                <w:rFonts w:hint="eastAsia"/>
                <w:color w:val="auto"/>
                <w:sz w:val="24"/>
                <w:lang w:val="en-US" w:eastAsia="zh-CN"/>
              </w:rPr>
              <w:t>0.00037</w:t>
            </w:r>
            <w:r>
              <w:rPr>
                <w:color w:val="auto"/>
                <w:sz w:val="24"/>
              </w:rPr>
              <w:t>t/a</w:t>
            </w:r>
            <w:r>
              <w:rPr>
                <w:sz w:val="24"/>
              </w:rPr>
              <w:t>。</w:t>
            </w:r>
          </w:p>
          <w:p>
            <w:pPr>
              <w:spacing w:line="348" w:lineRule="auto"/>
              <w:rPr>
                <w:kern w:val="0"/>
                <w:sz w:val="24"/>
              </w:rPr>
            </w:pPr>
          </w:p>
          <w:p>
            <w:pPr>
              <w:spacing w:line="348" w:lineRule="auto"/>
              <w:rPr>
                <w:kern w:val="0"/>
                <w:sz w:val="24"/>
              </w:rPr>
            </w:pPr>
          </w:p>
          <w:p>
            <w:pPr>
              <w:spacing w:line="348" w:lineRule="auto"/>
              <w:rPr>
                <w:kern w:val="0"/>
                <w:sz w:val="24"/>
              </w:rPr>
            </w:pPr>
          </w:p>
          <w:p>
            <w:pPr>
              <w:spacing w:line="348" w:lineRule="auto"/>
              <w:rPr>
                <w:kern w:val="0"/>
                <w:sz w:val="24"/>
              </w:rPr>
            </w:pPr>
          </w:p>
          <w:p>
            <w:pPr>
              <w:spacing w:line="348" w:lineRule="auto"/>
              <w:rPr>
                <w:kern w:val="0"/>
                <w:sz w:val="24"/>
              </w:rPr>
            </w:pPr>
          </w:p>
          <w:p>
            <w:pPr>
              <w:spacing w:line="348" w:lineRule="auto"/>
              <w:rPr>
                <w:kern w:val="0"/>
                <w:sz w:val="24"/>
              </w:rPr>
            </w:pPr>
          </w:p>
          <w:p>
            <w:pPr>
              <w:spacing w:line="348" w:lineRule="auto"/>
              <w:rPr>
                <w:kern w:val="0"/>
                <w:sz w:val="24"/>
              </w:rPr>
            </w:pPr>
          </w:p>
          <w:p>
            <w:pPr>
              <w:spacing w:line="348" w:lineRule="auto"/>
              <w:rPr>
                <w:kern w:val="0"/>
                <w:sz w:val="24"/>
              </w:rPr>
            </w:pPr>
          </w:p>
          <w:p>
            <w:pPr>
              <w:spacing w:line="348" w:lineRule="auto"/>
              <w:rPr>
                <w:kern w:val="0"/>
                <w:sz w:val="24"/>
              </w:rPr>
            </w:pPr>
          </w:p>
          <w:p>
            <w:pPr>
              <w:spacing w:line="348" w:lineRule="auto"/>
              <w:rPr>
                <w:kern w:val="0"/>
                <w:sz w:val="24"/>
              </w:rPr>
            </w:pPr>
          </w:p>
          <w:p>
            <w:pPr>
              <w:spacing w:line="348" w:lineRule="auto"/>
              <w:rPr>
                <w:kern w:val="0"/>
                <w:sz w:val="24"/>
              </w:rPr>
            </w:pPr>
          </w:p>
          <w:p>
            <w:pPr>
              <w:spacing w:line="348" w:lineRule="auto"/>
              <w:rPr>
                <w:kern w:val="0"/>
                <w:sz w:val="24"/>
              </w:rPr>
            </w:pPr>
          </w:p>
          <w:p>
            <w:pPr>
              <w:spacing w:line="348" w:lineRule="auto"/>
              <w:rPr>
                <w:kern w:val="0"/>
                <w:sz w:val="24"/>
              </w:rPr>
            </w:pPr>
          </w:p>
          <w:p>
            <w:pPr>
              <w:bidi w:val="0"/>
              <w:rPr>
                <w:rFonts w:hint="eastAsia"/>
                <w:lang w:eastAsia="zh-CN"/>
              </w:rPr>
            </w:pPr>
          </w:p>
        </w:tc>
      </w:tr>
    </w:tbl>
    <w:p>
      <w:pPr>
        <w:rPr>
          <w:rFonts w:hint="eastAsia"/>
          <w:lang w:eastAsia="zh-CN"/>
        </w:rPr>
        <w:sectPr>
          <w:pgSz w:w="11906" w:h="16838"/>
          <w:pgMar w:top="1701" w:right="1587" w:bottom="1984" w:left="1587" w:header="851" w:footer="992" w:gutter="0"/>
          <w:pgNumType w:fmt="numberInDash"/>
          <w:cols w:space="425" w:num="1"/>
          <w:docGrid w:type="lines" w:linePitch="312" w:charSpace="0"/>
        </w:sectPr>
      </w:pPr>
    </w:p>
    <w:p>
      <w:pPr>
        <w:pStyle w:val="2"/>
        <w:bidi w:val="0"/>
        <w:jc w:val="center"/>
        <w:rPr>
          <w:rFonts w:hint="eastAsia"/>
          <w:vertAlign w:val="baseline"/>
          <w:lang w:eastAsia="zh-CN"/>
        </w:rPr>
      </w:pPr>
      <w:r>
        <w:rPr>
          <w:rFonts w:hint="eastAsia"/>
          <w:lang w:eastAsia="zh-CN"/>
        </w:rPr>
        <w:t>四、主要环境影响和保护措施</w:t>
      </w:r>
    </w:p>
    <w:tbl>
      <w:tblPr>
        <w:tblStyle w:val="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77"/>
        <w:gridCol w:w="84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77" w:type="dxa"/>
            <w:vAlign w:val="center"/>
          </w:tcPr>
          <w:p>
            <w:pPr>
              <w:pStyle w:val="11"/>
              <w:bidi w:val="0"/>
              <w:rPr>
                <w:rFonts w:hint="eastAsia"/>
                <w:sz w:val="24"/>
                <w:szCs w:val="24"/>
                <w:lang w:eastAsia="zh-CN"/>
              </w:rPr>
            </w:pPr>
            <w:r>
              <w:rPr>
                <w:rFonts w:hint="eastAsia"/>
                <w:sz w:val="24"/>
                <w:szCs w:val="24"/>
                <w:lang w:eastAsia="zh-CN"/>
              </w:rPr>
              <w:t>施工</w:t>
            </w:r>
          </w:p>
          <w:p>
            <w:pPr>
              <w:pStyle w:val="11"/>
              <w:bidi w:val="0"/>
              <w:rPr>
                <w:rFonts w:hint="eastAsia"/>
                <w:sz w:val="24"/>
                <w:szCs w:val="24"/>
                <w:lang w:eastAsia="zh-CN"/>
              </w:rPr>
            </w:pPr>
            <w:r>
              <w:rPr>
                <w:rFonts w:hint="eastAsia"/>
                <w:sz w:val="24"/>
                <w:szCs w:val="24"/>
                <w:lang w:eastAsia="zh-CN"/>
              </w:rPr>
              <w:t>期环</w:t>
            </w:r>
          </w:p>
          <w:p>
            <w:pPr>
              <w:pStyle w:val="11"/>
              <w:bidi w:val="0"/>
              <w:rPr>
                <w:rFonts w:hint="eastAsia"/>
                <w:sz w:val="24"/>
                <w:szCs w:val="24"/>
                <w:lang w:eastAsia="zh-CN"/>
              </w:rPr>
            </w:pPr>
            <w:r>
              <w:rPr>
                <w:rFonts w:hint="eastAsia"/>
                <w:sz w:val="24"/>
                <w:szCs w:val="24"/>
                <w:lang w:eastAsia="zh-CN"/>
              </w:rPr>
              <w:t>境保</w:t>
            </w:r>
          </w:p>
          <w:p>
            <w:pPr>
              <w:pStyle w:val="11"/>
              <w:bidi w:val="0"/>
              <w:rPr>
                <w:rFonts w:hint="eastAsia"/>
                <w:sz w:val="24"/>
                <w:szCs w:val="24"/>
                <w:lang w:eastAsia="zh-CN"/>
              </w:rPr>
            </w:pPr>
            <w:r>
              <w:rPr>
                <w:rFonts w:hint="eastAsia"/>
                <w:sz w:val="24"/>
                <w:szCs w:val="24"/>
                <w:lang w:eastAsia="zh-CN"/>
              </w:rPr>
              <w:t>护措</w:t>
            </w:r>
          </w:p>
          <w:p>
            <w:pPr>
              <w:pStyle w:val="11"/>
              <w:bidi w:val="0"/>
              <w:rPr>
                <w:rFonts w:hint="eastAsia"/>
                <w:sz w:val="24"/>
                <w:szCs w:val="24"/>
                <w:lang w:eastAsia="zh-CN"/>
              </w:rPr>
            </w:pPr>
            <w:r>
              <w:rPr>
                <w:rFonts w:hint="eastAsia"/>
                <w:sz w:val="24"/>
                <w:szCs w:val="24"/>
                <w:lang w:eastAsia="zh-CN"/>
              </w:rPr>
              <w:t>施</w:t>
            </w:r>
          </w:p>
        </w:tc>
        <w:tc>
          <w:tcPr>
            <w:tcW w:w="8471" w:type="dxa"/>
            <w:vAlign w:val="center"/>
          </w:tcPr>
          <w:p>
            <w:pPr>
              <w:bidi w:val="0"/>
            </w:pPr>
            <w:r>
              <w:t>本项目</w:t>
            </w:r>
            <w:r>
              <w:rPr>
                <w:rFonts w:hint="eastAsia"/>
              </w:rPr>
              <w:t>施工期主要污染工序为</w:t>
            </w:r>
            <w:r>
              <w:t>厂房隔断装修</w:t>
            </w:r>
            <w:r>
              <w:rPr>
                <w:rFonts w:hint="eastAsia"/>
                <w:lang w:eastAsia="zh-CN"/>
              </w:rPr>
              <w:t>、</w:t>
            </w:r>
            <w:r>
              <w:rPr>
                <w:rFonts w:hint="eastAsia"/>
              </w:rPr>
              <w:t>设备安装、场地清理等过程中施工噪声、少量施工扬尘、施工固废、施工人员生活垃圾和生活污水，施工期较短，对环境影响较小。</w:t>
            </w:r>
          </w:p>
          <w:p>
            <w:pPr>
              <w:pStyle w:val="4"/>
              <w:bidi w:val="0"/>
            </w:pPr>
            <w:r>
              <w:t>1、废气</w:t>
            </w:r>
          </w:p>
          <w:p>
            <w:pPr>
              <w:bidi w:val="0"/>
            </w:pPr>
            <w:r>
              <w:t>施工期废气主要为场地清理、厂房隔断装修</w:t>
            </w:r>
            <w:r>
              <w:rPr>
                <w:rFonts w:hint="eastAsia"/>
                <w:lang w:eastAsia="zh-CN"/>
              </w:rPr>
              <w:t>、</w:t>
            </w:r>
            <w:r>
              <w:rPr>
                <w:rFonts w:hint="eastAsia"/>
                <w:lang w:val="en-US" w:eastAsia="zh-CN"/>
              </w:rPr>
              <w:t>物料装卸和运输过程中</w:t>
            </w:r>
            <w:r>
              <w:t>产生的</w:t>
            </w:r>
            <w:r>
              <w:rPr>
                <w:rFonts w:hint="eastAsia"/>
                <w:lang w:val="en-US" w:eastAsia="zh-CN"/>
              </w:rPr>
              <w:t>扬尘</w:t>
            </w:r>
            <w:r>
              <w:t>，设备运输等作业时产生的燃油废气</w:t>
            </w:r>
            <w:r>
              <w:rPr>
                <w:rFonts w:hint="eastAsia"/>
                <w:lang w:eastAsia="zh-CN"/>
              </w:rPr>
              <w:t>。建设单位严格按照《许昌市污染防治攻坚战三年行动实施方案（2018</w:t>
            </w:r>
            <w:r>
              <w:rPr>
                <w:rFonts w:hint="eastAsia"/>
                <w:lang w:val="en-US" w:eastAsia="zh-CN"/>
              </w:rPr>
              <w:t>-</w:t>
            </w:r>
            <w:r>
              <w:rPr>
                <w:rFonts w:hint="eastAsia"/>
                <w:lang w:eastAsia="zh-CN"/>
              </w:rPr>
              <w:t>2020年）》、《关于印发河南省2021年大气、水、土壤污染防治攻坚战及农业农村污染治理攻坚战实施方案》（豫环攻坚办〔2021〕20号）、《河南省城市房屋建筑和市政基础设施工程及道路扬尘污染防治标准》（DBJ41/T174-2020）等要求，按照“谁施工、谁负责，谁主管、谁监督”的原则，严格落实</w:t>
            </w:r>
            <w:r>
              <w:rPr>
                <w:rFonts w:hint="eastAsia"/>
                <w:color w:val="auto"/>
                <w:lang w:eastAsia="zh-CN"/>
              </w:rPr>
              <w:t>“</w:t>
            </w:r>
            <w:r>
              <w:rPr>
                <w:rFonts w:hint="eastAsia"/>
                <w:color w:val="auto"/>
                <w:lang w:val="en-US" w:eastAsia="zh-CN"/>
              </w:rPr>
              <w:t>八</w:t>
            </w:r>
            <w:r>
              <w:rPr>
                <w:rFonts w:hint="eastAsia"/>
                <w:color w:val="auto"/>
                <w:lang w:eastAsia="zh-CN"/>
              </w:rPr>
              <w:t>个百分之百”、</w:t>
            </w:r>
            <w:r>
              <w:rPr>
                <w:rFonts w:hint="eastAsia"/>
                <w:lang w:eastAsia="zh-CN"/>
              </w:rPr>
              <w:t>开复工验收、“三员”管理等制度；施工中产生的物料堆应采取遮盖、洒水、喷洒覆盖剂或其他防尘措施。</w:t>
            </w:r>
            <w:r>
              <w:t>经过</w:t>
            </w:r>
            <w:r>
              <w:rPr>
                <w:rFonts w:hint="eastAsia"/>
                <w:lang w:val="en-US" w:eastAsia="zh-CN"/>
              </w:rPr>
              <w:t>上述措施治理后</w:t>
            </w:r>
            <w:r>
              <w:t>，</w:t>
            </w:r>
            <w:r>
              <w:rPr>
                <w:rFonts w:hint="eastAsia"/>
                <w:lang w:val="en-US" w:eastAsia="zh-CN"/>
              </w:rPr>
              <w:t>施工期废气</w:t>
            </w:r>
            <w:r>
              <w:t>对周围环境影响较小。</w:t>
            </w:r>
          </w:p>
          <w:p>
            <w:pPr>
              <w:pStyle w:val="4"/>
              <w:bidi w:val="0"/>
            </w:pPr>
            <w:r>
              <w:t>2、废水</w:t>
            </w:r>
          </w:p>
          <w:p>
            <w:pPr>
              <w:bidi w:val="0"/>
            </w:pPr>
            <w:r>
              <w:t>施工期产生的废水主要为</w:t>
            </w:r>
            <w:r>
              <w:rPr>
                <w:rFonts w:hint="eastAsia"/>
                <w:lang w:val="en-US" w:eastAsia="zh-CN"/>
              </w:rPr>
              <w:t>施工</w:t>
            </w:r>
            <w:r>
              <w:t>人员的生活污水。</w:t>
            </w:r>
            <w:r>
              <w:rPr>
                <w:rFonts w:hint="eastAsia"/>
              </w:rPr>
              <w:t>本项目施工人员</w:t>
            </w:r>
            <w:r>
              <w:rPr>
                <w:rFonts w:hint="eastAsia"/>
                <w:lang w:val="en-US" w:eastAsia="zh-CN"/>
              </w:rPr>
              <w:t>1</w:t>
            </w:r>
            <w:r>
              <w:rPr>
                <w:rFonts w:hint="eastAsia"/>
              </w:rPr>
              <w:t>0人，均为附近村民，不再单独建设施工营地，施工人员的生活用水量为35L/人·d，则施工期间用水量为</w:t>
            </w:r>
            <w:r>
              <w:rPr>
                <w:rFonts w:hint="eastAsia"/>
                <w:lang w:val="en-US" w:eastAsia="zh-CN"/>
              </w:rPr>
              <w:t>0.3</w:t>
            </w:r>
            <w:r>
              <w:rPr>
                <w:rFonts w:hint="eastAsia"/>
              </w:rPr>
              <w:t>5m</w:t>
            </w:r>
            <w:r>
              <w:rPr>
                <w:rFonts w:hint="eastAsia"/>
                <w:vertAlign w:val="superscript"/>
                <w:lang w:val="en-US" w:eastAsia="zh-CN"/>
              </w:rPr>
              <w:t>3</w:t>
            </w:r>
            <w:r>
              <w:rPr>
                <w:rFonts w:hint="eastAsia"/>
              </w:rPr>
              <w:t>/d，产污系数按0.8计，则施工期间产生的生活污水量为</w:t>
            </w:r>
            <w:r>
              <w:rPr>
                <w:rFonts w:hint="eastAsia"/>
                <w:lang w:val="en-US" w:eastAsia="zh-CN"/>
              </w:rPr>
              <w:t>0.28</w:t>
            </w:r>
            <w:r>
              <w:rPr>
                <w:rFonts w:hint="eastAsia"/>
              </w:rPr>
              <w:t>m³/d，生活污水中主要污染因子为COD、</w:t>
            </w:r>
            <w:r>
              <w:rPr>
                <w:rFonts w:hint="eastAsia"/>
                <w:lang w:val="en-US" w:eastAsia="zh-CN"/>
              </w:rPr>
              <w:t>BOD</w:t>
            </w:r>
            <w:r>
              <w:rPr>
                <w:rFonts w:hint="eastAsia"/>
                <w:vertAlign w:val="subscript"/>
                <w:lang w:val="en-US" w:eastAsia="zh-CN"/>
              </w:rPr>
              <w:t>5</w:t>
            </w:r>
            <w:r>
              <w:rPr>
                <w:rFonts w:hint="eastAsia"/>
                <w:lang w:val="en-US" w:eastAsia="zh-CN"/>
              </w:rPr>
              <w:t>、</w:t>
            </w:r>
            <w:r>
              <w:rPr>
                <w:rFonts w:hint="eastAsia"/>
              </w:rPr>
              <w:t>SS、氨氮等，</w:t>
            </w:r>
            <w:r>
              <w:rPr>
                <w:color w:val="auto"/>
              </w:rPr>
              <w:t>经化粪池处理后，</w:t>
            </w:r>
            <w:r>
              <w:rPr>
                <w:rFonts w:hint="eastAsia"/>
                <w:color w:val="auto"/>
                <w:lang w:val="en-US" w:eastAsia="zh-CN"/>
              </w:rPr>
              <w:t>用于周边农田施肥</w:t>
            </w:r>
            <w:r>
              <w:rPr>
                <w:color w:val="auto"/>
              </w:rPr>
              <w:t>，对周围环境影响较小。</w:t>
            </w:r>
          </w:p>
          <w:p>
            <w:pPr>
              <w:pStyle w:val="4"/>
              <w:bidi w:val="0"/>
            </w:pPr>
            <w:r>
              <w:t>3、噪声</w:t>
            </w:r>
          </w:p>
          <w:p>
            <w:pPr>
              <w:bidi w:val="0"/>
            </w:pPr>
            <w:r>
              <w:t>施工期产生的噪声主要为厂房隔断，室内装修及设备安装时产生，源强一般在60~90dB（A）之间。为减少其对周围声环境影响，建议采取以下措施：</w:t>
            </w:r>
          </w:p>
          <w:p>
            <w:pPr>
              <w:bidi w:val="0"/>
            </w:pPr>
            <w:r>
              <w:rPr>
                <w:rFonts w:hint="eastAsia"/>
              </w:rPr>
              <w:t>①</w:t>
            </w:r>
            <w:r>
              <w:t>在施工设备和方法中加以考虑，尽量选用低噪声设备和工作方式，加强设备的维护与管理，把噪声污染减少到最低程度；</w:t>
            </w:r>
          </w:p>
          <w:p>
            <w:pPr>
              <w:bidi w:val="0"/>
            </w:pPr>
            <w:r>
              <w:rPr>
                <w:rFonts w:hint="eastAsia"/>
              </w:rPr>
              <w:t>②</w:t>
            </w:r>
            <w:r>
              <w:t>应合理安排机械设备运行时间，尽量避免在中午和夜间运行。如确需夜间施工作业的，必须提前向当地环境保护行政主管部门提出申请，并由施工单位公告当地居民；</w:t>
            </w:r>
          </w:p>
          <w:p>
            <w:pPr>
              <w:bidi w:val="0"/>
            </w:pPr>
            <w:r>
              <w:rPr>
                <w:rFonts w:hint="eastAsia"/>
              </w:rPr>
              <w:t>③</w:t>
            </w:r>
            <w:r>
              <w:t>向周围环境排放建筑施工噪声超过建筑施工场界噪声限值的，确因技术条件所限，不能通过治理消除环境噪声污染的，必须采取有效措施，把噪声污染减少到最低程度，并在相关环境保护行政主管部门监督下与受其噪声污染的居民组织和有关单位协商，达成一致后，方可施工。</w:t>
            </w:r>
          </w:p>
          <w:p>
            <w:pPr>
              <w:bidi w:val="0"/>
            </w:pPr>
            <w:r>
              <w:t>采取以上措施后，可以最大程度的减轻对敏感目标的影响，措施可行。</w:t>
            </w:r>
          </w:p>
          <w:p>
            <w:pPr>
              <w:pStyle w:val="4"/>
              <w:bidi w:val="0"/>
            </w:pPr>
            <w:r>
              <w:t>4、固废</w:t>
            </w:r>
          </w:p>
          <w:p>
            <w:pPr>
              <w:bidi w:val="0"/>
              <w:rPr>
                <w:rFonts w:hint="eastAsia"/>
                <w:lang w:eastAsia="zh-CN"/>
              </w:rPr>
            </w:pPr>
            <w:r>
              <w:t>施工期产生的固废污染主要为</w:t>
            </w:r>
            <w:r>
              <w:rPr>
                <w:rFonts w:hint="eastAsia"/>
                <w:lang w:val="en-US" w:eastAsia="zh-CN"/>
              </w:rPr>
              <w:t>施工</w:t>
            </w:r>
            <w:r>
              <w:t>人员的生活垃圾和建筑垃圾，产生量较小，统一收集后，由环卫部门及时清运至垃圾填埋场。项目施工期产生的固废经有效处置后对周围环境影响较小。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77" w:type="dxa"/>
            <w:vAlign w:val="center"/>
          </w:tcPr>
          <w:p>
            <w:pPr>
              <w:pStyle w:val="11"/>
              <w:bidi w:val="0"/>
              <w:rPr>
                <w:rFonts w:hint="eastAsia"/>
                <w:sz w:val="24"/>
                <w:szCs w:val="24"/>
                <w:lang w:eastAsia="zh-CN"/>
              </w:rPr>
            </w:pPr>
            <w:r>
              <w:rPr>
                <w:rFonts w:hint="eastAsia"/>
                <w:sz w:val="24"/>
                <w:szCs w:val="24"/>
                <w:lang w:eastAsia="zh-CN"/>
              </w:rPr>
              <w:t>运营</w:t>
            </w:r>
          </w:p>
          <w:p>
            <w:pPr>
              <w:pStyle w:val="11"/>
              <w:bidi w:val="0"/>
              <w:rPr>
                <w:rFonts w:hint="eastAsia"/>
                <w:sz w:val="24"/>
                <w:szCs w:val="24"/>
                <w:lang w:eastAsia="zh-CN"/>
              </w:rPr>
            </w:pPr>
            <w:r>
              <w:rPr>
                <w:rFonts w:hint="eastAsia"/>
                <w:sz w:val="24"/>
                <w:szCs w:val="24"/>
                <w:lang w:eastAsia="zh-CN"/>
              </w:rPr>
              <w:t>期环</w:t>
            </w:r>
          </w:p>
          <w:p>
            <w:pPr>
              <w:pStyle w:val="11"/>
              <w:bidi w:val="0"/>
              <w:rPr>
                <w:rFonts w:hint="eastAsia"/>
                <w:sz w:val="24"/>
                <w:szCs w:val="24"/>
                <w:lang w:eastAsia="zh-CN"/>
              </w:rPr>
            </w:pPr>
            <w:r>
              <w:rPr>
                <w:rFonts w:hint="eastAsia"/>
                <w:sz w:val="24"/>
                <w:szCs w:val="24"/>
                <w:lang w:eastAsia="zh-CN"/>
              </w:rPr>
              <w:t>境影</w:t>
            </w:r>
          </w:p>
          <w:p>
            <w:pPr>
              <w:pStyle w:val="11"/>
              <w:bidi w:val="0"/>
              <w:rPr>
                <w:rFonts w:hint="eastAsia"/>
                <w:sz w:val="24"/>
                <w:szCs w:val="24"/>
                <w:lang w:eastAsia="zh-CN"/>
              </w:rPr>
            </w:pPr>
            <w:r>
              <w:rPr>
                <w:rFonts w:hint="eastAsia"/>
                <w:sz w:val="24"/>
                <w:szCs w:val="24"/>
                <w:lang w:eastAsia="zh-CN"/>
              </w:rPr>
              <w:t>响和</w:t>
            </w:r>
          </w:p>
          <w:p>
            <w:pPr>
              <w:pStyle w:val="11"/>
              <w:bidi w:val="0"/>
              <w:rPr>
                <w:rFonts w:hint="eastAsia"/>
                <w:sz w:val="24"/>
                <w:szCs w:val="24"/>
                <w:lang w:eastAsia="zh-CN"/>
              </w:rPr>
            </w:pPr>
            <w:r>
              <w:rPr>
                <w:rFonts w:hint="eastAsia"/>
                <w:sz w:val="24"/>
                <w:szCs w:val="24"/>
                <w:lang w:eastAsia="zh-CN"/>
              </w:rPr>
              <w:t>保护</w:t>
            </w:r>
          </w:p>
          <w:p>
            <w:pPr>
              <w:pStyle w:val="11"/>
              <w:bidi w:val="0"/>
              <w:rPr>
                <w:rFonts w:hint="eastAsia"/>
                <w:sz w:val="24"/>
                <w:szCs w:val="24"/>
                <w:lang w:eastAsia="zh-CN"/>
              </w:rPr>
            </w:pPr>
            <w:r>
              <w:rPr>
                <w:rFonts w:hint="eastAsia"/>
                <w:sz w:val="24"/>
                <w:szCs w:val="24"/>
                <w:lang w:eastAsia="zh-CN"/>
              </w:rPr>
              <w:t>措施</w:t>
            </w:r>
          </w:p>
        </w:tc>
        <w:tc>
          <w:tcPr>
            <w:tcW w:w="8471" w:type="dxa"/>
            <w:vAlign w:val="center"/>
          </w:tcPr>
          <w:p>
            <w:pPr>
              <w:pStyle w:val="4"/>
              <w:bidi w:val="0"/>
            </w:pPr>
            <w:r>
              <w:t>1</w:t>
            </w:r>
            <w:r>
              <w:rPr>
                <w:rFonts w:hint="eastAsia"/>
                <w:lang w:eastAsia="zh-CN"/>
              </w:rPr>
              <w:t>、</w:t>
            </w:r>
            <w:r>
              <w:t>废气</w:t>
            </w:r>
          </w:p>
          <w:p>
            <w:pPr>
              <w:bidi w:val="0"/>
              <w:rPr>
                <w:b/>
                <w:bCs/>
              </w:rPr>
            </w:pPr>
            <w:r>
              <w:rPr>
                <w:rFonts w:hint="eastAsia"/>
                <w:b/>
                <w:bCs/>
                <w:lang w:val="en-US" w:eastAsia="zh-CN"/>
              </w:rPr>
              <w:t xml:space="preserve">1.1 </w:t>
            </w:r>
            <w:r>
              <w:rPr>
                <w:b/>
                <w:bCs/>
              </w:rPr>
              <w:t>源强分析</w:t>
            </w:r>
          </w:p>
          <w:p>
            <w:pPr>
              <w:bidi w:val="0"/>
            </w:pPr>
            <w:r>
              <w:t>本项目运营期废气主要为</w:t>
            </w:r>
            <w:r>
              <w:rPr>
                <w:rFonts w:hint="eastAsia"/>
                <w:lang w:val="en-US" w:eastAsia="zh-CN"/>
              </w:rPr>
              <w:t>硅橡胶混合和绝缘子成型</w:t>
            </w:r>
            <w:r>
              <w:t>过程产生的废气，主要污染因子为</w:t>
            </w:r>
            <w:r>
              <w:rPr>
                <w:rFonts w:hint="eastAsia"/>
                <w:lang w:val="en-US" w:eastAsia="zh-CN"/>
              </w:rPr>
              <w:t>颗粒物、硫化氢和</w:t>
            </w:r>
            <w:r>
              <w:t>非甲烷总烃。</w:t>
            </w:r>
          </w:p>
          <w:p>
            <w:pPr>
              <w:bidi w:val="0"/>
              <w:rPr>
                <w:rFonts w:hint="eastAsia" w:eastAsia="宋体"/>
                <w:lang w:eastAsia="zh-CN"/>
              </w:rPr>
            </w:pPr>
            <w:r>
              <w:rPr>
                <w:rFonts w:hint="eastAsia"/>
                <w:b/>
                <w:bCs/>
              </w:rPr>
              <w:t>混胶</w:t>
            </w:r>
            <w:r>
              <w:rPr>
                <w:b/>
                <w:bCs/>
              </w:rPr>
              <w:t>废气</w:t>
            </w:r>
            <w:r>
              <w:rPr>
                <w:rFonts w:hint="eastAsia"/>
                <w:b/>
                <w:bCs/>
                <w:lang w:eastAsia="zh-CN"/>
              </w:rPr>
              <w:t>：</w:t>
            </w:r>
            <w:r>
              <w:rPr>
                <w:rFonts w:hint="eastAsia"/>
              </w:rPr>
              <w:t>本项目</w:t>
            </w:r>
            <w:r>
              <w:rPr>
                <w:rFonts w:hint="eastAsia"/>
                <w:lang w:val="en-US" w:eastAsia="zh-CN"/>
              </w:rPr>
              <w:t>混胶</w:t>
            </w:r>
            <w:r>
              <w:t>废气</w:t>
            </w:r>
            <w:r>
              <w:rPr>
                <w:rFonts w:hint="eastAsia"/>
                <w:lang w:val="en-US" w:eastAsia="zh-CN"/>
              </w:rPr>
              <w:t>主要包括配料、混合过程中产生的粉尘和有机废气，其中配料工序白炭黑等粉状物料投料过程中会产生粉尘。捏合、开炼统称为混胶过程，捏合</w:t>
            </w:r>
            <w:r>
              <w:rPr>
                <w:rFonts w:hint="eastAsia"/>
              </w:rPr>
              <w:t>机主要起混合压片作用，工作原理为硅胶、</w:t>
            </w:r>
            <w:r>
              <w:rPr>
                <w:rFonts w:hint="eastAsia"/>
                <w:lang w:val="en-US" w:eastAsia="zh-CN"/>
              </w:rPr>
              <w:t>硅油</w:t>
            </w:r>
            <w:r>
              <w:rPr>
                <w:rFonts w:hint="eastAsia"/>
              </w:rPr>
              <w:t>和色膏等原材料在表面摩擦力的作用下，</w:t>
            </w:r>
            <w:r>
              <w:rPr>
                <w:rFonts w:hint="eastAsia"/>
                <w:lang w:val="en-US" w:eastAsia="zh-CN"/>
              </w:rPr>
              <w:t>被</w:t>
            </w:r>
            <w:r>
              <w:rPr>
                <w:rFonts w:hint="eastAsia"/>
              </w:rPr>
              <w:t>带入两个转速不等</w:t>
            </w:r>
            <w:r>
              <w:rPr>
                <w:rFonts w:hint="eastAsia"/>
                <w:lang w:eastAsia="zh-CN"/>
              </w:rPr>
              <w:t>、</w:t>
            </w:r>
            <w:r>
              <w:rPr>
                <w:rFonts w:hint="eastAsia"/>
              </w:rPr>
              <w:t>相对回转的空心滚筒之间的间隙中，然后通过辊筒的挤压作用，硅橡胶的断面逐渐减少，内部大分子键被打断，内部中各种成分掺合均匀。从辊筒间隙排出，最后形成一定厚度的片状。</w:t>
            </w:r>
            <w:r>
              <w:rPr>
                <w:rFonts w:hint="eastAsia"/>
                <w:lang w:eastAsia="zh-CN"/>
              </w:rPr>
              <w:t>混胶</w:t>
            </w:r>
            <w:r>
              <w:rPr>
                <w:rFonts w:hint="eastAsia"/>
              </w:rPr>
              <w:t>过程中未达到硅胶分解温度，但摩擦产生的热量会使硅胶内少量单体分子挥发产生废气，因此</w:t>
            </w:r>
            <w:r>
              <w:rPr>
                <w:rFonts w:hint="eastAsia"/>
                <w:lang w:val="en-US" w:eastAsia="zh-CN"/>
              </w:rPr>
              <w:t>混胶</w:t>
            </w:r>
            <w:r>
              <w:rPr>
                <w:rFonts w:hint="eastAsia"/>
              </w:rPr>
              <w:t>工序能产生有机废气</w:t>
            </w:r>
            <w:r>
              <w:rPr>
                <w:rFonts w:hint="eastAsia"/>
                <w:lang w:eastAsia="zh-CN"/>
              </w:rPr>
              <w:t>。</w:t>
            </w:r>
          </w:p>
          <w:p>
            <w:pPr>
              <w:bidi w:val="0"/>
              <w:rPr>
                <w:rFonts w:hint="eastAsia"/>
                <w:lang w:eastAsia="zh-CN"/>
              </w:rPr>
            </w:pPr>
            <w:r>
              <w:rPr>
                <w:rFonts w:hint="eastAsia"/>
                <w:b/>
                <w:bCs/>
                <w:lang w:val="en-US" w:eastAsia="zh-CN"/>
              </w:rPr>
              <w:t>成型</w:t>
            </w:r>
            <w:r>
              <w:rPr>
                <w:b/>
                <w:bCs/>
              </w:rPr>
              <w:t>废气</w:t>
            </w:r>
            <w:r>
              <w:rPr>
                <w:rFonts w:hint="eastAsia"/>
                <w:b/>
                <w:bCs/>
                <w:lang w:eastAsia="zh-CN"/>
              </w:rPr>
              <w:t>：</w:t>
            </w:r>
            <w:r>
              <w:t>本项目</w:t>
            </w:r>
            <w:r>
              <w:rPr>
                <w:rFonts w:hint="eastAsia"/>
                <w:lang w:val="en-US" w:eastAsia="zh-CN"/>
              </w:rPr>
              <w:t>成型</w:t>
            </w:r>
            <w:r>
              <w:t>过程使用</w:t>
            </w:r>
            <w:r>
              <w:rPr>
                <w:rFonts w:hint="eastAsia"/>
                <w:lang w:val="en-US" w:eastAsia="zh-CN"/>
              </w:rPr>
              <w:t>模压成型机</w:t>
            </w:r>
            <w:r>
              <w:t>对</w:t>
            </w:r>
            <w:r>
              <w:rPr>
                <w:rFonts w:hint="eastAsia"/>
                <w:lang w:val="en-US" w:eastAsia="zh-CN"/>
              </w:rPr>
              <w:t>硅橡胶进行压制成型，成型温度为130℃，成型时长为15min，成型过程中的高温会使硅胶中的少量游离单体分子挥发出来，因此会产生硫化氢和非甲烷总烃废气</w:t>
            </w:r>
            <w:r>
              <w:rPr>
                <w:rFonts w:hint="eastAsia"/>
                <w:lang w:eastAsia="zh-CN"/>
              </w:rPr>
              <w:t>。</w:t>
            </w:r>
          </w:p>
          <w:p>
            <w:pPr>
              <w:bidi w:val="0"/>
              <w:rPr>
                <w:rFonts w:hint="eastAsia"/>
                <w:lang w:eastAsia="zh-CN"/>
              </w:rPr>
            </w:pPr>
            <w:r>
              <w:rPr>
                <w:rFonts w:hint="eastAsia"/>
                <w:b/>
                <w:bCs/>
                <w:sz w:val="24"/>
                <w:lang w:val="en-US" w:eastAsia="zh-CN"/>
              </w:rPr>
              <w:t>源强核算：</w:t>
            </w:r>
            <w:r>
              <w:rPr>
                <w:sz w:val="24"/>
              </w:rPr>
              <w:t>根据《</w:t>
            </w:r>
            <w:r>
              <w:rPr>
                <w:rFonts w:hint="eastAsia"/>
                <w:sz w:val="24"/>
              </w:rPr>
              <w:t>排放源统计调查产排污核算方法和系数手册</w:t>
            </w:r>
            <w:r>
              <w:rPr>
                <w:sz w:val="24"/>
              </w:rPr>
              <w:t>（29</w:t>
            </w:r>
            <w:r>
              <w:rPr>
                <w:rFonts w:hint="eastAsia"/>
                <w:sz w:val="24"/>
                <w:lang w:val="en-US" w:eastAsia="zh-CN"/>
              </w:rPr>
              <w:t>19其他橡胶制品</w:t>
            </w:r>
            <w:r>
              <w:rPr>
                <w:sz w:val="24"/>
              </w:rPr>
              <w:t>行业）》，</w:t>
            </w:r>
            <w:r>
              <w:rPr>
                <w:rFonts w:hint="eastAsia"/>
                <w:sz w:val="24"/>
                <w:lang w:val="en-US" w:eastAsia="zh-CN"/>
              </w:rPr>
              <w:t>涉及混炼、硫化工艺的废气中颗粒物产污系数为12.6</w:t>
            </w:r>
            <w:r>
              <w:rPr>
                <w:sz w:val="24"/>
              </w:rPr>
              <w:t>千克/吨-</w:t>
            </w:r>
            <w:r>
              <w:rPr>
                <w:rFonts w:hint="eastAsia"/>
                <w:sz w:val="24"/>
                <w:lang w:val="en-US" w:eastAsia="zh-CN"/>
              </w:rPr>
              <w:t>三胶-原料，</w:t>
            </w:r>
            <w:r>
              <w:rPr>
                <w:sz w:val="24"/>
              </w:rPr>
              <w:t>非甲烷总烃产</w:t>
            </w:r>
            <w:r>
              <w:rPr>
                <w:rFonts w:hint="eastAsia"/>
                <w:sz w:val="24"/>
              </w:rPr>
              <w:t>污</w:t>
            </w:r>
            <w:r>
              <w:rPr>
                <w:sz w:val="24"/>
              </w:rPr>
              <w:t>系数为</w:t>
            </w:r>
            <w:r>
              <w:rPr>
                <w:rFonts w:hint="eastAsia"/>
                <w:sz w:val="24"/>
                <w:lang w:val="en-US" w:eastAsia="zh-CN"/>
              </w:rPr>
              <w:t>3.27</w:t>
            </w:r>
            <w:r>
              <w:rPr>
                <w:sz w:val="24"/>
              </w:rPr>
              <w:t>千克/吨-</w:t>
            </w:r>
            <w:r>
              <w:rPr>
                <w:rFonts w:hint="eastAsia"/>
                <w:sz w:val="24"/>
                <w:lang w:val="en-US" w:eastAsia="zh-CN"/>
              </w:rPr>
              <w:t>三胶-原料</w:t>
            </w:r>
            <w:r>
              <w:rPr>
                <w:kern w:val="0"/>
                <w:sz w:val="24"/>
                <w:szCs w:val="20"/>
              </w:rPr>
              <w:t>。</w:t>
            </w:r>
            <w:r>
              <w:rPr>
                <w:rFonts w:hint="eastAsia"/>
                <w:lang w:val="en-US" w:eastAsia="zh-CN"/>
              </w:rPr>
              <w:t>项目所用橡胶原料为硅胶，年消耗量为100t/a，经计算可得本项目混胶</w:t>
            </w:r>
            <w:r>
              <w:rPr>
                <w:rFonts w:hint="eastAsia"/>
                <w:sz w:val="24"/>
                <w:lang w:val="en-US" w:eastAsia="zh-CN"/>
              </w:rPr>
              <w:t>、成型</w:t>
            </w:r>
            <w:r>
              <w:rPr>
                <w:rFonts w:hint="eastAsia"/>
                <w:lang w:val="en-US" w:eastAsia="zh-CN"/>
              </w:rPr>
              <w:t>工序颗粒物产生量为1.26t/a、非甲烷总烃产生量为0.327t/a。</w:t>
            </w:r>
          </w:p>
          <w:p>
            <w:pPr>
              <w:bidi w:val="0"/>
              <w:rPr>
                <w:rFonts w:hint="default" w:eastAsia="宋体"/>
                <w:lang w:val="en-US" w:eastAsia="zh-CN"/>
              </w:rPr>
            </w:pPr>
            <w:r>
              <w:rPr>
                <w:rFonts w:hint="eastAsia"/>
              </w:rPr>
              <w:t>参照美国国家环保局EPA编制的AP-42中橡胶制品业排放因子</w:t>
            </w:r>
            <w:r>
              <w:rPr>
                <w:rFonts w:hint="eastAsia"/>
                <w:lang w:val="en-US" w:eastAsia="zh-CN"/>
              </w:rPr>
              <w:t>数据并类比同类型企业可知，混胶过程中硫化氢产污系数为0.032g/t胶料，成型过程中硫化氢产污系数为0.136g/t胶料。项目所用橡胶原料为硅胶，年消耗量为100t/a，经计算可得本项目混胶工序硫化氢产生量为0.0000032t/a，成型工序硫化氢产生量为0.0000136t/a。</w:t>
            </w:r>
          </w:p>
          <w:p>
            <w:pPr>
              <w:bidi w:val="0"/>
            </w:pPr>
            <w:r>
              <w:t>综上，项目颗粒物产生总量为</w:t>
            </w:r>
            <w:r>
              <w:rPr>
                <w:rFonts w:hint="eastAsia"/>
                <w:lang w:val="en-US" w:eastAsia="zh-CN"/>
              </w:rPr>
              <w:t>1.26t/a</w:t>
            </w:r>
            <w:r>
              <w:rPr>
                <w:rFonts w:hint="eastAsia"/>
                <w:lang w:eastAsia="zh-CN"/>
              </w:rPr>
              <w:t>，</w:t>
            </w:r>
            <w:r>
              <w:rPr>
                <w:rFonts w:hint="eastAsia"/>
                <w:lang w:val="en-US" w:eastAsia="zh-CN"/>
              </w:rPr>
              <w:t>硫化氢产生量为0.0000168t/a，</w:t>
            </w:r>
            <w:r>
              <w:t>非甲烷总烃产生总量为</w:t>
            </w:r>
            <w:r>
              <w:rPr>
                <w:rFonts w:hint="eastAsia"/>
                <w:lang w:val="en-US" w:eastAsia="zh-CN"/>
              </w:rPr>
              <w:t>0.327</w:t>
            </w:r>
            <w:r>
              <w:t>t/a。</w:t>
            </w:r>
          </w:p>
          <w:p>
            <w:pPr>
              <w:bidi w:val="0"/>
            </w:pPr>
            <w:r>
              <w:rPr>
                <w:rFonts w:hint="eastAsia"/>
              </w:rPr>
              <w:t>项目1#车间</w:t>
            </w:r>
            <w:r>
              <w:rPr>
                <w:rFonts w:hint="eastAsia"/>
                <w:lang w:val="en-US" w:eastAsia="zh-CN"/>
              </w:rPr>
              <w:t>混胶</w:t>
            </w:r>
            <w:r>
              <w:rPr>
                <w:rFonts w:hint="eastAsia"/>
              </w:rPr>
              <w:t>工序和1#、2#车间的</w:t>
            </w:r>
            <w:r>
              <w:rPr>
                <w:rFonts w:hint="eastAsia"/>
                <w:lang w:eastAsia="zh-CN"/>
              </w:rPr>
              <w:t>成型</w:t>
            </w:r>
            <w:r>
              <w:rPr>
                <w:rFonts w:hint="eastAsia"/>
              </w:rPr>
              <w:t>工序分别采取“二次密闭+集气罩”收集废气，</w:t>
            </w:r>
            <w:r>
              <w:rPr>
                <w:rFonts w:hint="eastAsia"/>
                <w:lang w:val="en-US" w:eastAsia="zh-CN"/>
              </w:rPr>
              <w:t>混胶</w:t>
            </w:r>
            <w:r>
              <w:rPr>
                <w:rFonts w:hint="eastAsia"/>
              </w:rPr>
              <w:t>废气经袋式除尘器处理后，与</w:t>
            </w:r>
            <w:r>
              <w:rPr>
                <w:rFonts w:hint="eastAsia"/>
                <w:lang w:val="en-US" w:eastAsia="zh-CN"/>
              </w:rPr>
              <w:t>成型废气</w:t>
            </w:r>
            <w:r>
              <w:rPr>
                <w:rFonts w:hint="eastAsia"/>
              </w:rPr>
              <w:t>合并至“</w:t>
            </w:r>
            <w:r>
              <w:rPr>
                <w:rFonts w:hint="eastAsia"/>
                <w:lang w:val="en-US" w:eastAsia="zh-CN"/>
              </w:rPr>
              <w:t>UV光氧</w:t>
            </w:r>
            <w:r>
              <w:rPr>
                <w:rFonts w:hint="eastAsia"/>
              </w:rPr>
              <w:t>+</w:t>
            </w:r>
            <w:r>
              <w:rPr>
                <w:rFonts w:hint="eastAsia"/>
                <w:lang w:val="en-US" w:eastAsia="zh-CN"/>
              </w:rPr>
              <w:t>活性炭吸附</w:t>
            </w:r>
            <w:r>
              <w:rPr>
                <w:rFonts w:hint="eastAsia"/>
              </w:rPr>
              <w:t>”装置处理后通过1根15米高排气筒排放</w:t>
            </w:r>
            <w:r>
              <w:rPr>
                <w:rFonts w:hint="eastAsia"/>
                <w:lang w:eastAsia="zh-CN"/>
              </w:rPr>
              <w:t>。</w:t>
            </w:r>
            <w:r>
              <w:t>排气筒配备风机风量为</w:t>
            </w:r>
            <w:r>
              <w:rPr>
                <w:rFonts w:hint="eastAsia"/>
                <w:lang w:val="en-US" w:eastAsia="zh-CN"/>
              </w:rPr>
              <w:t>6</w:t>
            </w:r>
            <w:r>
              <w:t>000m</w:t>
            </w:r>
            <w:r>
              <w:rPr>
                <w:vertAlign w:val="superscript"/>
              </w:rPr>
              <w:t>3</w:t>
            </w:r>
            <w:r>
              <w:t>/h，废气收集效率以90%计，</w:t>
            </w:r>
            <w:r>
              <w:rPr>
                <w:rFonts w:hint="eastAsia"/>
                <w:lang w:val="en-US" w:eastAsia="zh-CN"/>
              </w:rPr>
              <w:t>袋式</w:t>
            </w:r>
            <w:r>
              <w:t>除尘器对颗粒物处理效率为95%，UV光氧+活性炭吸附装置对挥发性有机物效率为85%（其中UV光氧处理效率为40%，单级活性炭吸附处理效率为75%）。</w:t>
            </w:r>
          </w:p>
          <w:p>
            <w:pPr>
              <w:bidi w:val="0"/>
              <w:rPr>
                <w:rFonts w:hint="default" w:eastAsia="宋体"/>
                <w:lang w:val="en-US" w:eastAsia="zh-CN"/>
              </w:rPr>
            </w:pPr>
            <w:r>
              <w:rPr>
                <w:rFonts w:hint="eastAsia"/>
                <w:lang w:val="en-US" w:eastAsia="zh-CN"/>
              </w:rPr>
              <w:t>经计算，项目颗粒物有组织排放量为0.0567t/a，排放浓度为4.5433mg/m</w:t>
            </w:r>
            <w:r>
              <w:rPr>
                <w:rFonts w:hint="eastAsia"/>
                <w:vertAlign w:val="superscript"/>
                <w:lang w:val="en-US" w:eastAsia="zh-CN"/>
              </w:rPr>
              <w:t>3</w:t>
            </w:r>
            <w:r>
              <w:rPr>
                <w:rFonts w:hint="eastAsia"/>
                <w:lang w:val="en-US" w:eastAsia="zh-CN"/>
              </w:rPr>
              <w:t>，排放速率为0.0273kg/h；硫化氢有组织排放量为2.268</w:t>
            </w:r>
            <w:r>
              <w:rPr>
                <w:rFonts w:hint="default" w:ascii="Arial" w:hAnsi="Arial" w:cs="Arial"/>
                <w:lang w:val="en-US" w:eastAsia="zh-CN"/>
              </w:rPr>
              <w:t>×</w:t>
            </w:r>
            <w:r>
              <w:rPr>
                <w:rFonts w:hint="eastAsia"/>
                <w:lang w:val="en-US" w:eastAsia="zh-CN"/>
              </w:rPr>
              <w:t>10</w:t>
            </w:r>
            <w:r>
              <w:rPr>
                <w:rFonts w:hint="eastAsia"/>
                <w:vertAlign w:val="superscript"/>
                <w:lang w:val="en-US" w:eastAsia="zh-CN"/>
              </w:rPr>
              <w:t>-6</w:t>
            </w:r>
            <w:r>
              <w:rPr>
                <w:rFonts w:hint="eastAsia"/>
                <w:lang w:val="en-US" w:eastAsia="zh-CN"/>
              </w:rPr>
              <w:t>t/a，排放浓度为1.817</w:t>
            </w:r>
            <w:r>
              <w:rPr>
                <w:rFonts w:hint="default" w:ascii="Arial" w:hAnsi="Arial" w:cs="Arial"/>
                <w:lang w:val="en-US" w:eastAsia="zh-CN"/>
              </w:rPr>
              <w:t>×</w:t>
            </w:r>
            <w:r>
              <w:rPr>
                <w:rFonts w:hint="eastAsia"/>
                <w:lang w:val="en-US" w:eastAsia="zh-CN"/>
              </w:rPr>
              <w:t>10</w:t>
            </w:r>
            <w:r>
              <w:rPr>
                <w:rFonts w:hint="eastAsia"/>
                <w:vertAlign w:val="superscript"/>
                <w:lang w:val="en-US" w:eastAsia="zh-CN"/>
              </w:rPr>
              <w:t>-4</w:t>
            </w:r>
            <w:r>
              <w:rPr>
                <w:rFonts w:hint="eastAsia"/>
                <w:lang w:val="en-US" w:eastAsia="zh-CN"/>
              </w:rPr>
              <w:t>mg/m</w:t>
            </w:r>
            <w:r>
              <w:rPr>
                <w:rFonts w:hint="eastAsia"/>
                <w:vertAlign w:val="superscript"/>
                <w:lang w:val="en-US" w:eastAsia="zh-CN"/>
              </w:rPr>
              <w:t>3</w:t>
            </w:r>
            <w:r>
              <w:rPr>
                <w:rFonts w:hint="eastAsia"/>
                <w:lang w:val="en-US" w:eastAsia="zh-CN"/>
              </w:rPr>
              <w:t>，排放速率为1.09</w:t>
            </w:r>
            <w:r>
              <w:rPr>
                <w:rFonts w:hint="default" w:ascii="Arial" w:hAnsi="Arial" w:cs="Arial"/>
                <w:lang w:val="en-US" w:eastAsia="zh-CN"/>
              </w:rPr>
              <w:t>×</w:t>
            </w:r>
            <w:r>
              <w:rPr>
                <w:rFonts w:hint="eastAsia"/>
                <w:lang w:val="en-US" w:eastAsia="zh-CN"/>
              </w:rPr>
              <w:t>10</w:t>
            </w:r>
            <w:r>
              <w:rPr>
                <w:rFonts w:hint="eastAsia"/>
                <w:vertAlign w:val="superscript"/>
                <w:lang w:val="en-US" w:eastAsia="zh-CN"/>
              </w:rPr>
              <w:t>-6</w:t>
            </w:r>
            <w:r>
              <w:rPr>
                <w:rFonts w:hint="eastAsia"/>
                <w:lang w:val="en-US" w:eastAsia="zh-CN"/>
              </w:rPr>
              <w:t>kg/h；非甲烷总烃有组织排放量为0.0441t/a，排放浓度为3.5373mg/m</w:t>
            </w:r>
            <w:r>
              <w:rPr>
                <w:rFonts w:hint="eastAsia"/>
                <w:vertAlign w:val="superscript"/>
                <w:lang w:val="en-US" w:eastAsia="zh-CN"/>
              </w:rPr>
              <w:t>3</w:t>
            </w:r>
            <w:r>
              <w:rPr>
                <w:rFonts w:hint="eastAsia"/>
                <w:lang w:val="en-US" w:eastAsia="zh-CN"/>
              </w:rPr>
              <w:t>，排放速率为0.0212kg/h。</w:t>
            </w:r>
          </w:p>
          <w:p>
            <w:pPr>
              <w:bidi w:val="0"/>
            </w:pPr>
          </w:p>
          <w:p>
            <w:pPr>
              <w:bidi w:val="0"/>
            </w:pPr>
          </w:p>
          <w:p>
            <w:pPr>
              <w:bidi w:val="0"/>
            </w:pPr>
          </w:p>
          <w:p>
            <w:pPr>
              <w:bidi w:val="0"/>
            </w:pPr>
          </w:p>
          <w:p>
            <w:pPr>
              <w:bidi w:val="0"/>
            </w:pPr>
          </w:p>
          <w:p>
            <w:pPr>
              <w:bidi w:val="0"/>
            </w:pPr>
          </w:p>
          <w:p>
            <w:pPr>
              <w:bidi w:val="0"/>
              <w:rPr>
                <w:rFonts w:hint="eastAsia"/>
                <w:lang w:eastAsia="zh-CN"/>
              </w:rPr>
            </w:pPr>
          </w:p>
        </w:tc>
      </w:tr>
    </w:tbl>
    <w:p>
      <w:pPr>
        <w:rPr>
          <w:rFonts w:hint="eastAsia"/>
          <w:lang w:eastAsia="zh-CN"/>
        </w:rPr>
        <w:sectPr>
          <w:pgSz w:w="11906" w:h="16838"/>
          <w:pgMar w:top="1701" w:right="1587" w:bottom="1984" w:left="1587" w:header="851" w:footer="992" w:gutter="0"/>
          <w:pgNumType w:fmt="numberInDash"/>
          <w:cols w:space="425" w:num="1"/>
          <w:docGrid w:type="lines" w:linePitch="312" w:charSpace="0"/>
        </w:sectPr>
      </w:pPr>
    </w:p>
    <w:tbl>
      <w:tblPr>
        <w:tblStyle w:val="9"/>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28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4" w:type="pct"/>
            <w:vAlign w:val="center"/>
          </w:tcPr>
          <w:p>
            <w:pPr>
              <w:pStyle w:val="11"/>
              <w:bidi w:val="0"/>
              <w:rPr>
                <w:rFonts w:hint="eastAsia"/>
                <w:sz w:val="24"/>
                <w:szCs w:val="24"/>
                <w:lang w:eastAsia="zh-CN"/>
              </w:rPr>
            </w:pPr>
            <w:r>
              <w:rPr>
                <w:rFonts w:hint="eastAsia"/>
                <w:sz w:val="24"/>
                <w:szCs w:val="24"/>
                <w:lang w:eastAsia="zh-CN"/>
              </w:rPr>
              <w:t>运营</w:t>
            </w:r>
          </w:p>
          <w:p>
            <w:pPr>
              <w:pStyle w:val="11"/>
              <w:bidi w:val="0"/>
              <w:rPr>
                <w:rFonts w:hint="eastAsia"/>
                <w:sz w:val="24"/>
                <w:szCs w:val="24"/>
                <w:lang w:eastAsia="zh-CN"/>
              </w:rPr>
            </w:pPr>
            <w:r>
              <w:rPr>
                <w:rFonts w:hint="eastAsia"/>
                <w:sz w:val="24"/>
                <w:szCs w:val="24"/>
                <w:lang w:eastAsia="zh-CN"/>
              </w:rPr>
              <w:t>期环</w:t>
            </w:r>
          </w:p>
          <w:p>
            <w:pPr>
              <w:pStyle w:val="11"/>
              <w:bidi w:val="0"/>
              <w:rPr>
                <w:rFonts w:hint="eastAsia"/>
                <w:sz w:val="24"/>
                <w:szCs w:val="24"/>
                <w:lang w:eastAsia="zh-CN"/>
              </w:rPr>
            </w:pPr>
            <w:r>
              <w:rPr>
                <w:rFonts w:hint="eastAsia"/>
                <w:sz w:val="24"/>
                <w:szCs w:val="24"/>
                <w:lang w:eastAsia="zh-CN"/>
              </w:rPr>
              <w:t>境影</w:t>
            </w:r>
          </w:p>
          <w:p>
            <w:pPr>
              <w:pStyle w:val="11"/>
              <w:bidi w:val="0"/>
              <w:rPr>
                <w:rFonts w:hint="eastAsia"/>
                <w:sz w:val="24"/>
                <w:szCs w:val="24"/>
                <w:lang w:eastAsia="zh-CN"/>
              </w:rPr>
            </w:pPr>
            <w:r>
              <w:rPr>
                <w:rFonts w:hint="eastAsia"/>
                <w:sz w:val="24"/>
                <w:szCs w:val="24"/>
                <w:lang w:eastAsia="zh-CN"/>
              </w:rPr>
              <w:t>响和</w:t>
            </w:r>
          </w:p>
          <w:p>
            <w:pPr>
              <w:pStyle w:val="11"/>
              <w:bidi w:val="0"/>
              <w:rPr>
                <w:rFonts w:hint="eastAsia"/>
                <w:sz w:val="24"/>
                <w:szCs w:val="24"/>
                <w:lang w:eastAsia="zh-CN"/>
              </w:rPr>
            </w:pPr>
            <w:r>
              <w:rPr>
                <w:rFonts w:hint="eastAsia"/>
                <w:sz w:val="24"/>
                <w:szCs w:val="24"/>
                <w:lang w:eastAsia="zh-CN"/>
              </w:rPr>
              <w:t>保护</w:t>
            </w:r>
          </w:p>
          <w:p>
            <w:pPr>
              <w:pStyle w:val="11"/>
              <w:bidi w:val="0"/>
              <w:rPr>
                <w:rFonts w:hint="eastAsia"/>
                <w:sz w:val="24"/>
                <w:szCs w:val="24"/>
                <w:lang w:eastAsia="zh-CN"/>
              </w:rPr>
            </w:pPr>
            <w:r>
              <w:rPr>
                <w:rFonts w:hint="eastAsia"/>
                <w:sz w:val="24"/>
                <w:szCs w:val="24"/>
                <w:lang w:eastAsia="zh-CN"/>
              </w:rPr>
              <w:t>措施</w:t>
            </w:r>
          </w:p>
        </w:tc>
        <w:tc>
          <w:tcPr>
            <w:tcW w:w="4825" w:type="pct"/>
            <w:vAlign w:val="center"/>
          </w:tcPr>
          <w:p>
            <w:pPr>
              <w:spacing w:line="360" w:lineRule="auto"/>
              <w:ind w:firstLine="480" w:firstLineChars="200"/>
              <w:rPr>
                <w:rFonts w:eastAsia="黑体"/>
                <w:bCs/>
                <w:sz w:val="24"/>
              </w:rPr>
            </w:pPr>
            <w:r>
              <w:rPr>
                <w:kern w:val="0"/>
                <w:sz w:val="24"/>
                <w:szCs w:val="20"/>
              </w:rPr>
              <w:t>废气污染</w:t>
            </w:r>
            <w:r>
              <w:rPr>
                <w:rFonts w:hint="eastAsia"/>
                <w:kern w:val="0"/>
                <w:sz w:val="24"/>
                <w:szCs w:val="20"/>
                <w:lang w:val="en-US" w:eastAsia="zh-CN"/>
              </w:rPr>
              <w:t>物</w:t>
            </w:r>
            <w:r>
              <w:rPr>
                <w:kern w:val="0"/>
                <w:sz w:val="24"/>
                <w:szCs w:val="20"/>
              </w:rPr>
              <w:t>源强核算结果及相关核算参数见表4-1，废气达标分析一览见表4-2，废气排放口基本情况见表4-3。</w:t>
            </w:r>
          </w:p>
          <w:p>
            <w:pPr>
              <w:pStyle w:val="12"/>
              <w:widowControl w:val="0"/>
              <w:bidi w:val="0"/>
            </w:pPr>
            <w:r>
              <w:t xml:space="preserve">表4-1 </w:t>
            </w:r>
            <w:r>
              <w:rPr>
                <w:rFonts w:hint="eastAsia"/>
                <w:lang w:val="en-US" w:eastAsia="zh-CN"/>
              </w:rPr>
              <w:t xml:space="preserve"> </w:t>
            </w:r>
            <w:r>
              <w:t xml:space="preserve"> 项目废气污染源源强核算结果及相关参数一览表</w:t>
            </w:r>
          </w:p>
          <w:tbl>
            <w:tblPr>
              <w:tblStyle w:val="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52"/>
              <w:gridCol w:w="672"/>
              <w:gridCol w:w="723"/>
              <w:gridCol w:w="764"/>
              <w:gridCol w:w="1203"/>
              <w:gridCol w:w="1005"/>
              <w:gridCol w:w="827"/>
              <w:gridCol w:w="913"/>
              <w:gridCol w:w="827"/>
              <w:gridCol w:w="1454"/>
              <w:gridCol w:w="736"/>
              <w:gridCol w:w="860"/>
              <w:gridCol w:w="868"/>
              <w:gridCol w:w="913"/>
              <w:gridCol w:w="5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38" w:type="pct"/>
                  <w:vMerge w:val="restart"/>
                  <w:vAlign w:val="center"/>
                </w:tcPr>
                <w:p>
                  <w:pPr>
                    <w:pStyle w:val="11"/>
                    <w:bidi w:val="0"/>
                    <w:jc w:val="center"/>
                    <w:rPr>
                      <w:sz w:val="21"/>
                      <w:szCs w:val="21"/>
                    </w:rPr>
                  </w:pPr>
                  <w:r>
                    <w:rPr>
                      <w:sz w:val="21"/>
                      <w:szCs w:val="21"/>
                    </w:rPr>
                    <w:t>序号</w:t>
                  </w:r>
                </w:p>
              </w:tc>
              <w:tc>
                <w:tcPr>
                  <w:tcW w:w="265" w:type="pct"/>
                  <w:vMerge w:val="restart"/>
                  <w:vAlign w:val="center"/>
                </w:tcPr>
                <w:p>
                  <w:pPr>
                    <w:pStyle w:val="11"/>
                    <w:bidi w:val="0"/>
                    <w:jc w:val="center"/>
                    <w:rPr>
                      <w:sz w:val="21"/>
                      <w:szCs w:val="21"/>
                    </w:rPr>
                  </w:pPr>
                  <w:r>
                    <w:rPr>
                      <w:sz w:val="21"/>
                      <w:szCs w:val="21"/>
                    </w:rPr>
                    <w:t>类别</w:t>
                  </w:r>
                </w:p>
              </w:tc>
              <w:tc>
                <w:tcPr>
                  <w:tcW w:w="285" w:type="pct"/>
                  <w:vMerge w:val="restart"/>
                  <w:vAlign w:val="center"/>
                </w:tcPr>
                <w:p>
                  <w:pPr>
                    <w:pStyle w:val="11"/>
                    <w:bidi w:val="0"/>
                    <w:jc w:val="center"/>
                    <w:rPr>
                      <w:sz w:val="21"/>
                      <w:szCs w:val="21"/>
                    </w:rPr>
                  </w:pPr>
                  <w:r>
                    <w:rPr>
                      <w:sz w:val="21"/>
                      <w:szCs w:val="21"/>
                    </w:rPr>
                    <w:t>污染源</w:t>
                  </w:r>
                </w:p>
              </w:tc>
              <w:tc>
                <w:tcPr>
                  <w:tcW w:w="301" w:type="pct"/>
                  <w:vMerge w:val="restart"/>
                  <w:vAlign w:val="center"/>
                </w:tcPr>
                <w:p>
                  <w:pPr>
                    <w:pStyle w:val="11"/>
                    <w:bidi w:val="0"/>
                    <w:jc w:val="center"/>
                    <w:rPr>
                      <w:sz w:val="21"/>
                      <w:szCs w:val="21"/>
                    </w:rPr>
                  </w:pPr>
                  <w:r>
                    <w:rPr>
                      <w:sz w:val="21"/>
                      <w:szCs w:val="21"/>
                    </w:rPr>
                    <w:t>主要</w:t>
                  </w:r>
                </w:p>
                <w:p>
                  <w:pPr>
                    <w:pStyle w:val="11"/>
                    <w:bidi w:val="0"/>
                    <w:jc w:val="center"/>
                    <w:rPr>
                      <w:sz w:val="21"/>
                      <w:szCs w:val="21"/>
                    </w:rPr>
                  </w:pPr>
                  <w:r>
                    <w:rPr>
                      <w:sz w:val="21"/>
                      <w:szCs w:val="21"/>
                    </w:rPr>
                    <w:t>污染物</w:t>
                  </w:r>
                </w:p>
              </w:tc>
              <w:tc>
                <w:tcPr>
                  <w:tcW w:w="1557" w:type="pct"/>
                  <w:gridSpan w:val="4"/>
                  <w:vAlign w:val="center"/>
                </w:tcPr>
                <w:p>
                  <w:pPr>
                    <w:pStyle w:val="11"/>
                    <w:keepNext w:val="0"/>
                    <w:keepLines w:val="0"/>
                    <w:pageBreakBefore w:val="0"/>
                    <w:widowControl w:val="0"/>
                    <w:kinsoku/>
                    <w:wordWrap/>
                    <w:overflowPunct/>
                    <w:topLinePunct w:val="0"/>
                    <w:autoSpaceDE/>
                    <w:autoSpaceDN/>
                    <w:bidi w:val="0"/>
                    <w:adjustRightInd/>
                    <w:snapToGrid/>
                    <w:textAlignment w:val="auto"/>
                    <w:rPr>
                      <w:sz w:val="21"/>
                      <w:szCs w:val="21"/>
                    </w:rPr>
                  </w:pPr>
                  <w:r>
                    <w:rPr>
                      <w:sz w:val="21"/>
                      <w:szCs w:val="21"/>
                    </w:rPr>
                    <w:t>污染物产生情况</w:t>
                  </w:r>
                </w:p>
              </w:tc>
              <w:tc>
                <w:tcPr>
                  <w:tcW w:w="1189" w:type="pct"/>
                  <w:gridSpan w:val="3"/>
                  <w:vAlign w:val="center"/>
                </w:tcPr>
                <w:p>
                  <w:pPr>
                    <w:pStyle w:val="11"/>
                    <w:keepNext w:val="0"/>
                    <w:keepLines w:val="0"/>
                    <w:pageBreakBefore w:val="0"/>
                    <w:widowControl w:val="0"/>
                    <w:kinsoku/>
                    <w:wordWrap/>
                    <w:overflowPunct/>
                    <w:topLinePunct w:val="0"/>
                    <w:autoSpaceDE/>
                    <w:autoSpaceDN/>
                    <w:bidi w:val="0"/>
                    <w:adjustRightInd/>
                    <w:snapToGrid/>
                    <w:textAlignment w:val="auto"/>
                    <w:rPr>
                      <w:sz w:val="21"/>
                      <w:szCs w:val="21"/>
                    </w:rPr>
                  </w:pPr>
                  <w:r>
                    <w:rPr>
                      <w:sz w:val="21"/>
                      <w:szCs w:val="21"/>
                    </w:rPr>
                    <w:t>治理措施</w:t>
                  </w:r>
                </w:p>
              </w:tc>
              <w:tc>
                <w:tcPr>
                  <w:tcW w:w="1041" w:type="pct"/>
                  <w:gridSpan w:val="3"/>
                  <w:vAlign w:val="center"/>
                </w:tcPr>
                <w:p>
                  <w:pPr>
                    <w:pStyle w:val="11"/>
                    <w:keepNext w:val="0"/>
                    <w:keepLines w:val="0"/>
                    <w:pageBreakBefore w:val="0"/>
                    <w:widowControl w:val="0"/>
                    <w:kinsoku/>
                    <w:wordWrap/>
                    <w:overflowPunct/>
                    <w:topLinePunct w:val="0"/>
                    <w:autoSpaceDE/>
                    <w:autoSpaceDN/>
                    <w:bidi w:val="0"/>
                    <w:adjustRightInd/>
                    <w:snapToGrid/>
                    <w:textAlignment w:val="auto"/>
                    <w:rPr>
                      <w:sz w:val="21"/>
                      <w:szCs w:val="21"/>
                    </w:rPr>
                  </w:pPr>
                  <w:r>
                    <w:rPr>
                      <w:sz w:val="21"/>
                      <w:szCs w:val="21"/>
                    </w:rPr>
                    <w:t>污染物排放情况</w:t>
                  </w:r>
                </w:p>
              </w:tc>
              <w:tc>
                <w:tcPr>
                  <w:tcW w:w="221" w:type="pct"/>
                  <w:vMerge w:val="restart"/>
                  <w:vAlign w:val="center"/>
                </w:tcPr>
                <w:p>
                  <w:pPr>
                    <w:pStyle w:val="11"/>
                    <w:bidi w:val="0"/>
                    <w:jc w:val="center"/>
                    <w:rPr>
                      <w:sz w:val="21"/>
                      <w:szCs w:val="21"/>
                    </w:rPr>
                  </w:pPr>
                  <w:r>
                    <w:rPr>
                      <w:sz w:val="21"/>
                      <w:szCs w:val="21"/>
                    </w:rPr>
                    <w:t>排放</w:t>
                  </w:r>
                </w:p>
                <w:p>
                  <w:pPr>
                    <w:pStyle w:val="11"/>
                    <w:bidi w:val="0"/>
                    <w:jc w:val="center"/>
                    <w:rPr>
                      <w:sz w:val="21"/>
                      <w:szCs w:val="21"/>
                    </w:rPr>
                  </w:pPr>
                  <w:r>
                    <w:rPr>
                      <w:sz w:val="21"/>
                      <w:szCs w:val="21"/>
                    </w:rPr>
                    <w:t>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38" w:type="pct"/>
                  <w:vMerge w:val="continue"/>
                  <w:vAlign w:val="center"/>
                </w:tcPr>
                <w:p>
                  <w:pPr>
                    <w:pStyle w:val="11"/>
                    <w:bidi w:val="0"/>
                    <w:jc w:val="center"/>
                    <w:rPr>
                      <w:sz w:val="21"/>
                      <w:szCs w:val="21"/>
                    </w:rPr>
                  </w:pPr>
                </w:p>
              </w:tc>
              <w:tc>
                <w:tcPr>
                  <w:tcW w:w="265" w:type="pct"/>
                  <w:vMerge w:val="continue"/>
                  <w:vAlign w:val="center"/>
                </w:tcPr>
                <w:p>
                  <w:pPr>
                    <w:pStyle w:val="11"/>
                    <w:bidi w:val="0"/>
                    <w:jc w:val="center"/>
                    <w:rPr>
                      <w:sz w:val="21"/>
                      <w:szCs w:val="21"/>
                    </w:rPr>
                  </w:pPr>
                </w:p>
              </w:tc>
              <w:tc>
                <w:tcPr>
                  <w:tcW w:w="285" w:type="pct"/>
                  <w:vMerge w:val="continue"/>
                  <w:vAlign w:val="center"/>
                </w:tcPr>
                <w:p>
                  <w:pPr>
                    <w:pStyle w:val="11"/>
                    <w:bidi w:val="0"/>
                    <w:jc w:val="center"/>
                    <w:rPr>
                      <w:sz w:val="21"/>
                      <w:szCs w:val="21"/>
                    </w:rPr>
                  </w:pPr>
                </w:p>
              </w:tc>
              <w:tc>
                <w:tcPr>
                  <w:tcW w:w="301" w:type="pct"/>
                  <w:vMerge w:val="continue"/>
                  <w:vAlign w:val="center"/>
                </w:tcPr>
                <w:p>
                  <w:pPr>
                    <w:pStyle w:val="11"/>
                    <w:bidi w:val="0"/>
                    <w:jc w:val="center"/>
                    <w:rPr>
                      <w:sz w:val="21"/>
                      <w:szCs w:val="21"/>
                    </w:rPr>
                  </w:pPr>
                </w:p>
              </w:tc>
              <w:tc>
                <w:tcPr>
                  <w:tcW w:w="474" w:type="pct"/>
                  <w:vAlign w:val="center"/>
                </w:tcPr>
                <w:p>
                  <w:pPr>
                    <w:pStyle w:val="11"/>
                    <w:bidi w:val="0"/>
                    <w:jc w:val="center"/>
                    <w:rPr>
                      <w:sz w:val="21"/>
                      <w:szCs w:val="21"/>
                    </w:rPr>
                  </w:pPr>
                  <w:r>
                    <w:rPr>
                      <w:sz w:val="21"/>
                      <w:szCs w:val="21"/>
                    </w:rPr>
                    <w:t>核算方法</w:t>
                  </w:r>
                </w:p>
              </w:tc>
              <w:tc>
                <w:tcPr>
                  <w:tcW w:w="396" w:type="pct"/>
                  <w:vAlign w:val="center"/>
                </w:tcPr>
                <w:p>
                  <w:pPr>
                    <w:pStyle w:val="11"/>
                    <w:bidi w:val="0"/>
                    <w:jc w:val="center"/>
                    <w:rPr>
                      <w:sz w:val="21"/>
                      <w:szCs w:val="21"/>
                    </w:rPr>
                  </w:pPr>
                  <w:r>
                    <w:rPr>
                      <w:sz w:val="21"/>
                      <w:szCs w:val="21"/>
                    </w:rPr>
                    <w:t>产生量</w:t>
                  </w:r>
                </w:p>
              </w:tc>
              <w:tc>
                <w:tcPr>
                  <w:tcW w:w="326" w:type="pct"/>
                  <w:vAlign w:val="center"/>
                </w:tcPr>
                <w:p>
                  <w:pPr>
                    <w:pStyle w:val="11"/>
                    <w:bidi w:val="0"/>
                    <w:jc w:val="center"/>
                    <w:rPr>
                      <w:sz w:val="21"/>
                      <w:szCs w:val="21"/>
                    </w:rPr>
                  </w:pPr>
                  <w:r>
                    <w:rPr>
                      <w:sz w:val="21"/>
                      <w:szCs w:val="21"/>
                    </w:rPr>
                    <w:t>产生</w:t>
                  </w:r>
                </w:p>
                <w:p>
                  <w:pPr>
                    <w:pStyle w:val="11"/>
                    <w:bidi w:val="0"/>
                    <w:jc w:val="center"/>
                    <w:rPr>
                      <w:sz w:val="21"/>
                      <w:szCs w:val="21"/>
                    </w:rPr>
                  </w:pPr>
                  <w:r>
                    <w:rPr>
                      <w:sz w:val="21"/>
                      <w:szCs w:val="21"/>
                    </w:rPr>
                    <w:t>浓度</w:t>
                  </w:r>
                </w:p>
              </w:tc>
              <w:tc>
                <w:tcPr>
                  <w:tcW w:w="360" w:type="pct"/>
                  <w:vAlign w:val="center"/>
                </w:tcPr>
                <w:p>
                  <w:pPr>
                    <w:pStyle w:val="11"/>
                    <w:bidi w:val="0"/>
                    <w:jc w:val="center"/>
                    <w:rPr>
                      <w:sz w:val="21"/>
                      <w:szCs w:val="21"/>
                    </w:rPr>
                  </w:pPr>
                  <w:r>
                    <w:rPr>
                      <w:sz w:val="21"/>
                      <w:szCs w:val="21"/>
                    </w:rPr>
                    <w:t>产生</w:t>
                  </w:r>
                </w:p>
                <w:p>
                  <w:pPr>
                    <w:pStyle w:val="11"/>
                    <w:bidi w:val="0"/>
                    <w:jc w:val="center"/>
                    <w:rPr>
                      <w:sz w:val="21"/>
                      <w:szCs w:val="21"/>
                    </w:rPr>
                  </w:pPr>
                  <w:r>
                    <w:rPr>
                      <w:sz w:val="21"/>
                      <w:szCs w:val="21"/>
                    </w:rPr>
                    <w:t>速率</w:t>
                  </w:r>
                </w:p>
              </w:tc>
              <w:tc>
                <w:tcPr>
                  <w:tcW w:w="326" w:type="pct"/>
                  <w:vAlign w:val="center"/>
                </w:tcPr>
                <w:p>
                  <w:pPr>
                    <w:pStyle w:val="11"/>
                    <w:bidi w:val="0"/>
                    <w:jc w:val="center"/>
                    <w:rPr>
                      <w:sz w:val="21"/>
                      <w:szCs w:val="21"/>
                    </w:rPr>
                  </w:pPr>
                  <w:r>
                    <w:rPr>
                      <w:sz w:val="21"/>
                      <w:szCs w:val="21"/>
                    </w:rPr>
                    <w:t>收集</w:t>
                  </w:r>
                </w:p>
                <w:p>
                  <w:pPr>
                    <w:pStyle w:val="11"/>
                    <w:bidi w:val="0"/>
                    <w:jc w:val="center"/>
                    <w:rPr>
                      <w:sz w:val="21"/>
                      <w:szCs w:val="21"/>
                    </w:rPr>
                  </w:pPr>
                  <w:r>
                    <w:rPr>
                      <w:sz w:val="21"/>
                      <w:szCs w:val="21"/>
                    </w:rPr>
                    <w:t>效率</w:t>
                  </w:r>
                </w:p>
              </w:tc>
              <w:tc>
                <w:tcPr>
                  <w:tcW w:w="573" w:type="pct"/>
                  <w:vAlign w:val="center"/>
                </w:tcPr>
                <w:p>
                  <w:pPr>
                    <w:pStyle w:val="11"/>
                    <w:bidi w:val="0"/>
                    <w:jc w:val="center"/>
                    <w:rPr>
                      <w:sz w:val="21"/>
                      <w:szCs w:val="21"/>
                    </w:rPr>
                  </w:pPr>
                  <w:r>
                    <w:rPr>
                      <w:sz w:val="21"/>
                      <w:szCs w:val="21"/>
                    </w:rPr>
                    <w:t>处理工艺</w:t>
                  </w:r>
                </w:p>
              </w:tc>
              <w:tc>
                <w:tcPr>
                  <w:tcW w:w="290" w:type="pct"/>
                  <w:vAlign w:val="center"/>
                </w:tcPr>
                <w:p>
                  <w:pPr>
                    <w:pStyle w:val="11"/>
                    <w:bidi w:val="0"/>
                    <w:jc w:val="center"/>
                    <w:rPr>
                      <w:sz w:val="21"/>
                      <w:szCs w:val="21"/>
                    </w:rPr>
                  </w:pPr>
                  <w:r>
                    <w:rPr>
                      <w:sz w:val="21"/>
                      <w:szCs w:val="21"/>
                    </w:rPr>
                    <w:t>处理</w:t>
                  </w:r>
                </w:p>
                <w:p>
                  <w:pPr>
                    <w:pStyle w:val="11"/>
                    <w:bidi w:val="0"/>
                    <w:jc w:val="center"/>
                    <w:rPr>
                      <w:sz w:val="21"/>
                      <w:szCs w:val="21"/>
                    </w:rPr>
                  </w:pPr>
                  <w:r>
                    <w:rPr>
                      <w:sz w:val="21"/>
                      <w:szCs w:val="21"/>
                    </w:rPr>
                    <w:t>效率</w:t>
                  </w:r>
                </w:p>
              </w:tc>
              <w:tc>
                <w:tcPr>
                  <w:tcW w:w="339" w:type="pct"/>
                  <w:vAlign w:val="center"/>
                </w:tcPr>
                <w:p>
                  <w:pPr>
                    <w:pStyle w:val="11"/>
                    <w:bidi w:val="0"/>
                    <w:jc w:val="center"/>
                    <w:rPr>
                      <w:sz w:val="21"/>
                      <w:szCs w:val="21"/>
                    </w:rPr>
                  </w:pPr>
                  <w:r>
                    <w:rPr>
                      <w:sz w:val="21"/>
                      <w:szCs w:val="21"/>
                    </w:rPr>
                    <w:t>排放量</w:t>
                  </w:r>
                </w:p>
              </w:tc>
              <w:tc>
                <w:tcPr>
                  <w:tcW w:w="342" w:type="pct"/>
                  <w:vAlign w:val="center"/>
                </w:tcPr>
                <w:p>
                  <w:pPr>
                    <w:pStyle w:val="11"/>
                    <w:bidi w:val="0"/>
                    <w:jc w:val="center"/>
                    <w:rPr>
                      <w:sz w:val="21"/>
                      <w:szCs w:val="21"/>
                    </w:rPr>
                  </w:pPr>
                  <w:r>
                    <w:rPr>
                      <w:sz w:val="21"/>
                      <w:szCs w:val="21"/>
                    </w:rPr>
                    <w:t>排放</w:t>
                  </w:r>
                </w:p>
                <w:p>
                  <w:pPr>
                    <w:pStyle w:val="11"/>
                    <w:bidi w:val="0"/>
                    <w:jc w:val="center"/>
                    <w:rPr>
                      <w:sz w:val="21"/>
                      <w:szCs w:val="21"/>
                    </w:rPr>
                  </w:pPr>
                  <w:r>
                    <w:rPr>
                      <w:sz w:val="21"/>
                      <w:szCs w:val="21"/>
                    </w:rPr>
                    <w:t>浓度</w:t>
                  </w:r>
                </w:p>
              </w:tc>
              <w:tc>
                <w:tcPr>
                  <w:tcW w:w="360" w:type="pct"/>
                  <w:vAlign w:val="center"/>
                </w:tcPr>
                <w:p>
                  <w:pPr>
                    <w:pStyle w:val="11"/>
                    <w:bidi w:val="0"/>
                    <w:jc w:val="center"/>
                    <w:rPr>
                      <w:sz w:val="21"/>
                      <w:szCs w:val="21"/>
                    </w:rPr>
                  </w:pPr>
                  <w:r>
                    <w:rPr>
                      <w:sz w:val="21"/>
                      <w:szCs w:val="21"/>
                    </w:rPr>
                    <w:t>排放</w:t>
                  </w:r>
                </w:p>
                <w:p>
                  <w:pPr>
                    <w:pStyle w:val="11"/>
                    <w:bidi w:val="0"/>
                    <w:jc w:val="center"/>
                    <w:rPr>
                      <w:sz w:val="21"/>
                      <w:szCs w:val="21"/>
                    </w:rPr>
                  </w:pPr>
                  <w:r>
                    <w:rPr>
                      <w:sz w:val="21"/>
                      <w:szCs w:val="21"/>
                    </w:rPr>
                    <w:t>速率</w:t>
                  </w:r>
                </w:p>
              </w:tc>
              <w:tc>
                <w:tcPr>
                  <w:tcW w:w="221" w:type="pct"/>
                  <w:vMerge w:val="continue"/>
                  <w:vAlign w:val="center"/>
                </w:tcPr>
                <w:p>
                  <w:pPr>
                    <w:pStyle w:val="11"/>
                    <w:bidi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38" w:type="pct"/>
                  <w:vMerge w:val="continue"/>
                  <w:vAlign w:val="center"/>
                </w:tcPr>
                <w:p>
                  <w:pPr>
                    <w:pStyle w:val="11"/>
                    <w:bidi w:val="0"/>
                    <w:jc w:val="center"/>
                    <w:rPr>
                      <w:sz w:val="21"/>
                      <w:szCs w:val="21"/>
                    </w:rPr>
                  </w:pPr>
                </w:p>
              </w:tc>
              <w:tc>
                <w:tcPr>
                  <w:tcW w:w="265" w:type="pct"/>
                  <w:vMerge w:val="continue"/>
                  <w:vAlign w:val="center"/>
                </w:tcPr>
                <w:p>
                  <w:pPr>
                    <w:pStyle w:val="11"/>
                    <w:bidi w:val="0"/>
                    <w:jc w:val="center"/>
                    <w:rPr>
                      <w:sz w:val="21"/>
                      <w:szCs w:val="21"/>
                    </w:rPr>
                  </w:pPr>
                </w:p>
              </w:tc>
              <w:tc>
                <w:tcPr>
                  <w:tcW w:w="285" w:type="pct"/>
                  <w:vMerge w:val="continue"/>
                  <w:vAlign w:val="center"/>
                </w:tcPr>
                <w:p>
                  <w:pPr>
                    <w:pStyle w:val="11"/>
                    <w:bidi w:val="0"/>
                    <w:jc w:val="center"/>
                    <w:rPr>
                      <w:sz w:val="21"/>
                      <w:szCs w:val="21"/>
                    </w:rPr>
                  </w:pPr>
                </w:p>
              </w:tc>
              <w:tc>
                <w:tcPr>
                  <w:tcW w:w="301" w:type="pct"/>
                  <w:vMerge w:val="continue"/>
                  <w:vAlign w:val="center"/>
                </w:tcPr>
                <w:p>
                  <w:pPr>
                    <w:pStyle w:val="11"/>
                    <w:bidi w:val="0"/>
                    <w:jc w:val="center"/>
                    <w:rPr>
                      <w:sz w:val="21"/>
                      <w:szCs w:val="21"/>
                    </w:rPr>
                  </w:pPr>
                </w:p>
              </w:tc>
              <w:tc>
                <w:tcPr>
                  <w:tcW w:w="474" w:type="pct"/>
                  <w:vAlign w:val="center"/>
                </w:tcPr>
                <w:p>
                  <w:pPr>
                    <w:pStyle w:val="11"/>
                    <w:bidi w:val="0"/>
                    <w:jc w:val="center"/>
                    <w:rPr>
                      <w:sz w:val="21"/>
                      <w:szCs w:val="21"/>
                    </w:rPr>
                  </w:pPr>
                  <w:r>
                    <w:rPr>
                      <w:sz w:val="21"/>
                      <w:szCs w:val="21"/>
                    </w:rPr>
                    <w:t>——</w:t>
                  </w:r>
                </w:p>
              </w:tc>
              <w:tc>
                <w:tcPr>
                  <w:tcW w:w="396" w:type="pct"/>
                  <w:vAlign w:val="center"/>
                </w:tcPr>
                <w:p>
                  <w:pPr>
                    <w:pStyle w:val="11"/>
                    <w:bidi w:val="0"/>
                    <w:jc w:val="center"/>
                    <w:rPr>
                      <w:rFonts w:hint="default" w:ascii="Times New Roman" w:hAnsi="Times New Roman" w:cs="Times New Roman"/>
                      <w:sz w:val="21"/>
                      <w:szCs w:val="21"/>
                    </w:rPr>
                  </w:pPr>
                  <w:r>
                    <w:rPr>
                      <w:rFonts w:hint="default" w:ascii="Times New Roman" w:hAnsi="Times New Roman" w:cs="Times New Roman"/>
                      <w:sz w:val="21"/>
                      <w:szCs w:val="21"/>
                    </w:rPr>
                    <w:t>t/a</w:t>
                  </w:r>
                </w:p>
              </w:tc>
              <w:tc>
                <w:tcPr>
                  <w:tcW w:w="326" w:type="pct"/>
                  <w:vAlign w:val="center"/>
                </w:tcPr>
                <w:p>
                  <w:pPr>
                    <w:pStyle w:val="11"/>
                    <w:bidi w:val="0"/>
                    <w:jc w:val="center"/>
                    <w:rPr>
                      <w:rFonts w:hint="default" w:ascii="Times New Roman" w:hAnsi="Times New Roman" w:cs="Times New Roman"/>
                      <w:sz w:val="21"/>
                      <w:szCs w:val="21"/>
                    </w:rPr>
                  </w:pPr>
                  <w:r>
                    <w:rPr>
                      <w:rFonts w:hint="default" w:ascii="Times New Roman" w:hAnsi="Times New Roman" w:cs="Times New Roman"/>
                      <w:sz w:val="21"/>
                      <w:szCs w:val="21"/>
                    </w:rPr>
                    <w:t>mg/m</w:t>
                  </w:r>
                  <w:r>
                    <w:rPr>
                      <w:rFonts w:hint="default" w:ascii="Times New Roman" w:hAnsi="Times New Roman" w:cs="Times New Roman"/>
                      <w:sz w:val="21"/>
                      <w:szCs w:val="21"/>
                      <w:vertAlign w:val="superscript"/>
                    </w:rPr>
                    <w:t>3</w:t>
                  </w:r>
                </w:p>
              </w:tc>
              <w:tc>
                <w:tcPr>
                  <w:tcW w:w="360" w:type="pct"/>
                  <w:vAlign w:val="center"/>
                </w:tcPr>
                <w:p>
                  <w:pPr>
                    <w:pStyle w:val="11"/>
                    <w:bidi w:val="0"/>
                    <w:jc w:val="center"/>
                    <w:rPr>
                      <w:rFonts w:hint="default" w:ascii="Times New Roman" w:hAnsi="Times New Roman" w:cs="Times New Roman"/>
                      <w:sz w:val="21"/>
                      <w:szCs w:val="21"/>
                    </w:rPr>
                  </w:pPr>
                  <w:r>
                    <w:rPr>
                      <w:rFonts w:hint="default" w:ascii="Times New Roman" w:hAnsi="Times New Roman" w:cs="Times New Roman"/>
                      <w:sz w:val="21"/>
                      <w:szCs w:val="21"/>
                    </w:rPr>
                    <w:t>kg/h</w:t>
                  </w:r>
                </w:p>
              </w:tc>
              <w:tc>
                <w:tcPr>
                  <w:tcW w:w="326" w:type="pct"/>
                  <w:vAlign w:val="center"/>
                </w:tcPr>
                <w:p>
                  <w:pPr>
                    <w:pStyle w:val="11"/>
                    <w:bidi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573" w:type="pct"/>
                  <w:vAlign w:val="center"/>
                </w:tcPr>
                <w:p>
                  <w:pPr>
                    <w:pStyle w:val="11"/>
                    <w:bidi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290" w:type="pct"/>
                  <w:vAlign w:val="center"/>
                </w:tcPr>
                <w:p>
                  <w:pPr>
                    <w:pStyle w:val="11"/>
                    <w:bidi w:val="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339" w:type="pct"/>
                  <w:vAlign w:val="center"/>
                </w:tcPr>
                <w:p>
                  <w:pPr>
                    <w:pStyle w:val="11"/>
                    <w:bidi w:val="0"/>
                    <w:jc w:val="center"/>
                    <w:rPr>
                      <w:rFonts w:hint="default" w:ascii="Times New Roman" w:hAnsi="Times New Roman" w:cs="Times New Roman"/>
                      <w:sz w:val="21"/>
                      <w:szCs w:val="21"/>
                    </w:rPr>
                  </w:pPr>
                  <w:r>
                    <w:rPr>
                      <w:rFonts w:hint="default" w:ascii="Times New Roman" w:hAnsi="Times New Roman" w:cs="Times New Roman"/>
                      <w:sz w:val="21"/>
                      <w:szCs w:val="21"/>
                    </w:rPr>
                    <w:t>t/a</w:t>
                  </w:r>
                </w:p>
              </w:tc>
              <w:tc>
                <w:tcPr>
                  <w:tcW w:w="342" w:type="pct"/>
                  <w:vAlign w:val="center"/>
                </w:tcPr>
                <w:p>
                  <w:pPr>
                    <w:pStyle w:val="11"/>
                    <w:bidi w:val="0"/>
                    <w:jc w:val="center"/>
                    <w:rPr>
                      <w:rFonts w:hint="default" w:ascii="Times New Roman" w:hAnsi="Times New Roman" w:cs="Times New Roman"/>
                      <w:sz w:val="21"/>
                      <w:szCs w:val="21"/>
                    </w:rPr>
                  </w:pPr>
                  <w:r>
                    <w:rPr>
                      <w:rFonts w:hint="default" w:ascii="Times New Roman" w:hAnsi="Times New Roman" w:cs="Times New Roman"/>
                      <w:sz w:val="21"/>
                      <w:szCs w:val="21"/>
                    </w:rPr>
                    <w:t>mg/m</w:t>
                  </w:r>
                  <w:r>
                    <w:rPr>
                      <w:rFonts w:hint="default" w:ascii="Times New Roman" w:hAnsi="Times New Roman" w:cs="Times New Roman"/>
                      <w:sz w:val="21"/>
                      <w:szCs w:val="21"/>
                      <w:vertAlign w:val="superscript"/>
                    </w:rPr>
                    <w:t>3</w:t>
                  </w:r>
                </w:p>
              </w:tc>
              <w:tc>
                <w:tcPr>
                  <w:tcW w:w="360" w:type="pct"/>
                  <w:vAlign w:val="center"/>
                </w:tcPr>
                <w:p>
                  <w:pPr>
                    <w:pStyle w:val="11"/>
                    <w:bidi w:val="0"/>
                    <w:jc w:val="center"/>
                    <w:rPr>
                      <w:rFonts w:hint="default" w:ascii="Times New Roman" w:hAnsi="Times New Roman" w:cs="Times New Roman"/>
                      <w:sz w:val="21"/>
                      <w:szCs w:val="21"/>
                    </w:rPr>
                  </w:pPr>
                  <w:r>
                    <w:rPr>
                      <w:rFonts w:hint="default" w:ascii="Times New Roman" w:hAnsi="Times New Roman" w:cs="Times New Roman"/>
                      <w:sz w:val="21"/>
                      <w:szCs w:val="21"/>
                    </w:rPr>
                    <w:t>kg/h</w:t>
                  </w:r>
                </w:p>
              </w:tc>
              <w:tc>
                <w:tcPr>
                  <w:tcW w:w="221" w:type="pct"/>
                  <w:vAlign w:val="center"/>
                </w:tcPr>
                <w:p>
                  <w:pPr>
                    <w:pStyle w:val="11"/>
                    <w:bidi w:val="0"/>
                    <w:jc w:val="center"/>
                    <w:rPr>
                      <w:rFonts w:hint="default" w:ascii="Times New Roman" w:hAnsi="Times New Roman" w:cs="Times New Roman"/>
                      <w:sz w:val="21"/>
                      <w:szCs w:val="21"/>
                    </w:rPr>
                  </w:pPr>
                  <w:r>
                    <w:rPr>
                      <w:rFonts w:hint="default" w:ascii="Times New Roman" w:hAnsi="Times New Roman" w:cs="Times New Roman"/>
                      <w:sz w:val="21"/>
                      <w:szCs w:val="21"/>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38" w:type="pct"/>
                  <w:vMerge w:val="restart"/>
                  <w:vAlign w:val="center"/>
                </w:tcPr>
                <w:p>
                  <w:pPr>
                    <w:pStyle w:val="11"/>
                    <w:bidi w:val="0"/>
                    <w:jc w:val="center"/>
                    <w:rPr>
                      <w:sz w:val="21"/>
                      <w:szCs w:val="21"/>
                    </w:rPr>
                  </w:pPr>
                  <w:r>
                    <w:rPr>
                      <w:sz w:val="21"/>
                      <w:szCs w:val="21"/>
                    </w:rPr>
                    <w:t>1</w:t>
                  </w:r>
                </w:p>
              </w:tc>
              <w:tc>
                <w:tcPr>
                  <w:tcW w:w="265" w:type="pct"/>
                  <w:vMerge w:val="restart"/>
                  <w:vAlign w:val="center"/>
                </w:tcPr>
                <w:p>
                  <w:pPr>
                    <w:pStyle w:val="11"/>
                    <w:bidi w:val="0"/>
                    <w:jc w:val="center"/>
                    <w:rPr>
                      <w:sz w:val="21"/>
                      <w:szCs w:val="21"/>
                    </w:rPr>
                  </w:pPr>
                  <w:r>
                    <w:rPr>
                      <w:sz w:val="21"/>
                      <w:szCs w:val="21"/>
                    </w:rPr>
                    <w:t>有组织</w:t>
                  </w:r>
                </w:p>
              </w:tc>
              <w:tc>
                <w:tcPr>
                  <w:tcW w:w="285" w:type="pct"/>
                  <w:vMerge w:val="restart"/>
                  <w:vAlign w:val="center"/>
                </w:tcPr>
                <w:p>
                  <w:pPr>
                    <w:pStyle w:val="11"/>
                    <w:bidi w:val="0"/>
                    <w:jc w:val="center"/>
                    <w:rPr>
                      <w:sz w:val="21"/>
                      <w:szCs w:val="21"/>
                    </w:rPr>
                  </w:pPr>
                  <w:r>
                    <w:rPr>
                      <w:sz w:val="21"/>
                      <w:szCs w:val="21"/>
                    </w:rPr>
                    <w:t>1#排</w:t>
                  </w:r>
                </w:p>
                <w:p>
                  <w:pPr>
                    <w:pStyle w:val="11"/>
                    <w:bidi w:val="0"/>
                    <w:jc w:val="center"/>
                    <w:rPr>
                      <w:sz w:val="21"/>
                      <w:szCs w:val="21"/>
                    </w:rPr>
                  </w:pPr>
                  <w:r>
                    <w:rPr>
                      <w:sz w:val="21"/>
                      <w:szCs w:val="21"/>
                    </w:rPr>
                    <w:t>气筒</w:t>
                  </w:r>
                </w:p>
              </w:tc>
              <w:tc>
                <w:tcPr>
                  <w:tcW w:w="301" w:type="pct"/>
                  <w:vAlign w:val="center"/>
                </w:tcPr>
                <w:p>
                  <w:pPr>
                    <w:pStyle w:val="11"/>
                    <w:bidi w:val="0"/>
                    <w:ind w:firstLine="0" w:firstLineChars="0"/>
                    <w:jc w:val="center"/>
                    <w:rPr>
                      <w:rFonts w:ascii="Times New Roman" w:hAnsi="Times New Roman" w:eastAsia="宋体" w:cs="Times New Roman"/>
                      <w:kern w:val="44"/>
                      <w:sz w:val="21"/>
                      <w:szCs w:val="21"/>
                      <w:lang w:val="en-US" w:eastAsia="zh-CN" w:bidi="ar-SA"/>
                    </w:rPr>
                  </w:pPr>
                  <w:r>
                    <w:rPr>
                      <w:sz w:val="21"/>
                      <w:szCs w:val="21"/>
                    </w:rPr>
                    <w:t>颗粒物</w:t>
                  </w:r>
                </w:p>
              </w:tc>
              <w:tc>
                <w:tcPr>
                  <w:tcW w:w="474" w:type="pct"/>
                  <w:vAlign w:val="center"/>
                </w:tcPr>
                <w:p>
                  <w:pPr>
                    <w:pStyle w:val="11"/>
                    <w:bidi w:val="0"/>
                    <w:ind w:firstLine="0" w:firstLineChars="0"/>
                    <w:jc w:val="center"/>
                    <w:rPr>
                      <w:rFonts w:ascii="Times New Roman" w:hAnsi="Times New Roman" w:eastAsia="宋体" w:cs="Times New Roman"/>
                      <w:kern w:val="44"/>
                      <w:sz w:val="21"/>
                      <w:szCs w:val="21"/>
                      <w:lang w:val="en-US" w:eastAsia="zh-CN" w:bidi="ar-SA"/>
                    </w:rPr>
                  </w:pPr>
                  <w:r>
                    <w:rPr>
                      <w:sz w:val="21"/>
                      <w:szCs w:val="21"/>
                    </w:rPr>
                    <w:t>产污系数法</w:t>
                  </w:r>
                </w:p>
              </w:tc>
              <w:tc>
                <w:tcPr>
                  <w:tcW w:w="396"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eastAsia" w:cs="Times New Roman"/>
                      <w:sz w:val="21"/>
                      <w:szCs w:val="21"/>
                      <w:lang w:val="en-US" w:eastAsia="zh-CN"/>
                    </w:rPr>
                    <w:t>1.26</w:t>
                  </w:r>
                </w:p>
              </w:tc>
              <w:tc>
                <w:tcPr>
                  <w:tcW w:w="326"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eastAsia" w:cs="Times New Roman"/>
                      <w:sz w:val="21"/>
                      <w:szCs w:val="21"/>
                      <w:lang w:val="en-US" w:eastAsia="zh-CN"/>
                    </w:rPr>
                    <w:t>90.8654</w:t>
                  </w:r>
                </w:p>
              </w:tc>
              <w:tc>
                <w:tcPr>
                  <w:tcW w:w="360"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eastAsia" w:cs="Times New Roman"/>
                      <w:kern w:val="44"/>
                      <w:sz w:val="21"/>
                      <w:szCs w:val="21"/>
                      <w:lang w:val="en-US" w:eastAsia="zh-CN" w:bidi="ar-SA"/>
                    </w:rPr>
                    <w:t>0.5452</w:t>
                  </w:r>
                </w:p>
              </w:tc>
              <w:tc>
                <w:tcPr>
                  <w:tcW w:w="326"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default" w:ascii="Times New Roman" w:hAnsi="Times New Roman" w:cs="Times New Roman"/>
                      <w:sz w:val="21"/>
                      <w:szCs w:val="21"/>
                    </w:rPr>
                    <w:t>90</w:t>
                  </w:r>
                </w:p>
              </w:tc>
              <w:tc>
                <w:tcPr>
                  <w:tcW w:w="573"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default" w:ascii="Times New Roman" w:hAnsi="Times New Roman" w:cs="Times New Roman"/>
                      <w:sz w:val="21"/>
                      <w:szCs w:val="21"/>
                      <w:lang w:val="en-US" w:eastAsia="zh-CN"/>
                    </w:rPr>
                    <w:t>袋式除尘器</w:t>
                  </w:r>
                </w:p>
              </w:tc>
              <w:tc>
                <w:tcPr>
                  <w:tcW w:w="290"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default" w:ascii="Times New Roman" w:hAnsi="Times New Roman" w:cs="Times New Roman"/>
                      <w:sz w:val="21"/>
                      <w:szCs w:val="21"/>
                    </w:rPr>
                    <w:t>95</w:t>
                  </w:r>
                </w:p>
              </w:tc>
              <w:tc>
                <w:tcPr>
                  <w:tcW w:w="339"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eastAsia" w:cs="Times New Roman"/>
                      <w:sz w:val="21"/>
                      <w:szCs w:val="21"/>
                      <w:lang w:val="en-US" w:eastAsia="zh-CN"/>
                    </w:rPr>
                    <w:t>0.0567</w:t>
                  </w:r>
                </w:p>
              </w:tc>
              <w:tc>
                <w:tcPr>
                  <w:tcW w:w="342"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eastAsia" w:cs="Times New Roman"/>
                      <w:sz w:val="21"/>
                      <w:szCs w:val="21"/>
                      <w:lang w:val="en-US" w:eastAsia="zh-CN"/>
                    </w:rPr>
                    <w:t>4.5433</w:t>
                  </w:r>
                </w:p>
              </w:tc>
              <w:tc>
                <w:tcPr>
                  <w:tcW w:w="360"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eastAsia" w:cs="Times New Roman"/>
                      <w:sz w:val="21"/>
                      <w:szCs w:val="21"/>
                      <w:lang w:val="en-US" w:eastAsia="zh-CN"/>
                    </w:rPr>
                    <w:t>0.0273</w:t>
                  </w:r>
                </w:p>
              </w:tc>
              <w:tc>
                <w:tcPr>
                  <w:tcW w:w="221"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default" w:ascii="Times New Roman" w:hAnsi="Times New Roman" w:cs="Times New Roman"/>
                      <w:sz w:val="21"/>
                      <w:szCs w:val="21"/>
                      <w:lang w:val="en-US" w:eastAsia="zh-CN"/>
                    </w:rPr>
                    <w:t>2080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38" w:type="pct"/>
                  <w:vMerge w:val="continue"/>
                  <w:vAlign w:val="center"/>
                </w:tcPr>
                <w:p>
                  <w:pPr>
                    <w:pStyle w:val="11"/>
                    <w:bidi w:val="0"/>
                    <w:jc w:val="center"/>
                    <w:rPr>
                      <w:sz w:val="21"/>
                      <w:szCs w:val="21"/>
                    </w:rPr>
                  </w:pPr>
                </w:p>
              </w:tc>
              <w:tc>
                <w:tcPr>
                  <w:tcW w:w="265" w:type="pct"/>
                  <w:vMerge w:val="continue"/>
                  <w:vAlign w:val="center"/>
                </w:tcPr>
                <w:p>
                  <w:pPr>
                    <w:pStyle w:val="11"/>
                    <w:bidi w:val="0"/>
                    <w:jc w:val="center"/>
                    <w:rPr>
                      <w:sz w:val="21"/>
                      <w:szCs w:val="21"/>
                    </w:rPr>
                  </w:pPr>
                </w:p>
              </w:tc>
              <w:tc>
                <w:tcPr>
                  <w:tcW w:w="285" w:type="pct"/>
                  <w:vMerge w:val="continue"/>
                  <w:vAlign w:val="center"/>
                </w:tcPr>
                <w:p>
                  <w:pPr>
                    <w:pStyle w:val="11"/>
                    <w:bidi w:val="0"/>
                    <w:jc w:val="center"/>
                    <w:rPr>
                      <w:sz w:val="21"/>
                      <w:szCs w:val="21"/>
                    </w:rPr>
                  </w:pPr>
                </w:p>
              </w:tc>
              <w:tc>
                <w:tcPr>
                  <w:tcW w:w="301" w:type="pct"/>
                  <w:vAlign w:val="center"/>
                </w:tcPr>
                <w:p>
                  <w:pPr>
                    <w:pStyle w:val="11"/>
                    <w:bidi w:val="0"/>
                    <w:ind w:firstLine="0" w:firstLineChars="0"/>
                    <w:jc w:val="center"/>
                    <w:rPr>
                      <w:rFonts w:hint="eastAsia" w:ascii="Times New Roman" w:hAnsi="Times New Roman" w:eastAsia="宋体" w:cs="Times New Roman"/>
                      <w:kern w:val="44"/>
                      <w:sz w:val="21"/>
                      <w:szCs w:val="21"/>
                      <w:lang w:val="en-US" w:eastAsia="zh-CN" w:bidi="ar-SA"/>
                    </w:rPr>
                  </w:pPr>
                  <w:r>
                    <w:rPr>
                      <w:rFonts w:hint="eastAsia"/>
                      <w:sz w:val="21"/>
                      <w:szCs w:val="21"/>
                      <w:lang w:val="en-US" w:eastAsia="zh-CN"/>
                    </w:rPr>
                    <w:t>硫化氢</w:t>
                  </w:r>
                </w:p>
              </w:tc>
              <w:tc>
                <w:tcPr>
                  <w:tcW w:w="474" w:type="pct"/>
                  <w:vAlign w:val="center"/>
                </w:tcPr>
                <w:p>
                  <w:pPr>
                    <w:pStyle w:val="11"/>
                    <w:bidi w:val="0"/>
                    <w:ind w:firstLine="0" w:firstLineChars="0"/>
                    <w:jc w:val="center"/>
                    <w:rPr>
                      <w:rFonts w:ascii="Times New Roman" w:hAnsi="Times New Roman" w:eastAsia="宋体" w:cs="Times New Roman"/>
                      <w:kern w:val="44"/>
                      <w:sz w:val="21"/>
                      <w:szCs w:val="21"/>
                      <w:lang w:val="en-US" w:eastAsia="zh-CN" w:bidi="ar-SA"/>
                    </w:rPr>
                  </w:pPr>
                  <w:r>
                    <w:rPr>
                      <w:sz w:val="21"/>
                      <w:szCs w:val="21"/>
                    </w:rPr>
                    <w:t>产污系数法</w:t>
                  </w:r>
                </w:p>
              </w:tc>
              <w:tc>
                <w:tcPr>
                  <w:tcW w:w="396"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eastAsia" w:cs="Times New Roman"/>
                      <w:sz w:val="21"/>
                      <w:szCs w:val="21"/>
                      <w:lang w:val="en-US" w:eastAsia="zh-CN"/>
                    </w:rPr>
                    <w:t>1.68</w:t>
                  </w:r>
                  <w:r>
                    <w:rPr>
                      <w:rFonts w:hint="default" w:ascii="Times New Roman" w:hAnsi="Times New Roman" w:cs="Times New Roman"/>
                      <w:sz w:val="21"/>
                      <w:szCs w:val="21"/>
                      <w:lang w:val="en-US" w:eastAsia="zh-CN"/>
                    </w:rPr>
                    <w:t>×10</w:t>
                  </w:r>
                  <w:r>
                    <w:rPr>
                      <w:rFonts w:hint="default" w:ascii="Times New Roman" w:hAnsi="Times New Roman" w:cs="Times New Roman"/>
                      <w:sz w:val="21"/>
                      <w:szCs w:val="21"/>
                      <w:vertAlign w:val="superscript"/>
                      <w:lang w:val="en-US" w:eastAsia="zh-CN"/>
                    </w:rPr>
                    <w:t>-5</w:t>
                  </w:r>
                </w:p>
              </w:tc>
              <w:tc>
                <w:tcPr>
                  <w:tcW w:w="326"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eastAsia" w:cs="Times New Roman"/>
                      <w:sz w:val="21"/>
                      <w:szCs w:val="21"/>
                      <w:lang w:val="en-US" w:eastAsia="zh-CN"/>
                    </w:rPr>
                    <w:t>0.0012</w:t>
                  </w:r>
                </w:p>
              </w:tc>
              <w:tc>
                <w:tcPr>
                  <w:tcW w:w="360"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eastAsia" w:cs="Times New Roman"/>
                      <w:kern w:val="44"/>
                      <w:sz w:val="21"/>
                      <w:szCs w:val="21"/>
                      <w:lang w:val="en-US" w:eastAsia="zh-CN" w:bidi="ar-SA"/>
                    </w:rPr>
                    <w:t>7.27</w:t>
                  </w:r>
                  <w:r>
                    <w:rPr>
                      <w:rFonts w:hint="default" w:ascii="Times New Roman" w:hAnsi="Times New Roman" w:cs="Times New Roman"/>
                      <w:sz w:val="21"/>
                      <w:szCs w:val="21"/>
                      <w:lang w:val="en-US" w:eastAsia="zh-CN"/>
                    </w:rPr>
                    <w:t>×10</w:t>
                  </w:r>
                  <w:r>
                    <w:rPr>
                      <w:rFonts w:hint="default" w:ascii="Times New Roman" w:hAnsi="Times New Roman" w:cs="Times New Roman"/>
                      <w:sz w:val="21"/>
                      <w:szCs w:val="21"/>
                      <w:vertAlign w:val="superscript"/>
                      <w:lang w:val="en-US" w:eastAsia="zh-CN"/>
                    </w:rPr>
                    <w:t>-</w:t>
                  </w:r>
                  <w:r>
                    <w:rPr>
                      <w:rFonts w:hint="eastAsia" w:cs="Times New Roman"/>
                      <w:sz w:val="21"/>
                      <w:szCs w:val="21"/>
                      <w:vertAlign w:val="superscript"/>
                      <w:lang w:val="en-US" w:eastAsia="zh-CN"/>
                    </w:rPr>
                    <w:t>6</w:t>
                  </w:r>
                </w:p>
              </w:tc>
              <w:tc>
                <w:tcPr>
                  <w:tcW w:w="326"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default" w:ascii="Times New Roman" w:hAnsi="Times New Roman" w:cs="Times New Roman"/>
                      <w:sz w:val="21"/>
                      <w:szCs w:val="21"/>
                    </w:rPr>
                    <w:t>90</w:t>
                  </w:r>
                </w:p>
              </w:tc>
              <w:tc>
                <w:tcPr>
                  <w:tcW w:w="573" w:type="pct"/>
                  <w:vMerge w:val="restar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eastAsia" w:ascii="Times New Roman" w:hAnsi="Times New Roman" w:cs="Times New Roman"/>
                      <w:sz w:val="21"/>
                      <w:szCs w:val="21"/>
                      <w:lang w:eastAsia="zh-CN"/>
                    </w:rPr>
                    <w:t>UV光氧</w:t>
                  </w:r>
                  <w:r>
                    <w:rPr>
                      <w:rFonts w:hint="default" w:ascii="Times New Roman" w:hAnsi="Times New Roman" w:cs="Times New Roman"/>
                      <w:sz w:val="21"/>
                      <w:szCs w:val="21"/>
                    </w:rPr>
                    <w:t>+活性炭吸附</w:t>
                  </w:r>
                </w:p>
              </w:tc>
              <w:tc>
                <w:tcPr>
                  <w:tcW w:w="290"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default" w:ascii="Times New Roman" w:hAnsi="Times New Roman" w:cs="Times New Roman"/>
                      <w:sz w:val="21"/>
                      <w:szCs w:val="21"/>
                      <w:lang w:val="en-US" w:eastAsia="zh-CN"/>
                    </w:rPr>
                    <w:t>85</w:t>
                  </w:r>
                </w:p>
              </w:tc>
              <w:tc>
                <w:tcPr>
                  <w:tcW w:w="339"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eastAsia" w:cs="Times New Roman"/>
                      <w:sz w:val="21"/>
                      <w:szCs w:val="21"/>
                      <w:lang w:val="en-US" w:eastAsia="zh-CN"/>
                    </w:rPr>
                    <w:t>2.27</w:t>
                  </w:r>
                  <w:r>
                    <w:rPr>
                      <w:rFonts w:hint="default" w:ascii="Times New Roman" w:hAnsi="Times New Roman" w:cs="Times New Roman"/>
                      <w:sz w:val="21"/>
                      <w:szCs w:val="21"/>
                      <w:lang w:val="en-US" w:eastAsia="zh-CN"/>
                    </w:rPr>
                    <w:t>×10</w:t>
                  </w:r>
                  <w:r>
                    <w:rPr>
                      <w:rFonts w:hint="default" w:ascii="Times New Roman" w:hAnsi="Times New Roman" w:cs="Times New Roman"/>
                      <w:sz w:val="21"/>
                      <w:szCs w:val="21"/>
                      <w:vertAlign w:val="superscript"/>
                      <w:lang w:val="en-US" w:eastAsia="zh-CN"/>
                    </w:rPr>
                    <w:t>-6</w:t>
                  </w:r>
                </w:p>
              </w:tc>
              <w:tc>
                <w:tcPr>
                  <w:tcW w:w="342"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eastAsia" w:cs="Times New Roman"/>
                      <w:sz w:val="21"/>
                      <w:szCs w:val="21"/>
                      <w:lang w:val="en-US" w:eastAsia="zh-CN"/>
                    </w:rPr>
                    <w:t>1.82</w:t>
                  </w:r>
                  <w:r>
                    <w:rPr>
                      <w:rFonts w:hint="default" w:ascii="Times New Roman" w:hAnsi="Times New Roman" w:cs="Times New Roman"/>
                      <w:sz w:val="21"/>
                      <w:szCs w:val="21"/>
                      <w:lang w:val="en-US" w:eastAsia="zh-CN"/>
                    </w:rPr>
                    <w:t>×10</w:t>
                  </w:r>
                  <w:r>
                    <w:rPr>
                      <w:rFonts w:hint="default" w:ascii="Times New Roman" w:hAnsi="Times New Roman" w:cs="Times New Roman"/>
                      <w:sz w:val="21"/>
                      <w:szCs w:val="21"/>
                      <w:vertAlign w:val="superscript"/>
                      <w:lang w:val="en-US" w:eastAsia="zh-CN"/>
                    </w:rPr>
                    <w:t>-4</w:t>
                  </w:r>
                </w:p>
              </w:tc>
              <w:tc>
                <w:tcPr>
                  <w:tcW w:w="360"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eastAsia" w:cs="Times New Roman"/>
                      <w:sz w:val="21"/>
                      <w:szCs w:val="21"/>
                      <w:lang w:val="en-US" w:eastAsia="zh-CN"/>
                    </w:rPr>
                    <w:t>1.09</w:t>
                  </w:r>
                  <w:r>
                    <w:rPr>
                      <w:rFonts w:hint="default" w:ascii="Times New Roman" w:hAnsi="Times New Roman" w:cs="Times New Roman"/>
                      <w:sz w:val="21"/>
                      <w:szCs w:val="21"/>
                      <w:lang w:val="en-US" w:eastAsia="zh-CN"/>
                    </w:rPr>
                    <w:t>×10</w:t>
                  </w:r>
                  <w:r>
                    <w:rPr>
                      <w:rFonts w:hint="default" w:ascii="Times New Roman" w:hAnsi="Times New Roman" w:cs="Times New Roman"/>
                      <w:sz w:val="21"/>
                      <w:szCs w:val="21"/>
                      <w:vertAlign w:val="superscript"/>
                      <w:lang w:val="en-US" w:eastAsia="zh-CN"/>
                    </w:rPr>
                    <w:t>-6</w:t>
                  </w:r>
                </w:p>
              </w:tc>
              <w:tc>
                <w:tcPr>
                  <w:tcW w:w="221"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default" w:ascii="Times New Roman" w:hAnsi="Times New Roman" w:cs="Times New Roman"/>
                      <w:sz w:val="21"/>
                      <w:szCs w:val="21"/>
                      <w:lang w:val="en-US" w:eastAsia="zh-CN"/>
                    </w:rPr>
                    <w:t>2080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8" w:type="pct"/>
                  <w:vMerge w:val="continue"/>
                  <w:vAlign w:val="center"/>
                </w:tcPr>
                <w:p>
                  <w:pPr>
                    <w:pStyle w:val="11"/>
                    <w:bidi w:val="0"/>
                    <w:jc w:val="center"/>
                    <w:rPr>
                      <w:sz w:val="21"/>
                      <w:szCs w:val="21"/>
                    </w:rPr>
                  </w:pPr>
                </w:p>
              </w:tc>
              <w:tc>
                <w:tcPr>
                  <w:tcW w:w="265" w:type="pct"/>
                  <w:vMerge w:val="continue"/>
                  <w:vAlign w:val="center"/>
                </w:tcPr>
                <w:p>
                  <w:pPr>
                    <w:pStyle w:val="11"/>
                    <w:bidi w:val="0"/>
                    <w:jc w:val="center"/>
                    <w:rPr>
                      <w:sz w:val="21"/>
                      <w:szCs w:val="21"/>
                    </w:rPr>
                  </w:pPr>
                </w:p>
              </w:tc>
              <w:tc>
                <w:tcPr>
                  <w:tcW w:w="285" w:type="pct"/>
                  <w:vMerge w:val="continue"/>
                  <w:vAlign w:val="center"/>
                </w:tcPr>
                <w:p>
                  <w:pPr>
                    <w:pStyle w:val="11"/>
                    <w:bidi w:val="0"/>
                    <w:jc w:val="center"/>
                    <w:rPr>
                      <w:sz w:val="21"/>
                      <w:szCs w:val="21"/>
                    </w:rPr>
                  </w:pPr>
                </w:p>
              </w:tc>
              <w:tc>
                <w:tcPr>
                  <w:tcW w:w="301"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eastAsia"/>
                      <w:sz w:val="21"/>
                      <w:szCs w:val="21"/>
                      <w:lang w:val="en-US" w:eastAsia="zh-CN"/>
                    </w:rPr>
                    <w:t>NMHC</w:t>
                  </w:r>
                </w:p>
              </w:tc>
              <w:tc>
                <w:tcPr>
                  <w:tcW w:w="474" w:type="pct"/>
                  <w:vAlign w:val="center"/>
                </w:tcPr>
                <w:p>
                  <w:pPr>
                    <w:pStyle w:val="11"/>
                    <w:bidi w:val="0"/>
                    <w:ind w:firstLine="0" w:firstLineChars="0"/>
                    <w:jc w:val="center"/>
                    <w:rPr>
                      <w:rFonts w:ascii="Times New Roman" w:hAnsi="Times New Roman" w:eastAsia="宋体" w:cs="Times New Roman"/>
                      <w:kern w:val="44"/>
                      <w:sz w:val="21"/>
                      <w:szCs w:val="21"/>
                      <w:lang w:val="en-US" w:eastAsia="zh-CN" w:bidi="ar-SA"/>
                    </w:rPr>
                  </w:pPr>
                  <w:r>
                    <w:rPr>
                      <w:sz w:val="21"/>
                      <w:szCs w:val="21"/>
                    </w:rPr>
                    <w:t>产污系数法</w:t>
                  </w:r>
                </w:p>
              </w:tc>
              <w:tc>
                <w:tcPr>
                  <w:tcW w:w="396"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eastAsia" w:cs="Times New Roman"/>
                      <w:sz w:val="21"/>
                      <w:szCs w:val="21"/>
                      <w:lang w:val="en-US" w:eastAsia="zh-CN"/>
                    </w:rPr>
                    <w:t>0.327</w:t>
                  </w:r>
                </w:p>
              </w:tc>
              <w:tc>
                <w:tcPr>
                  <w:tcW w:w="326"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eastAsia" w:cs="Times New Roman"/>
                      <w:sz w:val="21"/>
                      <w:szCs w:val="21"/>
                      <w:lang w:val="en-US" w:eastAsia="zh-CN"/>
                    </w:rPr>
                    <w:t>23.5817</w:t>
                  </w:r>
                </w:p>
              </w:tc>
              <w:tc>
                <w:tcPr>
                  <w:tcW w:w="360"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eastAsia" w:cs="Times New Roman"/>
                      <w:kern w:val="44"/>
                      <w:sz w:val="21"/>
                      <w:szCs w:val="21"/>
                      <w:lang w:val="en-US" w:eastAsia="zh-CN" w:bidi="ar-SA"/>
                    </w:rPr>
                    <w:t>0.1415</w:t>
                  </w:r>
                </w:p>
              </w:tc>
              <w:tc>
                <w:tcPr>
                  <w:tcW w:w="326"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default" w:ascii="Times New Roman" w:hAnsi="Times New Roman" w:cs="Times New Roman"/>
                      <w:sz w:val="21"/>
                      <w:szCs w:val="21"/>
                    </w:rPr>
                    <w:t>90</w:t>
                  </w:r>
                </w:p>
              </w:tc>
              <w:tc>
                <w:tcPr>
                  <w:tcW w:w="573" w:type="pct"/>
                  <w:vMerge w:val="continue"/>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p>
              </w:tc>
              <w:tc>
                <w:tcPr>
                  <w:tcW w:w="290"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default" w:ascii="Times New Roman" w:hAnsi="Times New Roman" w:cs="Times New Roman"/>
                      <w:sz w:val="21"/>
                      <w:szCs w:val="21"/>
                    </w:rPr>
                    <w:t>85</w:t>
                  </w:r>
                </w:p>
              </w:tc>
              <w:tc>
                <w:tcPr>
                  <w:tcW w:w="339"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default" w:ascii="Times New Roman" w:hAnsi="Times New Roman" w:cs="Times New Roman"/>
                      <w:sz w:val="21"/>
                      <w:szCs w:val="21"/>
                      <w:lang w:val="en-US" w:eastAsia="zh-CN"/>
                    </w:rPr>
                    <w:t>0.0</w:t>
                  </w:r>
                  <w:r>
                    <w:rPr>
                      <w:rFonts w:hint="eastAsia" w:cs="Times New Roman"/>
                      <w:sz w:val="21"/>
                      <w:szCs w:val="21"/>
                      <w:lang w:val="en-US" w:eastAsia="zh-CN"/>
                    </w:rPr>
                    <w:t>441</w:t>
                  </w:r>
                </w:p>
              </w:tc>
              <w:tc>
                <w:tcPr>
                  <w:tcW w:w="342"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eastAsia" w:cs="Times New Roman"/>
                      <w:sz w:val="21"/>
                      <w:szCs w:val="21"/>
                      <w:lang w:val="en-US" w:eastAsia="zh-CN"/>
                    </w:rPr>
                    <w:t>3.5373</w:t>
                  </w:r>
                </w:p>
              </w:tc>
              <w:tc>
                <w:tcPr>
                  <w:tcW w:w="360"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default" w:ascii="Times New Roman" w:hAnsi="Times New Roman" w:cs="Times New Roman"/>
                      <w:sz w:val="21"/>
                      <w:szCs w:val="21"/>
                      <w:lang w:val="en-US" w:eastAsia="zh-CN"/>
                    </w:rPr>
                    <w:t>0.0</w:t>
                  </w:r>
                  <w:r>
                    <w:rPr>
                      <w:rFonts w:hint="eastAsia" w:cs="Times New Roman"/>
                      <w:sz w:val="21"/>
                      <w:szCs w:val="21"/>
                      <w:lang w:val="en-US" w:eastAsia="zh-CN"/>
                    </w:rPr>
                    <w:t>212</w:t>
                  </w:r>
                </w:p>
              </w:tc>
              <w:tc>
                <w:tcPr>
                  <w:tcW w:w="221"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default" w:ascii="Times New Roman" w:hAnsi="Times New Roman" w:cs="Times New Roman"/>
                      <w:sz w:val="21"/>
                      <w:szCs w:val="21"/>
                      <w:lang w:val="en-US" w:eastAsia="zh-CN"/>
                    </w:rPr>
                    <w:t>2080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38" w:type="pct"/>
                  <w:vMerge w:val="restart"/>
                  <w:vAlign w:val="center"/>
                </w:tcPr>
                <w:p>
                  <w:pPr>
                    <w:pStyle w:val="11"/>
                    <w:bidi w:val="0"/>
                    <w:jc w:val="center"/>
                    <w:rPr>
                      <w:rFonts w:hint="eastAsia" w:eastAsia="宋体"/>
                      <w:sz w:val="21"/>
                      <w:szCs w:val="21"/>
                      <w:lang w:eastAsia="zh-CN"/>
                    </w:rPr>
                  </w:pPr>
                  <w:r>
                    <w:rPr>
                      <w:rFonts w:hint="eastAsia"/>
                      <w:sz w:val="21"/>
                      <w:szCs w:val="21"/>
                      <w:lang w:val="en-US" w:eastAsia="zh-CN"/>
                    </w:rPr>
                    <w:t>2</w:t>
                  </w:r>
                </w:p>
              </w:tc>
              <w:tc>
                <w:tcPr>
                  <w:tcW w:w="265" w:type="pct"/>
                  <w:vMerge w:val="restart"/>
                  <w:vAlign w:val="center"/>
                </w:tcPr>
                <w:p>
                  <w:pPr>
                    <w:pStyle w:val="11"/>
                    <w:bidi w:val="0"/>
                    <w:jc w:val="center"/>
                    <w:rPr>
                      <w:sz w:val="21"/>
                      <w:szCs w:val="21"/>
                    </w:rPr>
                  </w:pPr>
                  <w:r>
                    <w:rPr>
                      <w:sz w:val="21"/>
                      <w:szCs w:val="21"/>
                    </w:rPr>
                    <w:t>无组织</w:t>
                  </w:r>
                </w:p>
              </w:tc>
              <w:tc>
                <w:tcPr>
                  <w:tcW w:w="285" w:type="pct"/>
                  <w:vMerge w:val="restart"/>
                  <w:vAlign w:val="center"/>
                </w:tcPr>
                <w:p>
                  <w:pPr>
                    <w:pStyle w:val="11"/>
                    <w:bidi w:val="0"/>
                    <w:jc w:val="center"/>
                    <w:rPr>
                      <w:sz w:val="21"/>
                      <w:szCs w:val="21"/>
                    </w:rPr>
                  </w:pPr>
                  <w:r>
                    <w:rPr>
                      <w:sz w:val="21"/>
                      <w:szCs w:val="21"/>
                    </w:rPr>
                    <w:t>生产</w:t>
                  </w:r>
                </w:p>
                <w:p>
                  <w:pPr>
                    <w:pStyle w:val="11"/>
                    <w:bidi w:val="0"/>
                    <w:jc w:val="center"/>
                    <w:rPr>
                      <w:sz w:val="21"/>
                      <w:szCs w:val="21"/>
                    </w:rPr>
                  </w:pPr>
                  <w:r>
                    <w:rPr>
                      <w:sz w:val="21"/>
                      <w:szCs w:val="21"/>
                    </w:rPr>
                    <w:t>车间</w:t>
                  </w:r>
                </w:p>
              </w:tc>
              <w:tc>
                <w:tcPr>
                  <w:tcW w:w="301" w:type="pct"/>
                  <w:vAlign w:val="center"/>
                </w:tcPr>
                <w:p>
                  <w:pPr>
                    <w:pStyle w:val="11"/>
                    <w:bidi w:val="0"/>
                    <w:jc w:val="center"/>
                    <w:rPr>
                      <w:sz w:val="21"/>
                      <w:szCs w:val="21"/>
                    </w:rPr>
                  </w:pPr>
                  <w:r>
                    <w:rPr>
                      <w:sz w:val="21"/>
                      <w:szCs w:val="21"/>
                    </w:rPr>
                    <w:t>颗粒物</w:t>
                  </w:r>
                </w:p>
              </w:tc>
              <w:tc>
                <w:tcPr>
                  <w:tcW w:w="474" w:type="pct"/>
                  <w:vAlign w:val="center"/>
                </w:tcPr>
                <w:p>
                  <w:pPr>
                    <w:pStyle w:val="11"/>
                    <w:bidi w:val="0"/>
                    <w:jc w:val="center"/>
                    <w:rPr>
                      <w:sz w:val="21"/>
                      <w:szCs w:val="21"/>
                    </w:rPr>
                  </w:pPr>
                  <w:r>
                    <w:rPr>
                      <w:sz w:val="21"/>
                      <w:szCs w:val="21"/>
                    </w:rPr>
                    <w:t>产污系数法</w:t>
                  </w:r>
                </w:p>
              </w:tc>
              <w:tc>
                <w:tcPr>
                  <w:tcW w:w="396" w:type="pct"/>
                  <w:vAlign w:val="center"/>
                </w:tcPr>
                <w:p>
                  <w:pPr>
                    <w:pStyle w:val="11"/>
                    <w:bidi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0.</w:t>
                  </w:r>
                  <w:r>
                    <w:rPr>
                      <w:rFonts w:hint="eastAsia" w:cs="Times New Roman"/>
                      <w:color w:val="auto"/>
                      <w:sz w:val="21"/>
                      <w:szCs w:val="21"/>
                      <w:lang w:val="en-US" w:eastAsia="zh-CN"/>
                    </w:rPr>
                    <w:t>126</w:t>
                  </w:r>
                </w:p>
              </w:tc>
              <w:tc>
                <w:tcPr>
                  <w:tcW w:w="326" w:type="pct"/>
                  <w:vAlign w:val="center"/>
                </w:tcPr>
                <w:p>
                  <w:pPr>
                    <w:pStyle w:val="11"/>
                    <w:bidi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360" w:type="pct"/>
                  <w:vAlign w:val="center"/>
                </w:tcPr>
                <w:p>
                  <w:pPr>
                    <w:pStyle w:val="11"/>
                    <w:bidi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6.06</w:t>
                  </w:r>
                  <w:r>
                    <w:rPr>
                      <w:rFonts w:hint="default" w:ascii="Times New Roman" w:hAnsi="Times New Roman" w:cs="Times New Roman"/>
                      <w:color w:val="auto"/>
                      <w:sz w:val="21"/>
                      <w:szCs w:val="21"/>
                      <w:lang w:val="en-US" w:eastAsia="zh-CN"/>
                    </w:rPr>
                    <w:t>×10</w:t>
                  </w:r>
                  <w:r>
                    <w:rPr>
                      <w:rFonts w:hint="default" w:ascii="Times New Roman" w:hAnsi="Times New Roman" w:cs="Times New Roman"/>
                      <w:color w:val="auto"/>
                      <w:sz w:val="21"/>
                      <w:szCs w:val="21"/>
                      <w:vertAlign w:val="superscript"/>
                      <w:lang w:val="en-US" w:eastAsia="zh-CN"/>
                    </w:rPr>
                    <w:t>-7</w:t>
                  </w:r>
                </w:p>
              </w:tc>
              <w:tc>
                <w:tcPr>
                  <w:tcW w:w="326" w:type="pct"/>
                  <w:vAlign w:val="center"/>
                </w:tcPr>
                <w:p>
                  <w:pPr>
                    <w:pStyle w:val="11"/>
                    <w:bidi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573" w:type="pct"/>
                  <w:vMerge w:val="restart"/>
                  <w:vAlign w:val="center"/>
                </w:tcPr>
                <w:p>
                  <w:pPr>
                    <w:pStyle w:val="11"/>
                    <w:bidi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车间密闭</w:t>
                  </w:r>
                </w:p>
              </w:tc>
              <w:tc>
                <w:tcPr>
                  <w:tcW w:w="290" w:type="pct"/>
                  <w:vAlign w:val="center"/>
                </w:tcPr>
                <w:p>
                  <w:pPr>
                    <w:pStyle w:val="11"/>
                    <w:bidi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339" w:type="pct"/>
                  <w:vAlign w:val="center"/>
                </w:tcPr>
                <w:p>
                  <w:pPr>
                    <w:pStyle w:val="11"/>
                    <w:bidi w:val="0"/>
                    <w:ind w:firstLine="0" w:firstLineChars="0"/>
                    <w:jc w:val="center"/>
                    <w:rPr>
                      <w:rFonts w:hint="default" w:ascii="Times New Roman" w:hAnsi="Times New Roman" w:eastAsia="宋体" w:cs="Times New Roman"/>
                      <w:color w:val="auto"/>
                      <w:kern w:val="44"/>
                      <w:sz w:val="21"/>
                      <w:szCs w:val="21"/>
                      <w:lang w:val="en-US" w:eastAsia="zh-CN" w:bidi="ar-SA"/>
                    </w:rPr>
                  </w:pPr>
                  <w:r>
                    <w:rPr>
                      <w:rFonts w:hint="default" w:ascii="Times New Roman" w:hAnsi="Times New Roman" w:cs="Times New Roman"/>
                      <w:color w:val="auto"/>
                      <w:sz w:val="21"/>
                      <w:szCs w:val="21"/>
                    </w:rPr>
                    <w:t>0.</w:t>
                  </w:r>
                  <w:r>
                    <w:rPr>
                      <w:rFonts w:hint="eastAsia" w:cs="Times New Roman"/>
                      <w:color w:val="auto"/>
                      <w:sz w:val="21"/>
                      <w:szCs w:val="21"/>
                      <w:lang w:val="en-US" w:eastAsia="zh-CN"/>
                    </w:rPr>
                    <w:t>126</w:t>
                  </w:r>
                </w:p>
              </w:tc>
              <w:tc>
                <w:tcPr>
                  <w:tcW w:w="342" w:type="pct"/>
                  <w:vAlign w:val="center"/>
                </w:tcPr>
                <w:p>
                  <w:pPr>
                    <w:pStyle w:val="11"/>
                    <w:bidi w:val="0"/>
                    <w:ind w:firstLine="0" w:firstLineChars="0"/>
                    <w:jc w:val="center"/>
                    <w:rPr>
                      <w:rFonts w:hint="default" w:ascii="Times New Roman" w:hAnsi="Times New Roman" w:eastAsia="宋体" w:cs="Times New Roman"/>
                      <w:color w:val="auto"/>
                      <w:kern w:val="44"/>
                      <w:sz w:val="21"/>
                      <w:szCs w:val="21"/>
                      <w:lang w:val="en-US" w:eastAsia="zh-CN" w:bidi="ar-SA"/>
                    </w:rPr>
                  </w:pPr>
                  <w:r>
                    <w:rPr>
                      <w:rFonts w:hint="default" w:ascii="Times New Roman" w:hAnsi="Times New Roman" w:cs="Times New Roman"/>
                      <w:color w:val="auto"/>
                      <w:sz w:val="21"/>
                      <w:szCs w:val="21"/>
                    </w:rPr>
                    <w:t>/</w:t>
                  </w:r>
                </w:p>
              </w:tc>
              <w:tc>
                <w:tcPr>
                  <w:tcW w:w="360" w:type="pct"/>
                  <w:vAlign w:val="center"/>
                </w:tcPr>
                <w:p>
                  <w:pPr>
                    <w:pStyle w:val="11"/>
                    <w:bidi w:val="0"/>
                    <w:ind w:firstLine="0" w:firstLineChars="0"/>
                    <w:jc w:val="center"/>
                    <w:rPr>
                      <w:rFonts w:hint="default" w:ascii="Times New Roman" w:hAnsi="Times New Roman" w:eastAsia="宋体" w:cs="Times New Roman"/>
                      <w:color w:val="auto"/>
                      <w:kern w:val="44"/>
                      <w:sz w:val="21"/>
                      <w:szCs w:val="21"/>
                      <w:lang w:val="en-US" w:eastAsia="zh-CN" w:bidi="ar-SA"/>
                    </w:rPr>
                  </w:pPr>
                  <w:r>
                    <w:rPr>
                      <w:rFonts w:hint="eastAsia" w:cs="Times New Roman"/>
                      <w:color w:val="auto"/>
                      <w:sz w:val="21"/>
                      <w:szCs w:val="21"/>
                      <w:lang w:val="en-US" w:eastAsia="zh-CN"/>
                    </w:rPr>
                    <w:t>6.06</w:t>
                  </w:r>
                  <w:r>
                    <w:rPr>
                      <w:rFonts w:hint="default" w:ascii="Times New Roman" w:hAnsi="Times New Roman" w:cs="Times New Roman"/>
                      <w:color w:val="auto"/>
                      <w:sz w:val="21"/>
                      <w:szCs w:val="21"/>
                      <w:lang w:val="en-US" w:eastAsia="zh-CN"/>
                    </w:rPr>
                    <w:t>×10</w:t>
                  </w:r>
                  <w:r>
                    <w:rPr>
                      <w:rFonts w:hint="default" w:ascii="Times New Roman" w:hAnsi="Times New Roman" w:cs="Times New Roman"/>
                      <w:color w:val="auto"/>
                      <w:sz w:val="21"/>
                      <w:szCs w:val="21"/>
                      <w:vertAlign w:val="superscript"/>
                      <w:lang w:val="en-US" w:eastAsia="zh-CN"/>
                    </w:rPr>
                    <w:t>-7</w:t>
                  </w:r>
                </w:p>
              </w:tc>
              <w:tc>
                <w:tcPr>
                  <w:tcW w:w="221"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default" w:ascii="Times New Roman" w:hAnsi="Times New Roman" w:cs="Times New Roman"/>
                      <w:sz w:val="21"/>
                      <w:szCs w:val="21"/>
                      <w:lang w:val="en-US" w:eastAsia="zh-CN"/>
                    </w:rPr>
                    <w:t>2080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38" w:type="pct"/>
                  <w:vMerge w:val="continue"/>
                  <w:vAlign w:val="center"/>
                </w:tcPr>
                <w:p>
                  <w:pPr>
                    <w:pStyle w:val="11"/>
                    <w:bidi w:val="0"/>
                    <w:jc w:val="center"/>
                    <w:rPr>
                      <w:sz w:val="21"/>
                      <w:szCs w:val="21"/>
                    </w:rPr>
                  </w:pPr>
                </w:p>
              </w:tc>
              <w:tc>
                <w:tcPr>
                  <w:tcW w:w="265" w:type="pct"/>
                  <w:vMerge w:val="continue"/>
                  <w:vAlign w:val="center"/>
                </w:tcPr>
                <w:p>
                  <w:pPr>
                    <w:pStyle w:val="11"/>
                    <w:bidi w:val="0"/>
                    <w:jc w:val="center"/>
                    <w:rPr>
                      <w:sz w:val="21"/>
                      <w:szCs w:val="21"/>
                    </w:rPr>
                  </w:pPr>
                </w:p>
              </w:tc>
              <w:tc>
                <w:tcPr>
                  <w:tcW w:w="285" w:type="pct"/>
                  <w:vMerge w:val="continue"/>
                  <w:vAlign w:val="center"/>
                </w:tcPr>
                <w:p>
                  <w:pPr>
                    <w:pStyle w:val="11"/>
                    <w:bidi w:val="0"/>
                    <w:jc w:val="center"/>
                    <w:rPr>
                      <w:sz w:val="21"/>
                      <w:szCs w:val="21"/>
                    </w:rPr>
                  </w:pPr>
                </w:p>
              </w:tc>
              <w:tc>
                <w:tcPr>
                  <w:tcW w:w="301" w:type="pct"/>
                  <w:vAlign w:val="center"/>
                </w:tcPr>
                <w:p>
                  <w:pPr>
                    <w:pStyle w:val="11"/>
                    <w:bidi w:val="0"/>
                    <w:jc w:val="center"/>
                    <w:rPr>
                      <w:sz w:val="21"/>
                      <w:szCs w:val="21"/>
                    </w:rPr>
                  </w:pPr>
                  <w:r>
                    <w:rPr>
                      <w:rFonts w:hint="eastAsia"/>
                      <w:sz w:val="21"/>
                      <w:szCs w:val="21"/>
                      <w:lang w:val="en-US" w:eastAsia="zh-CN"/>
                    </w:rPr>
                    <w:t>硫化氢</w:t>
                  </w:r>
                </w:p>
              </w:tc>
              <w:tc>
                <w:tcPr>
                  <w:tcW w:w="474" w:type="pct"/>
                  <w:vAlign w:val="center"/>
                </w:tcPr>
                <w:p>
                  <w:pPr>
                    <w:pStyle w:val="11"/>
                    <w:bidi w:val="0"/>
                    <w:jc w:val="center"/>
                    <w:rPr>
                      <w:sz w:val="21"/>
                      <w:szCs w:val="21"/>
                    </w:rPr>
                  </w:pPr>
                  <w:r>
                    <w:rPr>
                      <w:sz w:val="21"/>
                      <w:szCs w:val="21"/>
                    </w:rPr>
                    <w:t>产污系数法</w:t>
                  </w:r>
                </w:p>
              </w:tc>
              <w:tc>
                <w:tcPr>
                  <w:tcW w:w="396" w:type="pct"/>
                  <w:vAlign w:val="center"/>
                </w:tcPr>
                <w:p>
                  <w:pPr>
                    <w:pStyle w:val="11"/>
                    <w:bidi w:val="0"/>
                    <w:jc w:val="center"/>
                    <w:rPr>
                      <w:rFonts w:hint="default" w:ascii="Times New Roman" w:hAnsi="Times New Roman" w:cs="Times New Roman"/>
                      <w:color w:val="auto"/>
                      <w:sz w:val="21"/>
                      <w:szCs w:val="21"/>
                    </w:rPr>
                  </w:pPr>
                  <w:r>
                    <w:rPr>
                      <w:rFonts w:hint="eastAsia" w:cs="Times New Roman"/>
                      <w:color w:val="auto"/>
                      <w:sz w:val="21"/>
                      <w:szCs w:val="21"/>
                      <w:lang w:val="en-US" w:eastAsia="zh-CN"/>
                    </w:rPr>
                    <w:t>1.68</w:t>
                  </w:r>
                  <w:r>
                    <w:rPr>
                      <w:rFonts w:hint="default" w:ascii="Times New Roman" w:hAnsi="Times New Roman" w:cs="Times New Roman"/>
                      <w:color w:val="auto"/>
                      <w:sz w:val="21"/>
                      <w:szCs w:val="21"/>
                      <w:lang w:val="en-US" w:eastAsia="zh-CN"/>
                    </w:rPr>
                    <w:t>×10</w:t>
                  </w:r>
                  <w:r>
                    <w:rPr>
                      <w:rFonts w:hint="default" w:ascii="Times New Roman" w:hAnsi="Times New Roman" w:cs="Times New Roman"/>
                      <w:color w:val="auto"/>
                      <w:sz w:val="21"/>
                      <w:szCs w:val="21"/>
                      <w:vertAlign w:val="superscript"/>
                      <w:lang w:val="en-US" w:eastAsia="zh-CN"/>
                    </w:rPr>
                    <w:t>-6</w:t>
                  </w:r>
                </w:p>
              </w:tc>
              <w:tc>
                <w:tcPr>
                  <w:tcW w:w="326" w:type="pct"/>
                  <w:vAlign w:val="center"/>
                </w:tcPr>
                <w:p>
                  <w:pPr>
                    <w:pStyle w:val="11"/>
                    <w:bidi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360" w:type="pct"/>
                  <w:vAlign w:val="center"/>
                </w:tcPr>
                <w:p>
                  <w:pPr>
                    <w:pStyle w:val="11"/>
                    <w:bidi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8.08</w:t>
                  </w:r>
                  <w:r>
                    <w:rPr>
                      <w:rFonts w:hint="default" w:ascii="Times New Roman" w:hAnsi="Times New Roman" w:cs="Times New Roman"/>
                      <w:color w:val="auto"/>
                      <w:sz w:val="21"/>
                      <w:szCs w:val="21"/>
                      <w:lang w:val="en-US" w:eastAsia="zh-CN"/>
                    </w:rPr>
                    <w:t>×10</w:t>
                  </w:r>
                  <w:r>
                    <w:rPr>
                      <w:rFonts w:hint="default" w:ascii="Times New Roman" w:hAnsi="Times New Roman" w:cs="Times New Roman"/>
                      <w:color w:val="auto"/>
                      <w:sz w:val="21"/>
                      <w:szCs w:val="21"/>
                      <w:vertAlign w:val="superscript"/>
                      <w:lang w:val="en-US" w:eastAsia="zh-CN"/>
                    </w:rPr>
                    <w:t>-</w:t>
                  </w:r>
                  <w:r>
                    <w:rPr>
                      <w:rFonts w:hint="eastAsia" w:cs="Times New Roman"/>
                      <w:color w:val="auto"/>
                      <w:sz w:val="21"/>
                      <w:szCs w:val="21"/>
                      <w:vertAlign w:val="superscript"/>
                      <w:lang w:val="en-US" w:eastAsia="zh-CN"/>
                    </w:rPr>
                    <w:t>10</w:t>
                  </w:r>
                </w:p>
              </w:tc>
              <w:tc>
                <w:tcPr>
                  <w:tcW w:w="326" w:type="pct"/>
                  <w:vAlign w:val="center"/>
                </w:tcPr>
                <w:p>
                  <w:pPr>
                    <w:pStyle w:val="11"/>
                    <w:bidi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573" w:type="pct"/>
                  <w:vMerge w:val="continue"/>
                  <w:vAlign w:val="center"/>
                </w:tcPr>
                <w:p>
                  <w:pPr>
                    <w:pStyle w:val="11"/>
                    <w:bidi w:val="0"/>
                    <w:jc w:val="center"/>
                    <w:rPr>
                      <w:rFonts w:hint="default" w:ascii="Times New Roman" w:hAnsi="Times New Roman" w:cs="Times New Roman"/>
                      <w:color w:val="auto"/>
                      <w:sz w:val="21"/>
                      <w:szCs w:val="21"/>
                    </w:rPr>
                  </w:pPr>
                </w:p>
              </w:tc>
              <w:tc>
                <w:tcPr>
                  <w:tcW w:w="290" w:type="pct"/>
                  <w:vAlign w:val="center"/>
                </w:tcPr>
                <w:p>
                  <w:pPr>
                    <w:pStyle w:val="11"/>
                    <w:bidi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339" w:type="pct"/>
                  <w:vAlign w:val="center"/>
                </w:tcPr>
                <w:p>
                  <w:pPr>
                    <w:pStyle w:val="11"/>
                    <w:bidi w:val="0"/>
                    <w:ind w:firstLine="0" w:firstLineChars="0"/>
                    <w:jc w:val="center"/>
                    <w:rPr>
                      <w:rFonts w:hint="default" w:ascii="Times New Roman" w:hAnsi="Times New Roman" w:eastAsia="宋体" w:cs="Times New Roman"/>
                      <w:color w:val="auto"/>
                      <w:kern w:val="44"/>
                      <w:sz w:val="21"/>
                      <w:szCs w:val="21"/>
                      <w:lang w:val="en-US" w:eastAsia="zh-CN" w:bidi="ar-SA"/>
                    </w:rPr>
                  </w:pPr>
                  <w:r>
                    <w:rPr>
                      <w:rFonts w:hint="eastAsia" w:cs="Times New Roman"/>
                      <w:color w:val="auto"/>
                      <w:sz w:val="21"/>
                      <w:szCs w:val="21"/>
                      <w:lang w:val="en-US" w:eastAsia="zh-CN"/>
                    </w:rPr>
                    <w:t>1.68</w:t>
                  </w:r>
                  <w:r>
                    <w:rPr>
                      <w:rFonts w:hint="default" w:ascii="Times New Roman" w:hAnsi="Times New Roman" w:cs="Times New Roman"/>
                      <w:color w:val="auto"/>
                      <w:sz w:val="21"/>
                      <w:szCs w:val="21"/>
                      <w:lang w:val="en-US" w:eastAsia="zh-CN"/>
                    </w:rPr>
                    <w:t>×10</w:t>
                  </w:r>
                  <w:r>
                    <w:rPr>
                      <w:rFonts w:hint="default" w:ascii="Times New Roman" w:hAnsi="Times New Roman" w:cs="Times New Roman"/>
                      <w:color w:val="auto"/>
                      <w:sz w:val="21"/>
                      <w:szCs w:val="21"/>
                      <w:vertAlign w:val="superscript"/>
                      <w:lang w:val="en-US" w:eastAsia="zh-CN"/>
                    </w:rPr>
                    <w:t>-6</w:t>
                  </w:r>
                </w:p>
              </w:tc>
              <w:tc>
                <w:tcPr>
                  <w:tcW w:w="342" w:type="pct"/>
                  <w:vAlign w:val="center"/>
                </w:tcPr>
                <w:p>
                  <w:pPr>
                    <w:pStyle w:val="11"/>
                    <w:bidi w:val="0"/>
                    <w:ind w:firstLine="0" w:firstLineChars="0"/>
                    <w:jc w:val="center"/>
                    <w:rPr>
                      <w:rFonts w:hint="default" w:ascii="Times New Roman" w:hAnsi="Times New Roman" w:eastAsia="宋体" w:cs="Times New Roman"/>
                      <w:color w:val="auto"/>
                      <w:kern w:val="44"/>
                      <w:sz w:val="21"/>
                      <w:szCs w:val="21"/>
                      <w:lang w:val="en-US" w:eastAsia="zh-CN" w:bidi="ar-SA"/>
                    </w:rPr>
                  </w:pPr>
                  <w:r>
                    <w:rPr>
                      <w:rFonts w:hint="default" w:ascii="Times New Roman" w:hAnsi="Times New Roman" w:cs="Times New Roman"/>
                      <w:color w:val="auto"/>
                      <w:sz w:val="21"/>
                      <w:szCs w:val="21"/>
                    </w:rPr>
                    <w:t>/</w:t>
                  </w:r>
                </w:p>
              </w:tc>
              <w:tc>
                <w:tcPr>
                  <w:tcW w:w="360" w:type="pct"/>
                  <w:vAlign w:val="center"/>
                </w:tcPr>
                <w:p>
                  <w:pPr>
                    <w:pStyle w:val="11"/>
                    <w:bidi w:val="0"/>
                    <w:ind w:firstLine="0" w:firstLineChars="0"/>
                    <w:jc w:val="center"/>
                    <w:rPr>
                      <w:rFonts w:hint="default" w:ascii="Times New Roman" w:hAnsi="Times New Roman" w:eastAsia="宋体" w:cs="Times New Roman"/>
                      <w:color w:val="auto"/>
                      <w:kern w:val="44"/>
                      <w:sz w:val="21"/>
                      <w:szCs w:val="21"/>
                      <w:lang w:val="en-US" w:eastAsia="zh-CN" w:bidi="ar-SA"/>
                    </w:rPr>
                  </w:pPr>
                  <w:r>
                    <w:rPr>
                      <w:rFonts w:hint="eastAsia" w:cs="Times New Roman"/>
                      <w:color w:val="auto"/>
                      <w:sz w:val="21"/>
                      <w:szCs w:val="21"/>
                      <w:lang w:val="en-US" w:eastAsia="zh-CN"/>
                    </w:rPr>
                    <w:t>8.08</w:t>
                  </w:r>
                  <w:r>
                    <w:rPr>
                      <w:rFonts w:hint="default" w:ascii="Times New Roman" w:hAnsi="Times New Roman" w:cs="Times New Roman"/>
                      <w:color w:val="auto"/>
                      <w:sz w:val="21"/>
                      <w:szCs w:val="21"/>
                      <w:lang w:val="en-US" w:eastAsia="zh-CN"/>
                    </w:rPr>
                    <w:t>×10</w:t>
                  </w:r>
                  <w:r>
                    <w:rPr>
                      <w:rFonts w:hint="default" w:ascii="Times New Roman" w:hAnsi="Times New Roman" w:cs="Times New Roman"/>
                      <w:color w:val="auto"/>
                      <w:sz w:val="21"/>
                      <w:szCs w:val="21"/>
                      <w:vertAlign w:val="superscript"/>
                      <w:lang w:val="en-US" w:eastAsia="zh-CN"/>
                    </w:rPr>
                    <w:t>-</w:t>
                  </w:r>
                  <w:r>
                    <w:rPr>
                      <w:rFonts w:hint="eastAsia" w:cs="Times New Roman"/>
                      <w:color w:val="auto"/>
                      <w:sz w:val="21"/>
                      <w:szCs w:val="21"/>
                      <w:vertAlign w:val="superscript"/>
                      <w:lang w:val="en-US" w:eastAsia="zh-CN"/>
                    </w:rPr>
                    <w:t>10</w:t>
                  </w:r>
                </w:p>
              </w:tc>
              <w:tc>
                <w:tcPr>
                  <w:tcW w:w="221"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default" w:ascii="Times New Roman" w:hAnsi="Times New Roman" w:cs="Times New Roman"/>
                      <w:sz w:val="21"/>
                      <w:szCs w:val="21"/>
                      <w:lang w:val="en-US" w:eastAsia="zh-CN"/>
                    </w:rPr>
                    <w:t>2080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8" w:type="pct"/>
                  <w:vMerge w:val="continue"/>
                  <w:vAlign w:val="center"/>
                </w:tcPr>
                <w:p>
                  <w:pPr>
                    <w:pStyle w:val="11"/>
                    <w:bidi w:val="0"/>
                    <w:jc w:val="center"/>
                    <w:rPr>
                      <w:sz w:val="21"/>
                      <w:szCs w:val="21"/>
                    </w:rPr>
                  </w:pPr>
                </w:p>
              </w:tc>
              <w:tc>
                <w:tcPr>
                  <w:tcW w:w="265" w:type="pct"/>
                  <w:vMerge w:val="continue"/>
                  <w:vAlign w:val="center"/>
                </w:tcPr>
                <w:p>
                  <w:pPr>
                    <w:pStyle w:val="11"/>
                    <w:bidi w:val="0"/>
                    <w:jc w:val="center"/>
                    <w:rPr>
                      <w:sz w:val="21"/>
                      <w:szCs w:val="21"/>
                    </w:rPr>
                  </w:pPr>
                </w:p>
              </w:tc>
              <w:tc>
                <w:tcPr>
                  <w:tcW w:w="285" w:type="pct"/>
                  <w:vMerge w:val="continue"/>
                  <w:vAlign w:val="center"/>
                </w:tcPr>
                <w:p>
                  <w:pPr>
                    <w:pStyle w:val="11"/>
                    <w:bidi w:val="0"/>
                    <w:jc w:val="center"/>
                    <w:rPr>
                      <w:sz w:val="21"/>
                      <w:szCs w:val="21"/>
                    </w:rPr>
                  </w:pPr>
                </w:p>
              </w:tc>
              <w:tc>
                <w:tcPr>
                  <w:tcW w:w="301" w:type="pct"/>
                  <w:vAlign w:val="center"/>
                </w:tcPr>
                <w:p>
                  <w:pPr>
                    <w:pStyle w:val="11"/>
                    <w:bidi w:val="0"/>
                    <w:jc w:val="center"/>
                    <w:rPr>
                      <w:sz w:val="21"/>
                      <w:szCs w:val="21"/>
                    </w:rPr>
                  </w:pPr>
                  <w:r>
                    <w:rPr>
                      <w:rFonts w:hint="eastAsia"/>
                      <w:sz w:val="21"/>
                      <w:szCs w:val="21"/>
                      <w:lang w:val="en-US" w:eastAsia="zh-CN"/>
                    </w:rPr>
                    <w:t>NMHC</w:t>
                  </w:r>
                </w:p>
              </w:tc>
              <w:tc>
                <w:tcPr>
                  <w:tcW w:w="474" w:type="pct"/>
                  <w:vAlign w:val="center"/>
                </w:tcPr>
                <w:p>
                  <w:pPr>
                    <w:pStyle w:val="11"/>
                    <w:bidi w:val="0"/>
                    <w:jc w:val="center"/>
                    <w:rPr>
                      <w:sz w:val="21"/>
                      <w:szCs w:val="21"/>
                    </w:rPr>
                  </w:pPr>
                  <w:r>
                    <w:rPr>
                      <w:sz w:val="21"/>
                      <w:szCs w:val="21"/>
                    </w:rPr>
                    <w:t>产污系数法</w:t>
                  </w:r>
                </w:p>
              </w:tc>
              <w:tc>
                <w:tcPr>
                  <w:tcW w:w="396" w:type="pct"/>
                  <w:vAlign w:val="center"/>
                </w:tcPr>
                <w:p>
                  <w:pPr>
                    <w:pStyle w:val="11"/>
                    <w:bidi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0.0327</w:t>
                  </w:r>
                </w:p>
              </w:tc>
              <w:tc>
                <w:tcPr>
                  <w:tcW w:w="326" w:type="pct"/>
                  <w:vAlign w:val="center"/>
                </w:tcPr>
                <w:p>
                  <w:pPr>
                    <w:pStyle w:val="11"/>
                    <w:bidi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360" w:type="pct"/>
                  <w:vAlign w:val="center"/>
                </w:tcPr>
                <w:p>
                  <w:pPr>
                    <w:pStyle w:val="11"/>
                    <w:bidi w:val="0"/>
                    <w:jc w:val="center"/>
                    <w:rPr>
                      <w:rFonts w:hint="default" w:ascii="Times New Roman" w:hAnsi="Times New Roman" w:cs="Times New Roman"/>
                      <w:color w:val="auto"/>
                      <w:sz w:val="21"/>
                      <w:szCs w:val="21"/>
                    </w:rPr>
                  </w:pPr>
                  <w:r>
                    <w:rPr>
                      <w:rFonts w:hint="eastAsia" w:cs="Times New Roman"/>
                      <w:color w:val="auto"/>
                      <w:sz w:val="21"/>
                      <w:szCs w:val="21"/>
                      <w:lang w:val="en-US" w:eastAsia="zh-CN"/>
                    </w:rPr>
                    <w:t>1.57</w:t>
                  </w:r>
                  <w:r>
                    <w:rPr>
                      <w:rFonts w:hint="default" w:ascii="Times New Roman" w:hAnsi="Times New Roman" w:cs="Times New Roman"/>
                      <w:color w:val="auto"/>
                      <w:sz w:val="21"/>
                      <w:szCs w:val="21"/>
                      <w:lang w:val="en-US" w:eastAsia="zh-CN"/>
                    </w:rPr>
                    <w:t>×10</w:t>
                  </w:r>
                  <w:r>
                    <w:rPr>
                      <w:rFonts w:hint="default" w:ascii="Times New Roman" w:hAnsi="Times New Roman" w:cs="Times New Roman"/>
                      <w:color w:val="auto"/>
                      <w:sz w:val="21"/>
                      <w:szCs w:val="21"/>
                      <w:vertAlign w:val="superscript"/>
                      <w:lang w:val="en-US" w:eastAsia="zh-CN"/>
                    </w:rPr>
                    <w:t>-</w:t>
                  </w:r>
                  <w:r>
                    <w:rPr>
                      <w:rFonts w:hint="eastAsia" w:cs="Times New Roman"/>
                      <w:color w:val="auto"/>
                      <w:sz w:val="21"/>
                      <w:szCs w:val="21"/>
                      <w:vertAlign w:val="superscript"/>
                      <w:lang w:val="en-US" w:eastAsia="zh-CN"/>
                    </w:rPr>
                    <w:t>5</w:t>
                  </w:r>
                </w:p>
              </w:tc>
              <w:tc>
                <w:tcPr>
                  <w:tcW w:w="326" w:type="pct"/>
                  <w:vAlign w:val="center"/>
                </w:tcPr>
                <w:p>
                  <w:pPr>
                    <w:pStyle w:val="11"/>
                    <w:bidi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573" w:type="pct"/>
                  <w:vMerge w:val="continue"/>
                  <w:vAlign w:val="center"/>
                </w:tcPr>
                <w:p>
                  <w:pPr>
                    <w:pStyle w:val="11"/>
                    <w:bidi w:val="0"/>
                    <w:jc w:val="center"/>
                    <w:rPr>
                      <w:rFonts w:hint="default" w:ascii="Times New Roman" w:hAnsi="Times New Roman" w:cs="Times New Roman"/>
                      <w:color w:val="auto"/>
                      <w:sz w:val="21"/>
                      <w:szCs w:val="21"/>
                    </w:rPr>
                  </w:pPr>
                </w:p>
              </w:tc>
              <w:tc>
                <w:tcPr>
                  <w:tcW w:w="290" w:type="pct"/>
                  <w:vAlign w:val="center"/>
                </w:tcPr>
                <w:p>
                  <w:pPr>
                    <w:pStyle w:val="11"/>
                    <w:bidi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339" w:type="pct"/>
                  <w:vAlign w:val="center"/>
                </w:tcPr>
                <w:p>
                  <w:pPr>
                    <w:pStyle w:val="11"/>
                    <w:bidi w:val="0"/>
                    <w:ind w:firstLine="0" w:firstLineChars="0"/>
                    <w:jc w:val="center"/>
                    <w:rPr>
                      <w:rFonts w:hint="default" w:ascii="Times New Roman" w:hAnsi="Times New Roman" w:eastAsia="宋体" w:cs="Times New Roman"/>
                      <w:color w:val="auto"/>
                      <w:kern w:val="44"/>
                      <w:sz w:val="21"/>
                      <w:szCs w:val="21"/>
                      <w:lang w:val="en-US" w:eastAsia="zh-CN" w:bidi="ar-SA"/>
                    </w:rPr>
                  </w:pPr>
                  <w:r>
                    <w:rPr>
                      <w:rFonts w:hint="eastAsia" w:cs="Times New Roman"/>
                      <w:color w:val="auto"/>
                      <w:sz w:val="21"/>
                      <w:szCs w:val="21"/>
                      <w:lang w:val="en-US" w:eastAsia="zh-CN"/>
                    </w:rPr>
                    <w:t>0.0327</w:t>
                  </w:r>
                </w:p>
              </w:tc>
              <w:tc>
                <w:tcPr>
                  <w:tcW w:w="342" w:type="pct"/>
                  <w:vAlign w:val="center"/>
                </w:tcPr>
                <w:p>
                  <w:pPr>
                    <w:pStyle w:val="11"/>
                    <w:bidi w:val="0"/>
                    <w:ind w:firstLine="0" w:firstLineChars="0"/>
                    <w:jc w:val="center"/>
                    <w:rPr>
                      <w:rFonts w:hint="default" w:ascii="Times New Roman" w:hAnsi="Times New Roman" w:eastAsia="宋体" w:cs="Times New Roman"/>
                      <w:color w:val="auto"/>
                      <w:kern w:val="44"/>
                      <w:sz w:val="21"/>
                      <w:szCs w:val="21"/>
                      <w:lang w:val="en-US" w:eastAsia="zh-CN" w:bidi="ar-SA"/>
                    </w:rPr>
                  </w:pPr>
                  <w:r>
                    <w:rPr>
                      <w:rFonts w:hint="default" w:ascii="Times New Roman" w:hAnsi="Times New Roman" w:cs="Times New Roman"/>
                      <w:color w:val="auto"/>
                      <w:sz w:val="21"/>
                      <w:szCs w:val="21"/>
                    </w:rPr>
                    <w:t>/</w:t>
                  </w:r>
                </w:p>
              </w:tc>
              <w:tc>
                <w:tcPr>
                  <w:tcW w:w="360" w:type="pct"/>
                  <w:vAlign w:val="center"/>
                </w:tcPr>
                <w:p>
                  <w:pPr>
                    <w:pStyle w:val="11"/>
                    <w:bidi w:val="0"/>
                    <w:ind w:firstLine="0" w:firstLineChars="0"/>
                    <w:jc w:val="center"/>
                    <w:rPr>
                      <w:rFonts w:hint="default" w:ascii="Times New Roman" w:hAnsi="Times New Roman" w:eastAsia="宋体" w:cs="Times New Roman"/>
                      <w:color w:val="auto"/>
                      <w:kern w:val="44"/>
                      <w:sz w:val="21"/>
                      <w:szCs w:val="21"/>
                      <w:lang w:val="en-US" w:eastAsia="zh-CN" w:bidi="ar-SA"/>
                    </w:rPr>
                  </w:pPr>
                  <w:r>
                    <w:rPr>
                      <w:rFonts w:hint="eastAsia" w:cs="Times New Roman"/>
                      <w:color w:val="auto"/>
                      <w:sz w:val="21"/>
                      <w:szCs w:val="21"/>
                      <w:lang w:val="en-US" w:eastAsia="zh-CN"/>
                    </w:rPr>
                    <w:t>1.57</w:t>
                  </w:r>
                  <w:r>
                    <w:rPr>
                      <w:rFonts w:hint="default" w:ascii="Times New Roman" w:hAnsi="Times New Roman" w:cs="Times New Roman"/>
                      <w:color w:val="auto"/>
                      <w:sz w:val="21"/>
                      <w:szCs w:val="21"/>
                      <w:lang w:val="en-US" w:eastAsia="zh-CN"/>
                    </w:rPr>
                    <w:t>×10</w:t>
                  </w:r>
                  <w:r>
                    <w:rPr>
                      <w:rFonts w:hint="default" w:ascii="Times New Roman" w:hAnsi="Times New Roman" w:cs="Times New Roman"/>
                      <w:color w:val="auto"/>
                      <w:sz w:val="21"/>
                      <w:szCs w:val="21"/>
                      <w:vertAlign w:val="superscript"/>
                      <w:lang w:val="en-US" w:eastAsia="zh-CN"/>
                    </w:rPr>
                    <w:t>-</w:t>
                  </w:r>
                  <w:r>
                    <w:rPr>
                      <w:rFonts w:hint="eastAsia" w:cs="Times New Roman"/>
                      <w:color w:val="auto"/>
                      <w:sz w:val="21"/>
                      <w:szCs w:val="21"/>
                      <w:vertAlign w:val="superscript"/>
                      <w:lang w:val="en-US" w:eastAsia="zh-CN"/>
                    </w:rPr>
                    <w:t>5</w:t>
                  </w:r>
                </w:p>
              </w:tc>
              <w:tc>
                <w:tcPr>
                  <w:tcW w:w="221" w:type="pct"/>
                  <w:vAlign w:val="center"/>
                </w:tcPr>
                <w:p>
                  <w:pPr>
                    <w:pStyle w:val="11"/>
                    <w:bidi w:val="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2080</w:t>
                  </w:r>
                </w:p>
              </w:tc>
            </w:tr>
          </w:tbl>
          <w:p>
            <w:pPr>
              <w:pStyle w:val="12"/>
              <w:widowControl w:val="0"/>
              <w:bidi w:val="0"/>
            </w:pPr>
            <w:r>
              <w:t xml:space="preserve">表4-2 </w:t>
            </w:r>
            <w:r>
              <w:rPr>
                <w:rFonts w:hint="eastAsia"/>
                <w:lang w:val="en-US" w:eastAsia="zh-CN"/>
              </w:rPr>
              <w:t xml:space="preserve"> </w:t>
            </w:r>
            <w:r>
              <w:t xml:space="preserve"> 本工程废气达标分析一览表</w:t>
            </w:r>
          </w:p>
          <w:tbl>
            <w:tblPr>
              <w:tblStyle w:val="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30"/>
              <w:gridCol w:w="749"/>
              <w:gridCol w:w="812"/>
              <w:gridCol w:w="878"/>
              <w:gridCol w:w="870"/>
              <w:gridCol w:w="617"/>
              <w:gridCol w:w="799"/>
              <w:gridCol w:w="764"/>
              <w:gridCol w:w="632"/>
              <w:gridCol w:w="728"/>
              <w:gridCol w:w="54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25" w:hRule="atLeast"/>
                <w:jc w:val="center"/>
              </w:trPr>
              <w:tc>
                <w:tcPr>
                  <w:tcW w:w="130" w:type="pct"/>
                  <w:vMerge w:val="restart"/>
                  <w:vAlign w:val="center"/>
                </w:tcPr>
                <w:p>
                  <w:pPr>
                    <w:pStyle w:val="11"/>
                    <w:bidi w:val="0"/>
                  </w:pPr>
                  <w:r>
                    <w:t>序号</w:t>
                  </w:r>
                </w:p>
              </w:tc>
              <w:tc>
                <w:tcPr>
                  <w:tcW w:w="295" w:type="pct"/>
                  <w:vMerge w:val="restart"/>
                  <w:vAlign w:val="center"/>
                </w:tcPr>
                <w:p>
                  <w:pPr>
                    <w:pStyle w:val="11"/>
                    <w:bidi w:val="0"/>
                  </w:pPr>
                  <w:r>
                    <w:t>污染源</w:t>
                  </w:r>
                </w:p>
              </w:tc>
              <w:tc>
                <w:tcPr>
                  <w:tcW w:w="320" w:type="pct"/>
                  <w:vMerge w:val="restart"/>
                  <w:vAlign w:val="center"/>
                </w:tcPr>
                <w:p>
                  <w:pPr>
                    <w:pStyle w:val="11"/>
                    <w:bidi w:val="0"/>
                  </w:pPr>
                  <w:r>
                    <w:t>主要</w:t>
                  </w:r>
                </w:p>
                <w:p>
                  <w:pPr>
                    <w:pStyle w:val="11"/>
                    <w:bidi w:val="0"/>
                  </w:pPr>
                  <w:r>
                    <w:t>污染物</w:t>
                  </w:r>
                </w:p>
              </w:tc>
              <w:tc>
                <w:tcPr>
                  <w:tcW w:w="932" w:type="pct"/>
                  <w:gridSpan w:val="3"/>
                  <w:vAlign w:val="center"/>
                </w:tcPr>
                <w:p>
                  <w:pPr>
                    <w:pStyle w:val="11"/>
                    <w:bidi w:val="0"/>
                  </w:pPr>
                  <w:r>
                    <w:t>污染物排放情况</w:t>
                  </w:r>
                </w:p>
              </w:tc>
              <w:tc>
                <w:tcPr>
                  <w:tcW w:w="865" w:type="pct"/>
                  <w:gridSpan w:val="3"/>
                  <w:vAlign w:val="center"/>
                </w:tcPr>
                <w:p>
                  <w:pPr>
                    <w:pStyle w:val="11"/>
                    <w:bidi w:val="0"/>
                  </w:pPr>
                  <w:r>
                    <w:t>排放标准限值</w:t>
                  </w:r>
                </w:p>
              </w:tc>
              <w:tc>
                <w:tcPr>
                  <w:tcW w:w="287" w:type="pct"/>
                  <w:vMerge w:val="restart"/>
                  <w:vAlign w:val="center"/>
                </w:tcPr>
                <w:p>
                  <w:pPr>
                    <w:pStyle w:val="11"/>
                    <w:bidi w:val="0"/>
                  </w:pPr>
                  <w:r>
                    <w:t>达标</w:t>
                  </w:r>
                </w:p>
                <w:p>
                  <w:pPr>
                    <w:pStyle w:val="11"/>
                    <w:bidi w:val="0"/>
                  </w:pPr>
                  <w:r>
                    <w:t>情况</w:t>
                  </w:r>
                </w:p>
              </w:tc>
              <w:tc>
                <w:tcPr>
                  <w:tcW w:w="2168" w:type="pct"/>
                  <w:vMerge w:val="restart"/>
                  <w:vAlign w:val="center"/>
                </w:tcPr>
                <w:p>
                  <w:pPr>
                    <w:pStyle w:val="11"/>
                    <w:bidi w:val="0"/>
                  </w:pPr>
                  <w:r>
                    <w:t>执行标准名称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130" w:type="pct"/>
                  <w:vMerge w:val="continue"/>
                  <w:vAlign w:val="center"/>
                </w:tcPr>
                <w:p>
                  <w:pPr>
                    <w:pStyle w:val="11"/>
                    <w:bidi w:val="0"/>
                  </w:pPr>
                </w:p>
              </w:tc>
              <w:tc>
                <w:tcPr>
                  <w:tcW w:w="295" w:type="pct"/>
                  <w:vMerge w:val="continue"/>
                  <w:vAlign w:val="center"/>
                </w:tcPr>
                <w:p>
                  <w:pPr>
                    <w:pStyle w:val="11"/>
                    <w:bidi w:val="0"/>
                  </w:pPr>
                </w:p>
              </w:tc>
              <w:tc>
                <w:tcPr>
                  <w:tcW w:w="320" w:type="pct"/>
                  <w:vMerge w:val="continue"/>
                  <w:vAlign w:val="center"/>
                </w:tcPr>
                <w:p>
                  <w:pPr>
                    <w:pStyle w:val="11"/>
                    <w:bidi w:val="0"/>
                  </w:pPr>
                </w:p>
              </w:tc>
              <w:tc>
                <w:tcPr>
                  <w:tcW w:w="346" w:type="pct"/>
                  <w:vAlign w:val="center"/>
                </w:tcPr>
                <w:p>
                  <w:pPr>
                    <w:pStyle w:val="11"/>
                    <w:bidi w:val="0"/>
                  </w:pPr>
                  <w:r>
                    <w:t>排放</w:t>
                  </w:r>
                </w:p>
                <w:p>
                  <w:pPr>
                    <w:pStyle w:val="11"/>
                    <w:bidi w:val="0"/>
                  </w:pPr>
                  <w:r>
                    <w:t>浓度</w:t>
                  </w:r>
                </w:p>
              </w:tc>
              <w:tc>
                <w:tcPr>
                  <w:tcW w:w="343" w:type="pct"/>
                  <w:vAlign w:val="center"/>
                </w:tcPr>
                <w:p>
                  <w:pPr>
                    <w:pStyle w:val="11"/>
                    <w:bidi w:val="0"/>
                  </w:pPr>
                  <w:r>
                    <w:t>排放</w:t>
                  </w:r>
                </w:p>
                <w:p>
                  <w:pPr>
                    <w:pStyle w:val="11"/>
                    <w:bidi w:val="0"/>
                  </w:pPr>
                  <w:r>
                    <w:t>速率</w:t>
                  </w:r>
                </w:p>
              </w:tc>
              <w:tc>
                <w:tcPr>
                  <w:tcW w:w="243" w:type="pct"/>
                  <w:vAlign w:val="center"/>
                </w:tcPr>
                <w:p>
                  <w:pPr>
                    <w:pStyle w:val="11"/>
                    <w:bidi w:val="0"/>
                  </w:pPr>
                  <w:r>
                    <w:t>处理</w:t>
                  </w:r>
                </w:p>
                <w:p>
                  <w:pPr>
                    <w:pStyle w:val="11"/>
                    <w:bidi w:val="0"/>
                  </w:pPr>
                  <w:r>
                    <w:t>效率</w:t>
                  </w:r>
                </w:p>
              </w:tc>
              <w:tc>
                <w:tcPr>
                  <w:tcW w:w="315" w:type="pct"/>
                  <w:vAlign w:val="center"/>
                </w:tcPr>
                <w:p>
                  <w:pPr>
                    <w:pStyle w:val="11"/>
                    <w:bidi w:val="0"/>
                  </w:pPr>
                  <w:r>
                    <w:t>排放浓</w:t>
                  </w:r>
                </w:p>
                <w:p>
                  <w:pPr>
                    <w:pStyle w:val="11"/>
                    <w:bidi w:val="0"/>
                  </w:pPr>
                  <w:r>
                    <w:t>度限值</w:t>
                  </w:r>
                </w:p>
              </w:tc>
              <w:tc>
                <w:tcPr>
                  <w:tcW w:w="301" w:type="pct"/>
                  <w:vAlign w:val="center"/>
                </w:tcPr>
                <w:p>
                  <w:pPr>
                    <w:pStyle w:val="11"/>
                    <w:bidi w:val="0"/>
                  </w:pPr>
                  <w:r>
                    <w:t>排放速</w:t>
                  </w:r>
                </w:p>
                <w:p>
                  <w:pPr>
                    <w:pStyle w:val="11"/>
                    <w:bidi w:val="0"/>
                  </w:pPr>
                  <w:r>
                    <w:t>率限值</w:t>
                  </w:r>
                </w:p>
              </w:tc>
              <w:tc>
                <w:tcPr>
                  <w:tcW w:w="249" w:type="pct"/>
                  <w:vAlign w:val="center"/>
                </w:tcPr>
                <w:p>
                  <w:pPr>
                    <w:pStyle w:val="11"/>
                    <w:bidi w:val="0"/>
                  </w:pPr>
                  <w:r>
                    <w:t>处理</w:t>
                  </w:r>
                </w:p>
                <w:p>
                  <w:pPr>
                    <w:pStyle w:val="11"/>
                    <w:bidi w:val="0"/>
                  </w:pPr>
                  <w:r>
                    <w:t>效率</w:t>
                  </w:r>
                </w:p>
              </w:tc>
              <w:tc>
                <w:tcPr>
                  <w:tcW w:w="287" w:type="pct"/>
                  <w:vMerge w:val="continue"/>
                  <w:vAlign w:val="center"/>
                </w:tcPr>
                <w:p>
                  <w:pPr>
                    <w:pStyle w:val="11"/>
                    <w:bidi w:val="0"/>
                  </w:pPr>
                </w:p>
              </w:tc>
              <w:tc>
                <w:tcPr>
                  <w:tcW w:w="2168" w:type="pct"/>
                  <w:vMerge w:val="continue"/>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30" w:type="pct"/>
                  <w:vMerge w:val="continue"/>
                  <w:vAlign w:val="center"/>
                </w:tcPr>
                <w:p>
                  <w:pPr>
                    <w:pStyle w:val="11"/>
                    <w:bidi w:val="0"/>
                  </w:pPr>
                </w:p>
              </w:tc>
              <w:tc>
                <w:tcPr>
                  <w:tcW w:w="295" w:type="pct"/>
                  <w:vMerge w:val="continue"/>
                  <w:vAlign w:val="center"/>
                </w:tcPr>
                <w:p>
                  <w:pPr>
                    <w:pStyle w:val="11"/>
                    <w:bidi w:val="0"/>
                  </w:pPr>
                </w:p>
              </w:tc>
              <w:tc>
                <w:tcPr>
                  <w:tcW w:w="320" w:type="pct"/>
                  <w:vMerge w:val="continue"/>
                  <w:vAlign w:val="center"/>
                </w:tcPr>
                <w:p>
                  <w:pPr>
                    <w:pStyle w:val="11"/>
                    <w:bidi w:val="0"/>
                  </w:pPr>
                </w:p>
              </w:tc>
              <w:tc>
                <w:tcPr>
                  <w:tcW w:w="346" w:type="pct"/>
                  <w:vAlign w:val="center"/>
                </w:tcPr>
                <w:p>
                  <w:pPr>
                    <w:pStyle w:val="11"/>
                    <w:bidi w:val="0"/>
                  </w:pPr>
                  <w:r>
                    <w:t>mg/m</w:t>
                  </w:r>
                  <w:r>
                    <w:rPr>
                      <w:vertAlign w:val="superscript"/>
                    </w:rPr>
                    <w:t>3</w:t>
                  </w:r>
                </w:p>
              </w:tc>
              <w:tc>
                <w:tcPr>
                  <w:tcW w:w="343" w:type="pct"/>
                  <w:vAlign w:val="center"/>
                </w:tcPr>
                <w:p>
                  <w:pPr>
                    <w:pStyle w:val="11"/>
                    <w:bidi w:val="0"/>
                  </w:pPr>
                  <w:r>
                    <w:t>kg/h</w:t>
                  </w:r>
                </w:p>
              </w:tc>
              <w:tc>
                <w:tcPr>
                  <w:tcW w:w="243" w:type="pct"/>
                  <w:vAlign w:val="center"/>
                </w:tcPr>
                <w:p>
                  <w:pPr>
                    <w:pStyle w:val="11"/>
                    <w:bidi w:val="0"/>
                  </w:pPr>
                  <w:r>
                    <w:t>%</w:t>
                  </w:r>
                </w:p>
              </w:tc>
              <w:tc>
                <w:tcPr>
                  <w:tcW w:w="315" w:type="pct"/>
                  <w:vAlign w:val="center"/>
                </w:tcPr>
                <w:p>
                  <w:pPr>
                    <w:pStyle w:val="11"/>
                    <w:bidi w:val="0"/>
                  </w:pPr>
                  <w:r>
                    <w:t>mg/m</w:t>
                  </w:r>
                  <w:r>
                    <w:rPr>
                      <w:vertAlign w:val="superscript"/>
                    </w:rPr>
                    <w:t>3</w:t>
                  </w:r>
                </w:p>
              </w:tc>
              <w:tc>
                <w:tcPr>
                  <w:tcW w:w="301" w:type="pct"/>
                  <w:vAlign w:val="center"/>
                </w:tcPr>
                <w:p>
                  <w:pPr>
                    <w:pStyle w:val="11"/>
                    <w:bidi w:val="0"/>
                  </w:pPr>
                  <w:r>
                    <w:t>kg/h</w:t>
                  </w:r>
                </w:p>
              </w:tc>
              <w:tc>
                <w:tcPr>
                  <w:tcW w:w="249" w:type="pct"/>
                  <w:vAlign w:val="center"/>
                </w:tcPr>
                <w:p>
                  <w:pPr>
                    <w:pStyle w:val="11"/>
                    <w:bidi w:val="0"/>
                  </w:pPr>
                  <w:r>
                    <w:t>%</w:t>
                  </w:r>
                </w:p>
              </w:tc>
              <w:tc>
                <w:tcPr>
                  <w:tcW w:w="287" w:type="pct"/>
                  <w:vMerge w:val="continue"/>
                  <w:vAlign w:val="center"/>
                </w:tcPr>
                <w:p>
                  <w:pPr>
                    <w:pStyle w:val="11"/>
                    <w:bidi w:val="0"/>
                  </w:pPr>
                </w:p>
              </w:tc>
              <w:tc>
                <w:tcPr>
                  <w:tcW w:w="2168" w:type="pct"/>
                  <w:vMerge w:val="continue"/>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0" w:hRule="atLeast"/>
                <w:jc w:val="center"/>
              </w:trPr>
              <w:tc>
                <w:tcPr>
                  <w:tcW w:w="130" w:type="pct"/>
                  <w:vMerge w:val="restart"/>
                  <w:vAlign w:val="center"/>
                </w:tcPr>
                <w:p>
                  <w:pPr>
                    <w:pStyle w:val="11"/>
                    <w:bidi w:val="0"/>
                  </w:pPr>
                  <w:r>
                    <w:t>1</w:t>
                  </w:r>
                </w:p>
              </w:tc>
              <w:tc>
                <w:tcPr>
                  <w:tcW w:w="295" w:type="pct"/>
                  <w:vMerge w:val="restart"/>
                  <w:vAlign w:val="center"/>
                </w:tcPr>
                <w:p>
                  <w:pPr>
                    <w:pStyle w:val="11"/>
                    <w:bidi w:val="0"/>
                    <w:ind w:firstLine="0" w:firstLineChars="0"/>
                  </w:pPr>
                  <w:r>
                    <w:t>1#排</w:t>
                  </w:r>
                </w:p>
                <w:p>
                  <w:pPr>
                    <w:pStyle w:val="11"/>
                    <w:bidi w:val="0"/>
                    <w:ind w:firstLine="0" w:firstLineChars="0"/>
                    <w:rPr>
                      <w:rFonts w:ascii="Times New Roman" w:hAnsi="Times New Roman" w:eastAsia="宋体" w:cs="Times New Roman"/>
                      <w:kern w:val="44"/>
                      <w:sz w:val="21"/>
                      <w:szCs w:val="22"/>
                      <w:lang w:val="en-US" w:eastAsia="zh-CN" w:bidi="ar-SA"/>
                    </w:rPr>
                  </w:pPr>
                  <w:r>
                    <w:t>气筒</w:t>
                  </w:r>
                </w:p>
              </w:tc>
              <w:tc>
                <w:tcPr>
                  <w:tcW w:w="320" w:type="pct"/>
                  <w:vAlign w:val="center"/>
                </w:tcPr>
                <w:p>
                  <w:pPr>
                    <w:pStyle w:val="11"/>
                    <w:bidi w:val="0"/>
                    <w:ind w:firstLine="0" w:firstLineChars="0"/>
                    <w:rPr>
                      <w:rFonts w:ascii="Times New Roman" w:hAnsi="Times New Roman" w:eastAsia="宋体" w:cs="Times New Roman"/>
                      <w:kern w:val="44"/>
                      <w:sz w:val="21"/>
                      <w:szCs w:val="22"/>
                      <w:lang w:val="en-US" w:eastAsia="zh-CN" w:bidi="ar-SA"/>
                    </w:rPr>
                  </w:pPr>
                  <w:r>
                    <w:t>颗粒物</w:t>
                  </w:r>
                </w:p>
              </w:tc>
              <w:tc>
                <w:tcPr>
                  <w:tcW w:w="346"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eastAsia" w:cs="Times New Roman"/>
                      <w:sz w:val="21"/>
                      <w:szCs w:val="21"/>
                      <w:lang w:val="en-US" w:eastAsia="zh-CN"/>
                    </w:rPr>
                    <w:t>4.5433</w:t>
                  </w:r>
                </w:p>
              </w:tc>
              <w:tc>
                <w:tcPr>
                  <w:tcW w:w="343"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eastAsia" w:cs="Times New Roman"/>
                      <w:sz w:val="21"/>
                      <w:szCs w:val="21"/>
                      <w:lang w:val="en-US" w:eastAsia="zh-CN"/>
                    </w:rPr>
                    <w:t>0.0273</w:t>
                  </w:r>
                </w:p>
              </w:tc>
              <w:tc>
                <w:tcPr>
                  <w:tcW w:w="243" w:type="pct"/>
                  <w:vAlign w:val="center"/>
                </w:tcPr>
                <w:p>
                  <w:pPr>
                    <w:pStyle w:val="11"/>
                    <w:bidi w:val="0"/>
                    <w:ind w:firstLine="0" w:firstLineChars="0"/>
                    <w:rPr>
                      <w:rFonts w:ascii="Times New Roman" w:hAnsi="Times New Roman" w:eastAsia="宋体" w:cs="Times New Roman"/>
                      <w:kern w:val="44"/>
                      <w:sz w:val="21"/>
                      <w:szCs w:val="22"/>
                      <w:lang w:val="en-US" w:eastAsia="zh-CN" w:bidi="ar-SA"/>
                    </w:rPr>
                  </w:pPr>
                  <w:r>
                    <w:t>95</w:t>
                  </w:r>
                </w:p>
              </w:tc>
              <w:tc>
                <w:tcPr>
                  <w:tcW w:w="315" w:type="pct"/>
                  <w:vAlign w:val="center"/>
                </w:tcPr>
                <w:p>
                  <w:pPr>
                    <w:pStyle w:val="11"/>
                    <w:bidi w:val="0"/>
                    <w:ind w:firstLine="0" w:firstLineChars="0"/>
                    <w:rPr>
                      <w:rFonts w:ascii="Times New Roman" w:hAnsi="Times New Roman" w:eastAsia="宋体" w:cs="Times New Roman"/>
                      <w:kern w:val="44"/>
                      <w:sz w:val="21"/>
                      <w:szCs w:val="22"/>
                      <w:lang w:val="en-US" w:eastAsia="zh-CN" w:bidi="ar-SA"/>
                    </w:rPr>
                  </w:pPr>
                  <w:r>
                    <w:t>12</w:t>
                  </w:r>
                </w:p>
              </w:tc>
              <w:tc>
                <w:tcPr>
                  <w:tcW w:w="301" w:type="pct"/>
                  <w:vAlign w:val="center"/>
                </w:tcPr>
                <w:p>
                  <w:pPr>
                    <w:pStyle w:val="11"/>
                    <w:bidi w:val="0"/>
                    <w:ind w:firstLine="0" w:firstLineChars="0"/>
                    <w:rPr>
                      <w:rFonts w:hint="eastAsia" w:ascii="Times New Roman" w:hAnsi="Times New Roman" w:eastAsia="宋体" w:cs="Times New Roman"/>
                      <w:kern w:val="44"/>
                      <w:sz w:val="21"/>
                      <w:szCs w:val="22"/>
                      <w:lang w:val="en-US" w:eastAsia="zh-CN" w:bidi="ar-SA"/>
                    </w:rPr>
                  </w:pPr>
                  <w:r>
                    <w:rPr>
                      <w:rFonts w:hint="eastAsia"/>
                      <w:lang w:val="en-US" w:eastAsia="zh-CN"/>
                    </w:rPr>
                    <w:t>/</w:t>
                  </w:r>
                </w:p>
              </w:tc>
              <w:tc>
                <w:tcPr>
                  <w:tcW w:w="249" w:type="pct"/>
                  <w:vAlign w:val="center"/>
                </w:tcPr>
                <w:p>
                  <w:pPr>
                    <w:pStyle w:val="11"/>
                    <w:bidi w:val="0"/>
                    <w:ind w:firstLine="0" w:firstLineChars="0"/>
                    <w:rPr>
                      <w:rFonts w:ascii="Times New Roman" w:hAnsi="Times New Roman" w:eastAsia="宋体" w:cs="Times New Roman"/>
                      <w:kern w:val="44"/>
                      <w:sz w:val="21"/>
                      <w:szCs w:val="22"/>
                      <w:lang w:val="en-US" w:eastAsia="zh-CN" w:bidi="ar-SA"/>
                    </w:rPr>
                  </w:pPr>
                  <w:r>
                    <w:t>/</w:t>
                  </w:r>
                </w:p>
              </w:tc>
              <w:tc>
                <w:tcPr>
                  <w:tcW w:w="287" w:type="pct"/>
                  <w:vAlign w:val="center"/>
                </w:tcPr>
                <w:p>
                  <w:pPr>
                    <w:pStyle w:val="11"/>
                    <w:bidi w:val="0"/>
                    <w:ind w:firstLine="0" w:firstLineChars="0"/>
                    <w:rPr>
                      <w:rFonts w:ascii="Times New Roman" w:hAnsi="Times New Roman" w:eastAsia="宋体" w:cs="Times New Roman"/>
                      <w:kern w:val="44"/>
                      <w:sz w:val="21"/>
                      <w:szCs w:val="22"/>
                      <w:lang w:val="en-US" w:eastAsia="zh-CN" w:bidi="ar-SA"/>
                    </w:rPr>
                  </w:pPr>
                  <w:r>
                    <w:t>达标</w:t>
                  </w:r>
                </w:p>
              </w:tc>
              <w:tc>
                <w:tcPr>
                  <w:tcW w:w="2168" w:type="pct"/>
                  <w:vAlign w:val="center"/>
                </w:tcPr>
                <w:p>
                  <w:pPr>
                    <w:pStyle w:val="11"/>
                    <w:bidi w:val="0"/>
                    <w:ind w:firstLine="0" w:firstLineChars="0"/>
                    <w:rPr>
                      <w:rFonts w:ascii="Times New Roman" w:hAnsi="Times New Roman" w:eastAsia="宋体" w:cs="Times New Roman"/>
                      <w:kern w:val="44"/>
                      <w:sz w:val="21"/>
                      <w:szCs w:val="22"/>
                      <w:lang w:val="en-US" w:eastAsia="zh-CN" w:bidi="ar-SA"/>
                    </w:rPr>
                  </w:pPr>
                  <w:r>
                    <w:rPr>
                      <w:rFonts w:hint="eastAsia"/>
                    </w:rPr>
                    <w:t>《橡胶制品工业污染物排放标准》（GB 27632-2011）</w:t>
                  </w:r>
                  <w:r>
                    <w:rPr>
                      <w:rFonts w:hint="eastAsia"/>
                      <w:lang w:val="en-US" w:eastAsia="zh-CN"/>
                    </w:rPr>
                    <w:t>表5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3" w:hRule="atLeast"/>
                <w:jc w:val="center"/>
              </w:trPr>
              <w:tc>
                <w:tcPr>
                  <w:tcW w:w="130" w:type="pct"/>
                  <w:vMerge w:val="continue"/>
                  <w:vAlign w:val="center"/>
                </w:tcPr>
                <w:p>
                  <w:pPr>
                    <w:pStyle w:val="11"/>
                    <w:bidi w:val="0"/>
                    <w:rPr>
                      <w:rFonts w:hint="eastAsia" w:eastAsia="宋体"/>
                      <w:lang w:val="en-US" w:eastAsia="zh-CN"/>
                    </w:rPr>
                  </w:pPr>
                </w:p>
              </w:tc>
              <w:tc>
                <w:tcPr>
                  <w:tcW w:w="295" w:type="pct"/>
                  <w:vMerge w:val="continue"/>
                  <w:vAlign w:val="center"/>
                </w:tcPr>
                <w:p>
                  <w:pPr>
                    <w:pStyle w:val="11"/>
                    <w:bidi w:val="0"/>
                  </w:pPr>
                </w:p>
              </w:tc>
              <w:tc>
                <w:tcPr>
                  <w:tcW w:w="320" w:type="pct"/>
                  <w:vAlign w:val="center"/>
                </w:tcPr>
                <w:p>
                  <w:pPr>
                    <w:pStyle w:val="11"/>
                    <w:bidi w:val="0"/>
                    <w:rPr>
                      <w:rFonts w:hint="eastAsia" w:eastAsia="宋体"/>
                      <w:lang w:val="en-US" w:eastAsia="zh-CN"/>
                    </w:rPr>
                  </w:pPr>
                  <w:r>
                    <w:rPr>
                      <w:rFonts w:hint="eastAsia"/>
                      <w:lang w:val="en-US" w:eastAsia="zh-CN"/>
                    </w:rPr>
                    <w:t>硫化氢</w:t>
                  </w:r>
                </w:p>
              </w:tc>
              <w:tc>
                <w:tcPr>
                  <w:tcW w:w="346"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eastAsia" w:cs="Times New Roman"/>
                      <w:sz w:val="21"/>
                      <w:szCs w:val="21"/>
                      <w:lang w:val="en-US" w:eastAsia="zh-CN"/>
                    </w:rPr>
                    <w:t>1.82</w:t>
                  </w:r>
                  <w:r>
                    <w:rPr>
                      <w:rFonts w:hint="default" w:ascii="Times New Roman" w:hAnsi="Times New Roman" w:cs="Times New Roman"/>
                      <w:sz w:val="21"/>
                      <w:szCs w:val="21"/>
                      <w:lang w:val="en-US" w:eastAsia="zh-CN"/>
                    </w:rPr>
                    <w:t>×10</w:t>
                  </w:r>
                  <w:r>
                    <w:rPr>
                      <w:rFonts w:hint="default" w:ascii="Times New Roman" w:hAnsi="Times New Roman" w:cs="Times New Roman"/>
                      <w:sz w:val="21"/>
                      <w:szCs w:val="21"/>
                      <w:vertAlign w:val="superscript"/>
                      <w:lang w:val="en-US" w:eastAsia="zh-CN"/>
                    </w:rPr>
                    <w:t>-4</w:t>
                  </w:r>
                </w:p>
              </w:tc>
              <w:tc>
                <w:tcPr>
                  <w:tcW w:w="343"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eastAsia" w:cs="Times New Roman"/>
                      <w:sz w:val="21"/>
                      <w:szCs w:val="21"/>
                      <w:lang w:val="en-US" w:eastAsia="zh-CN"/>
                    </w:rPr>
                    <w:t>1.09</w:t>
                  </w:r>
                  <w:r>
                    <w:rPr>
                      <w:rFonts w:hint="default" w:ascii="Times New Roman" w:hAnsi="Times New Roman" w:cs="Times New Roman"/>
                      <w:sz w:val="21"/>
                      <w:szCs w:val="21"/>
                      <w:lang w:val="en-US" w:eastAsia="zh-CN"/>
                    </w:rPr>
                    <w:t>×10</w:t>
                  </w:r>
                  <w:r>
                    <w:rPr>
                      <w:rFonts w:hint="default" w:ascii="Times New Roman" w:hAnsi="Times New Roman" w:cs="Times New Roman"/>
                      <w:sz w:val="21"/>
                      <w:szCs w:val="21"/>
                      <w:vertAlign w:val="superscript"/>
                      <w:lang w:val="en-US" w:eastAsia="zh-CN"/>
                    </w:rPr>
                    <w:t>-6</w:t>
                  </w:r>
                </w:p>
              </w:tc>
              <w:tc>
                <w:tcPr>
                  <w:tcW w:w="243"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85</w:t>
                  </w:r>
                </w:p>
              </w:tc>
              <w:tc>
                <w:tcPr>
                  <w:tcW w:w="315" w:type="pct"/>
                  <w:vAlign w:val="center"/>
                </w:tcPr>
                <w:p>
                  <w:pPr>
                    <w:pStyle w:val="11"/>
                    <w:bidi w:val="0"/>
                    <w:rPr>
                      <w:rFonts w:hint="eastAsia" w:eastAsia="宋体"/>
                      <w:lang w:val="en-US" w:eastAsia="zh-CN"/>
                    </w:rPr>
                  </w:pPr>
                  <w:r>
                    <w:rPr>
                      <w:rFonts w:hint="eastAsia"/>
                      <w:lang w:val="en-US" w:eastAsia="zh-CN"/>
                    </w:rPr>
                    <w:t>/</w:t>
                  </w:r>
                </w:p>
              </w:tc>
              <w:tc>
                <w:tcPr>
                  <w:tcW w:w="301" w:type="pct"/>
                  <w:vAlign w:val="center"/>
                </w:tcPr>
                <w:p>
                  <w:pPr>
                    <w:pStyle w:val="11"/>
                    <w:bidi w:val="0"/>
                    <w:rPr>
                      <w:rFonts w:hint="default" w:eastAsia="宋体"/>
                      <w:lang w:val="en-US" w:eastAsia="zh-CN"/>
                    </w:rPr>
                  </w:pPr>
                  <w:r>
                    <w:rPr>
                      <w:rFonts w:hint="eastAsia"/>
                      <w:lang w:val="en-US" w:eastAsia="zh-CN"/>
                    </w:rPr>
                    <w:t>0.33</w:t>
                  </w:r>
                </w:p>
              </w:tc>
              <w:tc>
                <w:tcPr>
                  <w:tcW w:w="249" w:type="pct"/>
                  <w:vAlign w:val="center"/>
                </w:tcPr>
                <w:p>
                  <w:pPr>
                    <w:pStyle w:val="11"/>
                    <w:bidi w:val="0"/>
                    <w:rPr>
                      <w:rFonts w:hint="eastAsia" w:eastAsia="宋体"/>
                      <w:lang w:val="en-US" w:eastAsia="zh-CN"/>
                    </w:rPr>
                  </w:pPr>
                  <w:r>
                    <w:rPr>
                      <w:rFonts w:hint="eastAsia"/>
                      <w:lang w:val="en-US" w:eastAsia="zh-CN"/>
                    </w:rPr>
                    <w:t>/</w:t>
                  </w:r>
                </w:p>
              </w:tc>
              <w:tc>
                <w:tcPr>
                  <w:tcW w:w="287" w:type="pct"/>
                  <w:vAlign w:val="center"/>
                </w:tcPr>
                <w:p>
                  <w:pPr>
                    <w:pStyle w:val="11"/>
                    <w:bidi w:val="0"/>
                  </w:pPr>
                  <w:r>
                    <w:t>达标</w:t>
                  </w:r>
                </w:p>
              </w:tc>
              <w:tc>
                <w:tcPr>
                  <w:tcW w:w="2168" w:type="pct"/>
                  <w:vAlign w:val="center"/>
                </w:tcPr>
                <w:p>
                  <w:pPr>
                    <w:pStyle w:val="11"/>
                    <w:bidi w:val="0"/>
                  </w:pPr>
                  <w:r>
                    <w:rPr>
                      <w:rFonts w:hint="eastAsia"/>
                    </w:rPr>
                    <w:t>《恶臭污染物排放标准》（GB14554-93）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0" w:type="pct"/>
                  <w:vMerge w:val="continue"/>
                  <w:vAlign w:val="center"/>
                </w:tcPr>
                <w:p>
                  <w:pPr>
                    <w:pStyle w:val="11"/>
                    <w:bidi w:val="0"/>
                  </w:pPr>
                </w:p>
              </w:tc>
              <w:tc>
                <w:tcPr>
                  <w:tcW w:w="295" w:type="pct"/>
                  <w:vMerge w:val="continue"/>
                  <w:vAlign w:val="center"/>
                </w:tcPr>
                <w:p>
                  <w:pPr>
                    <w:pStyle w:val="11"/>
                    <w:bidi w:val="0"/>
                    <w:ind w:firstLine="0" w:firstLineChars="0"/>
                    <w:rPr>
                      <w:rFonts w:ascii="Times New Roman" w:hAnsi="Times New Roman" w:eastAsia="宋体" w:cs="Times New Roman"/>
                      <w:kern w:val="44"/>
                      <w:sz w:val="21"/>
                      <w:szCs w:val="22"/>
                      <w:lang w:val="en-US" w:eastAsia="zh-CN" w:bidi="ar-SA"/>
                    </w:rPr>
                  </w:pPr>
                </w:p>
              </w:tc>
              <w:tc>
                <w:tcPr>
                  <w:tcW w:w="320" w:type="pct"/>
                  <w:vAlign w:val="center"/>
                </w:tcPr>
                <w:p>
                  <w:pPr>
                    <w:pStyle w:val="11"/>
                    <w:bidi w:val="0"/>
                    <w:ind w:firstLine="0" w:firstLineChars="0"/>
                    <w:rPr>
                      <w:rFonts w:ascii="Times New Roman" w:hAnsi="Times New Roman" w:eastAsia="宋体" w:cs="Times New Roman"/>
                      <w:kern w:val="44"/>
                      <w:sz w:val="21"/>
                      <w:szCs w:val="22"/>
                      <w:lang w:val="en-US" w:eastAsia="zh-CN" w:bidi="ar-SA"/>
                    </w:rPr>
                  </w:pPr>
                  <w:r>
                    <w:rPr>
                      <w:rFonts w:hint="eastAsia"/>
                      <w:lang w:val="en-US" w:eastAsia="zh-CN"/>
                    </w:rPr>
                    <w:t>NMHC</w:t>
                  </w:r>
                </w:p>
              </w:tc>
              <w:tc>
                <w:tcPr>
                  <w:tcW w:w="346"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eastAsia" w:cs="Times New Roman"/>
                      <w:sz w:val="21"/>
                      <w:szCs w:val="21"/>
                      <w:lang w:val="en-US" w:eastAsia="zh-CN"/>
                    </w:rPr>
                    <w:t>3.5373</w:t>
                  </w:r>
                </w:p>
              </w:tc>
              <w:tc>
                <w:tcPr>
                  <w:tcW w:w="343" w:type="pct"/>
                  <w:vAlign w:val="center"/>
                </w:tcPr>
                <w:p>
                  <w:pPr>
                    <w:pStyle w:val="11"/>
                    <w:bidi w:val="0"/>
                    <w:ind w:firstLine="0" w:firstLineChars="0"/>
                    <w:jc w:val="center"/>
                    <w:rPr>
                      <w:rFonts w:hint="default" w:ascii="Times New Roman" w:hAnsi="Times New Roman" w:eastAsia="宋体" w:cs="Times New Roman"/>
                      <w:kern w:val="44"/>
                      <w:sz w:val="21"/>
                      <w:szCs w:val="21"/>
                      <w:lang w:val="en-US" w:eastAsia="zh-CN" w:bidi="ar-SA"/>
                    </w:rPr>
                  </w:pPr>
                  <w:r>
                    <w:rPr>
                      <w:rFonts w:hint="default" w:ascii="Times New Roman" w:hAnsi="Times New Roman" w:cs="Times New Roman"/>
                      <w:sz w:val="21"/>
                      <w:szCs w:val="21"/>
                      <w:lang w:val="en-US" w:eastAsia="zh-CN"/>
                    </w:rPr>
                    <w:t>0.0</w:t>
                  </w:r>
                  <w:r>
                    <w:rPr>
                      <w:rFonts w:hint="eastAsia" w:cs="Times New Roman"/>
                      <w:sz w:val="21"/>
                      <w:szCs w:val="21"/>
                      <w:lang w:val="en-US" w:eastAsia="zh-CN"/>
                    </w:rPr>
                    <w:t>212</w:t>
                  </w:r>
                </w:p>
              </w:tc>
              <w:tc>
                <w:tcPr>
                  <w:tcW w:w="243" w:type="pct"/>
                  <w:vAlign w:val="center"/>
                </w:tcPr>
                <w:p>
                  <w:pPr>
                    <w:pStyle w:val="11"/>
                    <w:bidi w:val="0"/>
                    <w:ind w:firstLine="0" w:firstLineChars="0"/>
                    <w:rPr>
                      <w:rFonts w:ascii="Times New Roman" w:hAnsi="Times New Roman" w:eastAsia="宋体" w:cs="Times New Roman"/>
                      <w:kern w:val="44"/>
                      <w:sz w:val="21"/>
                      <w:szCs w:val="22"/>
                      <w:lang w:val="en-US" w:eastAsia="zh-CN" w:bidi="ar-SA"/>
                    </w:rPr>
                  </w:pPr>
                  <w:r>
                    <w:t>85</w:t>
                  </w:r>
                </w:p>
              </w:tc>
              <w:tc>
                <w:tcPr>
                  <w:tcW w:w="315"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10</w:t>
                  </w:r>
                </w:p>
              </w:tc>
              <w:tc>
                <w:tcPr>
                  <w:tcW w:w="301" w:type="pct"/>
                  <w:vAlign w:val="center"/>
                </w:tcPr>
                <w:p>
                  <w:pPr>
                    <w:pStyle w:val="11"/>
                    <w:bidi w:val="0"/>
                    <w:ind w:firstLine="0" w:firstLineChars="0"/>
                    <w:rPr>
                      <w:rFonts w:ascii="Times New Roman" w:hAnsi="Times New Roman" w:eastAsia="宋体" w:cs="Times New Roman"/>
                      <w:kern w:val="44"/>
                      <w:sz w:val="21"/>
                      <w:szCs w:val="22"/>
                      <w:lang w:val="en-US" w:eastAsia="zh-CN" w:bidi="ar-SA"/>
                    </w:rPr>
                  </w:pPr>
                  <w:r>
                    <w:t>/</w:t>
                  </w:r>
                </w:p>
              </w:tc>
              <w:tc>
                <w:tcPr>
                  <w:tcW w:w="249" w:type="pct"/>
                  <w:vAlign w:val="center"/>
                </w:tcPr>
                <w:p>
                  <w:pPr>
                    <w:pStyle w:val="11"/>
                    <w:bidi w:val="0"/>
                    <w:ind w:firstLine="0" w:firstLineChars="0"/>
                    <w:rPr>
                      <w:rFonts w:ascii="Times New Roman" w:hAnsi="Times New Roman" w:eastAsia="宋体" w:cs="Times New Roman"/>
                      <w:kern w:val="44"/>
                      <w:sz w:val="21"/>
                      <w:szCs w:val="22"/>
                      <w:lang w:val="en-US" w:eastAsia="zh-CN" w:bidi="ar-SA"/>
                    </w:rPr>
                  </w:pPr>
                  <w:r>
                    <w:t>70</w:t>
                  </w:r>
                </w:p>
              </w:tc>
              <w:tc>
                <w:tcPr>
                  <w:tcW w:w="287" w:type="pct"/>
                  <w:vAlign w:val="center"/>
                </w:tcPr>
                <w:p>
                  <w:pPr>
                    <w:pStyle w:val="11"/>
                    <w:bidi w:val="0"/>
                    <w:ind w:firstLine="0" w:firstLineChars="0"/>
                    <w:rPr>
                      <w:rFonts w:ascii="Times New Roman" w:hAnsi="Times New Roman" w:eastAsia="宋体" w:cs="Times New Roman"/>
                      <w:kern w:val="44"/>
                      <w:sz w:val="21"/>
                      <w:szCs w:val="22"/>
                      <w:lang w:val="en-US" w:eastAsia="zh-CN" w:bidi="ar-SA"/>
                    </w:rPr>
                  </w:pPr>
                  <w:r>
                    <w:t>达标</w:t>
                  </w:r>
                </w:p>
              </w:tc>
              <w:tc>
                <w:tcPr>
                  <w:tcW w:w="2168" w:type="pct"/>
                  <w:vAlign w:val="center"/>
                </w:tcPr>
                <w:p>
                  <w:pPr>
                    <w:pStyle w:val="11"/>
                    <w:bidi w:val="0"/>
                  </w:pPr>
                  <w:r>
                    <w:rPr>
                      <w:rFonts w:hint="eastAsia"/>
                    </w:rPr>
                    <w:t>《橡胶制品工业污染物排放标准》（GB 27632-2011）</w:t>
                  </w:r>
                  <w:r>
                    <w:rPr>
                      <w:rFonts w:hint="eastAsia"/>
                      <w:lang w:val="en-US" w:eastAsia="zh-CN"/>
                    </w:rPr>
                    <w:t>表5</w:t>
                  </w:r>
                </w:p>
                <w:p>
                  <w:pPr>
                    <w:pStyle w:val="11"/>
                    <w:bidi w:val="0"/>
                    <w:ind w:firstLine="0" w:firstLineChars="0"/>
                    <w:rPr>
                      <w:rFonts w:hint="eastAsia" w:ascii="Times New Roman" w:hAnsi="Times New Roman" w:eastAsia="宋体" w:cs="Times New Roman"/>
                      <w:kern w:val="44"/>
                      <w:sz w:val="21"/>
                      <w:szCs w:val="22"/>
                      <w:lang w:val="en-US" w:eastAsia="zh-CN" w:bidi="ar-SA"/>
                    </w:rPr>
                  </w:pPr>
                  <w:r>
                    <w:t>《关于全省开展工业企业挥发性有机物专项治理工作中排放建议值》（豫环攻坚办</w:t>
                  </w:r>
                  <w:r>
                    <w:rPr>
                      <w:rFonts w:hint="eastAsia"/>
                      <w:lang w:val="en-US" w:eastAsia="zh-CN"/>
                    </w:rPr>
                    <w:t>〔</w:t>
                  </w:r>
                  <w:r>
                    <w:t>2017</w:t>
                  </w:r>
                  <w:r>
                    <w:rPr>
                      <w:rFonts w:hint="eastAsia"/>
                      <w:lang w:val="en-US" w:eastAsia="zh-CN"/>
                    </w:rPr>
                    <w:t>〕</w:t>
                  </w:r>
                  <w:r>
                    <w:t>162号）</w:t>
                  </w:r>
                  <w:r>
                    <w:rPr>
                      <w:rFonts w:hint="eastAsia"/>
                      <w:lang w:val="en-US" w:eastAsia="zh-CN"/>
                    </w:rPr>
                    <w:t>其他行业</w:t>
                  </w:r>
                </w:p>
              </w:tc>
            </w:tr>
          </w:tbl>
          <w:p>
            <w:pPr>
              <w:pStyle w:val="12"/>
              <w:widowControl w:val="0"/>
              <w:bidi w:val="0"/>
            </w:pPr>
            <w:r>
              <w:t xml:space="preserve">表4-3  </w:t>
            </w:r>
            <w:r>
              <w:rPr>
                <w:rFonts w:hint="eastAsia"/>
                <w:lang w:val="en-US" w:eastAsia="zh-CN"/>
              </w:rPr>
              <w:t xml:space="preserve"> </w:t>
            </w:r>
            <w:r>
              <w:t>废气污染源排放口基本情况一览表</w:t>
            </w:r>
          </w:p>
          <w:tbl>
            <w:tblPr>
              <w:tblStyle w:val="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669"/>
              <w:gridCol w:w="1097"/>
              <w:gridCol w:w="855"/>
              <w:gridCol w:w="824"/>
              <w:gridCol w:w="824"/>
              <w:gridCol w:w="824"/>
              <w:gridCol w:w="1308"/>
              <w:gridCol w:w="2026"/>
              <w:gridCol w:w="1275"/>
              <w:gridCol w:w="1935"/>
              <w:gridCol w:w="10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 w:type="pct"/>
                  <w:vMerge w:val="restart"/>
                  <w:vAlign w:val="center"/>
                </w:tcPr>
                <w:p>
                  <w:pPr>
                    <w:pStyle w:val="11"/>
                    <w:bidi w:val="0"/>
                  </w:pPr>
                  <w:r>
                    <w:t>序号</w:t>
                  </w:r>
                </w:p>
              </w:tc>
              <w:tc>
                <w:tcPr>
                  <w:tcW w:w="432" w:type="pct"/>
                  <w:vMerge w:val="restart"/>
                  <w:vAlign w:val="center"/>
                </w:tcPr>
                <w:p>
                  <w:pPr>
                    <w:pStyle w:val="11"/>
                    <w:bidi w:val="0"/>
                  </w:pPr>
                  <w:r>
                    <w:t>名称</w:t>
                  </w:r>
                </w:p>
              </w:tc>
              <w:tc>
                <w:tcPr>
                  <w:tcW w:w="2626" w:type="pct"/>
                  <w:gridSpan w:val="6"/>
                  <w:vAlign w:val="center"/>
                </w:tcPr>
                <w:p>
                  <w:pPr>
                    <w:pStyle w:val="11"/>
                    <w:bidi w:val="0"/>
                  </w:pPr>
                  <w:r>
                    <w:t>排放口基本情况</w:t>
                  </w:r>
                </w:p>
              </w:tc>
              <w:tc>
                <w:tcPr>
                  <w:tcW w:w="1676" w:type="pct"/>
                  <w:gridSpan w:val="3"/>
                  <w:vAlign w:val="center"/>
                </w:tcPr>
                <w:p>
                  <w:pPr>
                    <w:pStyle w:val="11"/>
                    <w:bidi w:val="0"/>
                  </w:pPr>
                  <w:r>
                    <w:t>监测要求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 w:type="pct"/>
                  <w:vMerge w:val="continue"/>
                  <w:vAlign w:val="center"/>
                </w:tcPr>
                <w:p>
                  <w:pPr>
                    <w:pStyle w:val="11"/>
                    <w:bidi w:val="0"/>
                  </w:pPr>
                </w:p>
              </w:tc>
              <w:tc>
                <w:tcPr>
                  <w:tcW w:w="432" w:type="pct"/>
                  <w:vMerge w:val="continue"/>
                  <w:vAlign w:val="center"/>
                </w:tcPr>
                <w:p>
                  <w:pPr>
                    <w:pStyle w:val="11"/>
                    <w:bidi w:val="0"/>
                  </w:pPr>
                </w:p>
              </w:tc>
              <w:tc>
                <w:tcPr>
                  <w:tcW w:w="337" w:type="pct"/>
                  <w:vAlign w:val="center"/>
                </w:tcPr>
                <w:p>
                  <w:pPr>
                    <w:pStyle w:val="11"/>
                    <w:bidi w:val="0"/>
                  </w:pPr>
                  <w:r>
                    <w:t>编号</w:t>
                  </w:r>
                </w:p>
              </w:tc>
              <w:tc>
                <w:tcPr>
                  <w:tcW w:w="324" w:type="pct"/>
                  <w:vAlign w:val="center"/>
                </w:tcPr>
                <w:p>
                  <w:pPr>
                    <w:pStyle w:val="11"/>
                    <w:bidi w:val="0"/>
                  </w:pPr>
                  <w:r>
                    <w:t>高度</w:t>
                  </w:r>
                </w:p>
              </w:tc>
              <w:tc>
                <w:tcPr>
                  <w:tcW w:w="324" w:type="pct"/>
                  <w:vAlign w:val="center"/>
                </w:tcPr>
                <w:p>
                  <w:pPr>
                    <w:pStyle w:val="11"/>
                    <w:bidi w:val="0"/>
                  </w:pPr>
                  <w:r>
                    <w:t>内径</w:t>
                  </w:r>
                </w:p>
              </w:tc>
              <w:tc>
                <w:tcPr>
                  <w:tcW w:w="324" w:type="pct"/>
                  <w:vAlign w:val="center"/>
                </w:tcPr>
                <w:p>
                  <w:pPr>
                    <w:pStyle w:val="11"/>
                    <w:bidi w:val="0"/>
                  </w:pPr>
                  <w:r>
                    <w:t>温度</w:t>
                  </w:r>
                </w:p>
              </w:tc>
              <w:tc>
                <w:tcPr>
                  <w:tcW w:w="515" w:type="pct"/>
                  <w:vAlign w:val="center"/>
                </w:tcPr>
                <w:p>
                  <w:pPr>
                    <w:pStyle w:val="11"/>
                    <w:bidi w:val="0"/>
                  </w:pPr>
                  <w:r>
                    <w:t>类型</w:t>
                  </w:r>
                </w:p>
              </w:tc>
              <w:tc>
                <w:tcPr>
                  <w:tcW w:w="799" w:type="pct"/>
                  <w:vAlign w:val="center"/>
                </w:tcPr>
                <w:p>
                  <w:pPr>
                    <w:pStyle w:val="11"/>
                    <w:bidi w:val="0"/>
                  </w:pPr>
                  <w:r>
                    <w:t>地理坐标</w:t>
                  </w:r>
                </w:p>
              </w:tc>
              <w:tc>
                <w:tcPr>
                  <w:tcW w:w="502" w:type="pct"/>
                  <w:vAlign w:val="center"/>
                </w:tcPr>
                <w:p>
                  <w:pPr>
                    <w:pStyle w:val="11"/>
                    <w:bidi w:val="0"/>
                  </w:pPr>
                  <w:r>
                    <w:t>监测点位</w:t>
                  </w:r>
                </w:p>
              </w:tc>
              <w:tc>
                <w:tcPr>
                  <w:tcW w:w="763" w:type="pct"/>
                  <w:vAlign w:val="center"/>
                </w:tcPr>
                <w:p>
                  <w:pPr>
                    <w:pStyle w:val="11"/>
                    <w:bidi w:val="0"/>
                  </w:pPr>
                  <w:r>
                    <w:t>监测因子</w:t>
                  </w:r>
                </w:p>
              </w:tc>
              <w:tc>
                <w:tcPr>
                  <w:tcW w:w="410" w:type="pct"/>
                  <w:vAlign w:val="center"/>
                </w:tcPr>
                <w:p>
                  <w:pPr>
                    <w:pStyle w:val="11"/>
                    <w:bidi w:val="0"/>
                  </w:pPr>
                  <w: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 w:type="pct"/>
                  <w:vMerge w:val="continue"/>
                  <w:vAlign w:val="center"/>
                </w:tcPr>
                <w:p>
                  <w:pPr>
                    <w:pStyle w:val="11"/>
                    <w:bidi w:val="0"/>
                  </w:pPr>
                </w:p>
              </w:tc>
              <w:tc>
                <w:tcPr>
                  <w:tcW w:w="432" w:type="pct"/>
                  <w:vMerge w:val="continue"/>
                  <w:vAlign w:val="center"/>
                </w:tcPr>
                <w:p>
                  <w:pPr>
                    <w:pStyle w:val="11"/>
                    <w:bidi w:val="0"/>
                  </w:pPr>
                </w:p>
              </w:tc>
              <w:tc>
                <w:tcPr>
                  <w:tcW w:w="337" w:type="pct"/>
                  <w:vAlign w:val="center"/>
                </w:tcPr>
                <w:p>
                  <w:pPr>
                    <w:pStyle w:val="11"/>
                    <w:bidi w:val="0"/>
                  </w:pPr>
                  <w:r>
                    <w:t>——</w:t>
                  </w:r>
                </w:p>
              </w:tc>
              <w:tc>
                <w:tcPr>
                  <w:tcW w:w="324" w:type="pct"/>
                  <w:vAlign w:val="center"/>
                </w:tcPr>
                <w:p>
                  <w:pPr>
                    <w:pStyle w:val="11"/>
                    <w:bidi w:val="0"/>
                  </w:pPr>
                  <w:r>
                    <w:t>m</w:t>
                  </w:r>
                </w:p>
              </w:tc>
              <w:tc>
                <w:tcPr>
                  <w:tcW w:w="324" w:type="pct"/>
                  <w:vAlign w:val="center"/>
                </w:tcPr>
                <w:p>
                  <w:pPr>
                    <w:pStyle w:val="11"/>
                    <w:bidi w:val="0"/>
                  </w:pPr>
                  <w:r>
                    <w:t>m</w:t>
                  </w:r>
                </w:p>
              </w:tc>
              <w:tc>
                <w:tcPr>
                  <w:tcW w:w="324" w:type="pct"/>
                  <w:vAlign w:val="center"/>
                </w:tcPr>
                <w:p>
                  <w:pPr>
                    <w:pStyle w:val="11"/>
                    <w:bidi w:val="0"/>
                  </w:pPr>
                  <w:r>
                    <w:t>℃</w:t>
                  </w:r>
                </w:p>
              </w:tc>
              <w:tc>
                <w:tcPr>
                  <w:tcW w:w="515" w:type="pct"/>
                  <w:vAlign w:val="center"/>
                </w:tcPr>
                <w:p>
                  <w:pPr>
                    <w:pStyle w:val="11"/>
                    <w:bidi w:val="0"/>
                  </w:pPr>
                  <w:r>
                    <w:t>——</w:t>
                  </w:r>
                </w:p>
              </w:tc>
              <w:tc>
                <w:tcPr>
                  <w:tcW w:w="799" w:type="pct"/>
                  <w:vAlign w:val="center"/>
                </w:tcPr>
                <w:p>
                  <w:pPr>
                    <w:pStyle w:val="11"/>
                    <w:bidi w:val="0"/>
                  </w:pPr>
                  <w:r>
                    <w:t>——</w:t>
                  </w:r>
                </w:p>
              </w:tc>
              <w:tc>
                <w:tcPr>
                  <w:tcW w:w="502" w:type="pct"/>
                  <w:vAlign w:val="center"/>
                </w:tcPr>
                <w:p>
                  <w:pPr>
                    <w:pStyle w:val="11"/>
                    <w:bidi w:val="0"/>
                  </w:pPr>
                  <w:r>
                    <w:t>——</w:t>
                  </w:r>
                </w:p>
              </w:tc>
              <w:tc>
                <w:tcPr>
                  <w:tcW w:w="763" w:type="pct"/>
                  <w:vAlign w:val="center"/>
                </w:tcPr>
                <w:p>
                  <w:pPr>
                    <w:pStyle w:val="11"/>
                    <w:bidi w:val="0"/>
                  </w:pPr>
                  <w:r>
                    <w:t>——</w:t>
                  </w:r>
                </w:p>
              </w:tc>
              <w:tc>
                <w:tcPr>
                  <w:tcW w:w="410" w:type="pct"/>
                  <w:vAlign w:val="center"/>
                </w:tcPr>
                <w:p>
                  <w:pPr>
                    <w:pStyle w:val="11"/>
                    <w:bidi w:val="0"/>
                  </w:pPr>
                  <w: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 w:type="pct"/>
                  <w:vAlign w:val="center"/>
                </w:tcPr>
                <w:p>
                  <w:pPr>
                    <w:pStyle w:val="11"/>
                    <w:bidi w:val="0"/>
                  </w:pPr>
                  <w:r>
                    <w:t>1</w:t>
                  </w:r>
                </w:p>
              </w:tc>
              <w:tc>
                <w:tcPr>
                  <w:tcW w:w="432" w:type="pct"/>
                  <w:vAlign w:val="center"/>
                </w:tcPr>
                <w:p>
                  <w:pPr>
                    <w:pStyle w:val="11"/>
                    <w:bidi w:val="0"/>
                  </w:pPr>
                  <w:r>
                    <w:t>1#排气筒</w:t>
                  </w:r>
                </w:p>
              </w:tc>
              <w:tc>
                <w:tcPr>
                  <w:tcW w:w="337" w:type="pct"/>
                  <w:vAlign w:val="center"/>
                </w:tcPr>
                <w:p>
                  <w:pPr>
                    <w:pStyle w:val="11"/>
                    <w:bidi w:val="0"/>
                  </w:pPr>
                  <w:r>
                    <w:t>DA001</w:t>
                  </w:r>
                </w:p>
              </w:tc>
              <w:tc>
                <w:tcPr>
                  <w:tcW w:w="324" w:type="pct"/>
                  <w:vAlign w:val="center"/>
                </w:tcPr>
                <w:p>
                  <w:pPr>
                    <w:pStyle w:val="11"/>
                    <w:bidi w:val="0"/>
                  </w:pPr>
                  <w:r>
                    <w:rPr>
                      <w:rFonts w:hint="eastAsia"/>
                      <w:lang w:val="en-US" w:eastAsia="zh-CN"/>
                    </w:rPr>
                    <w:t>1</w:t>
                  </w:r>
                  <w:r>
                    <w:t>5</w:t>
                  </w:r>
                </w:p>
              </w:tc>
              <w:tc>
                <w:tcPr>
                  <w:tcW w:w="324" w:type="pct"/>
                  <w:vAlign w:val="center"/>
                </w:tcPr>
                <w:p>
                  <w:pPr>
                    <w:pStyle w:val="11"/>
                    <w:bidi w:val="0"/>
                    <w:rPr>
                      <w:rFonts w:hint="default" w:eastAsia="宋体"/>
                      <w:lang w:val="en-US" w:eastAsia="zh-CN"/>
                    </w:rPr>
                  </w:pPr>
                  <w:r>
                    <w:rPr>
                      <w:rFonts w:hint="eastAsia"/>
                      <w:lang w:val="en-US" w:eastAsia="zh-CN"/>
                    </w:rPr>
                    <w:t>0.4</w:t>
                  </w:r>
                </w:p>
              </w:tc>
              <w:tc>
                <w:tcPr>
                  <w:tcW w:w="324" w:type="pct"/>
                  <w:vAlign w:val="center"/>
                </w:tcPr>
                <w:p>
                  <w:pPr>
                    <w:pStyle w:val="11"/>
                    <w:bidi w:val="0"/>
                  </w:pPr>
                  <w:r>
                    <w:t>常温</w:t>
                  </w:r>
                </w:p>
              </w:tc>
              <w:tc>
                <w:tcPr>
                  <w:tcW w:w="515" w:type="pct"/>
                  <w:vAlign w:val="center"/>
                </w:tcPr>
                <w:p>
                  <w:pPr>
                    <w:pStyle w:val="11"/>
                    <w:bidi w:val="0"/>
                  </w:pPr>
                  <w:r>
                    <w:t>一般排放口</w:t>
                  </w:r>
                </w:p>
              </w:tc>
              <w:tc>
                <w:tcPr>
                  <w:tcW w:w="799" w:type="pct"/>
                  <w:vAlign w:val="center"/>
                </w:tcPr>
                <w:p>
                  <w:pPr>
                    <w:pStyle w:val="11"/>
                    <w:bidi w:val="0"/>
                  </w:pPr>
                  <w:r>
                    <w:t>北纬</w:t>
                  </w:r>
                  <w:r>
                    <w:rPr>
                      <w:rFonts w:hint="eastAsia"/>
                    </w:rPr>
                    <w:t>34.07310555</w:t>
                  </w:r>
                  <w:r>
                    <w:t>°</w:t>
                  </w:r>
                </w:p>
                <w:p>
                  <w:pPr>
                    <w:pStyle w:val="11"/>
                    <w:bidi w:val="0"/>
                  </w:pPr>
                  <w:r>
                    <w:t>东经</w:t>
                  </w:r>
                  <w:r>
                    <w:rPr>
                      <w:rFonts w:hint="eastAsia"/>
                    </w:rPr>
                    <w:t>113.89647745</w:t>
                  </w:r>
                  <w:r>
                    <w:t>°</w:t>
                  </w:r>
                </w:p>
              </w:tc>
              <w:tc>
                <w:tcPr>
                  <w:tcW w:w="502" w:type="pct"/>
                  <w:vAlign w:val="center"/>
                </w:tcPr>
                <w:p>
                  <w:pPr>
                    <w:pStyle w:val="11"/>
                    <w:bidi w:val="0"/>
                  </w:pPr>
                  <w:r>
                    <w:t>排气筒出口</w:t>
                  </w:r>
                </w:p>
              </w:tc>
              <w:tc>
                <w:tcPr>
                  <w:tcW w:w="763" w:type="pct"/>
                  <w:vAlign w:val="center"/>
                </w:tcPr>
                <w:p>
                  <w:pPr>
                    <w:pStyle w:val="11"/>
                    <w:bidi w:val="0"/>
                  </w:pPr>
                  <w:r>
                    <w:t>废气</w:t>
                  </w:r>
                  <w:r>
                    <w:rPr>
                      <w:rFonts w:hint="eastAsia"/>
                      <w:lang w:val="en-US" w:eastAsia="zh-CN"/>
                    </w:rPr>
                    <w:t>流</w:t>
                  </w:r>
                  <w:r>
                    <w:t>量、</w:t>
                  </w:r>
                  <w:r>
                    <w:rPr>
                      <w:rFonts w:hint="eastAsia"/>
                      <w:lang w:val="en-US" w:eastAsia="zh-CN"/>
                    </w:rPr>
                    <w:t>颗粒物、硫化氢、</w:t>
                  </w:r>
                  <w:r>
                    <w:t>非甲烷总烃</w:t>
                  </w:r>
                </w:p>
              </w:tc>
              <w:tc>
                <w:tcPr>
                  <w:tcW w:w="410" w:type="pct"/>
                  <w:vAlign w:val="center"/>
                </w:tcPr>
                <w:p>
                  <w:pPr>
                    <w:pStyle w:val="11"/>
                    <w:bidi w:val="0"/>
                  </w:pPr>
                  <w:r>
                    <w:t>1次/年</w:t>
                  </w:r>
                </w:p>
              </w:tc>
            </w:tr>
          </w:tbl>
          <w:p>
            <w:pPr>
              <w:bidi w:val="0"/>
              <w:rPr>
                <w:b/>
                <w:bCs/>
              </w:rPr>
            </w:pPr>
            <w:r>
              <w:rPr>
                <w:b/>
                <w:bCs/>
              </w:rPr>
              <w:t>1.2 废气防治措施及影响分析</w:t>
            </w:r>
          </w:p>
          <w:p>
            <w:pPr>
              <w:bidi w:val="0"/>
            </w:pPr>
            <w:r>
              <w:rPr>
                <w:rFonts w:hint="eastAsia"/>
              </w:rPr>
              <w:t>项目1#车间</w:t>
            </w:r>
            <w:r>
              <w:rPr>
                <w:rFonts w:hint="eastAsia"/>
                <w:lang w:val="en-US" w:eastAsia="zh-CN"/>
              </w:rPr>
              <w:t>混胶</w:t>
            </w:r>
            <w:r>
              <w:rPr>
                <w:rFonts w:hint="eastAsia"/>
              </w:rPr>
              <w:t>工序和1#、2#车间的</w:t>
            </w:r>
            <w:r>
              <w:rPr>
                <w:rFonts w:hint="eastAsia"/>
                <w:lang w:eastAsia="zh-CN"/>
              </w:rPr>
              <w:t>成型</w:t>
            </w:r>
            <w:r>
              <w:rPr>
                <w:rFonts w:hint="eastAsia"/>
              </w:rPr>
              <w:t>工序分别采取“二次密闭+集气罩”收集废气，</w:t>
            </w:r>
            <w:r>
              <w:rPr>
                <w:rFonts w:hint="eastAsia"/>
                <w:lang w:val="en-US" w:eastAsia="zh-CN"/>
              </w:rPr>
              <w:t>混胶</w:t>
            </w:r>
            <w:r>
              <w:rPr>
                <w:rFonts w:hint="eastAsia"/>
              </w:rPr>
              <w:t>废气经袋式除尘器处理后，与</w:t>
            </w:r>
            <w:r>
              <w:rPr>
                <w:rFonts w:hint="eastAsia"/>
                <w:lang w:val="en-US" w:eastAsia="zh-CN"/>
              </w:rPr>
              <w:t>成型废气</w:t>
            </w:r>
            <w:r>
              <w:rPr>
                <w:rFonts w:hint="eastAsia"/>
              </w:rPr>
              <w:t>合并至“</w:t>
            </w:r>
            <w:r>
              <w:rPr>
                <w:rFonts w:hint="eastAsia"/>
                <w:lang w:val="en-US" w:eastAsia="zh-CN"/>
              </w:rPr>
              <w:t>UV光氧</w:t>
            </w:r>
            <w:r>
              <w:rPr>
                <w:rFonts w:hint="eastAsia"/>
              </w:rPr>
              <w:t>+</w:t>
            </w:r>
            <w:r>
              <w:rPr>
                <w:rFonts w:hint="eastAsia"/>
                <w:lang w:val="en-US" w:eastAsia="zh-CN"/>
              </w:rPr>
              <w:t>活性炭吸附</w:t>
            </w:r>
            <w:r>
              <w:rPr>
                <w:rFonts w:hint="eastAsia"/>
              </w:rPr>
              <w:t>”装置处理后通过1根15米高排气筒排放</w:t>
            </w:r>
            <w:r>
              <w:rPr>
                <w:rFonts w:hint="eastAsia"/>
                <w:lang w:eastAsia="zh-CN"/>
              </w:rPr>
              <w:t>。</w:t>
            </w:r>
            <w:r>
              <w:t>参照《</w:t>
            </w:r>
            <w:r>
              <w:rPr>
                <w:rFonts w:hint="eastAsia"/>
              </w:rPr>
              <w:t>排污许可证申请与核发技术规范 橡胶和塑料制品工业</w:t>
            </w:r>
            <w:r>
              <w:t>》</w:t>
            </w:r>
            <w:r>
              <w:rPr>
                <w:rFonts w:hint="eastAsia"/>
              </w:rPr>
              <w:t>（HJ1122</w:t>
            </w:r>
            <w:r>
              <w:rPr>
                <w:rFonts w:hint="eastAsia"/>
                <w:lang w:val="en-US" w:eastAsia="zh-CN"/>
              </w:rPr>
              <w:t>-</w:t>
            </w:r>
            <w:r>
              <w:rPr>
                <w:rFonts w:hint="eastAsia"/>
              </w:rPr>
              <w:t>2020）</w:t>
            </w:r>
            <w:r>
              <w:t>附录A排污单位废水和废气污染防治可行技术参考表，本项目采用的废气污染防治设施均为可行技术。</w:t>
            </w:r>
          </w:p>
          <w:p>
            <w:pPr>
              <w:bidi w:val="0"/>
            </w:pPr>
            <w:r>
              <w:t>由表4-3可知，项目营运期各环节经处理后，非甲烷总烃排放满足</w:t>
            </w:r>
            <w:r>
              <w:rPr>
                <w:rFonts w:hint="eastAsia"/>
              </w:rPr>
              <w:t>《橡胶制品工业污染物排放标准》（GB 27632-2011）</w:t>
            </w:r>
            <w:r>
              <w:rPr>
                <w:rFonts w:hint="eastAsia"/>
                <w:lang w:val="en-US" w:eastAsia="zh-CN"/>
              </w:rPr>
              <w:t>表5标准限值</w:t>
            </w:r>
            <w:r>
              <w:t>及《关于全省开展工业企业挥发性有机物专项治理工作中排放建议值》（豫环攻坚办</w:t>
            </w:r>
            <w:r>
              <w:rPr>
                <w:rFonts w:hint="eastAsia"/>
                <w:lang w:val="en-US" w:eastAsia="zh-CN"/>
              </w:rPr>
              <w:t>〔</w:t>
            </w:r>
            <w:r>
              <w:t>2017</w:t>
            </w:r>
            <w:r>
              <w:rPr>
                <w:rFonts w:hint="eastAsia"/>
                <w:lang w:val="en-US" w:eastAsia="zh-CN"/>
              </w:rPr>
              <w:t>〕</w:t>
            </w:r>
            <w:r>
              <w:t>162号）排放建议值；颗粒物经处理后排放浓度和排放速率满足</w:t>
            </w:r>
            <w:r>
              <w:rPr>
                <w:rFonts w:hint="eastAsia"/>
              </w:rPr>
              <w:t>《橡胶制品工业污染物排放标准》（GB 27632-2011）</w:t>
            </w:r>
            <w:r>
              <w:rPr>
                <w:rFonts w:hint="eastAsia"/>
                <w:lang w:val="en-US" w:eastAsia="zh-CN"/>
              </w:rPr>
              <w:t>表5标准限值；硫化氢</w:t>
            </w:r>
            <w:r>
              <w:t>排放满足</w:t>
            </w:r>
            <w:r>
              <w:rPr>
                <w:rFonts w:hint="eastAsia"/>
              </w:rPr>
              <w:t>《恶臭污染物排放标准》（GB14554-93）</w:t>
            </w:r>
            <w:r>
              <w:rPr>
                <w:rFonts w:hint="eastAsia"/>
                <w:lang w:val="en-US" w:eastAsia="zh-CN"/>
              </w:rPr>
              <w:t>限值要求</w:t>
            </w:r>
            <w:r>
              <w:t>。</w:t>
            </w: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tc>
      </w:tr>
    </w:tbl>
    <w:p>
      <w:pPr>
        <w:rPr>
          <w:rFonts w:hint="eastAsia"/>
          <w:lang w:eastAsia="zh-CN"/>
        </w:rPr>
        <w:sectPr>
          <w:pgSz w:w="16838" w:h="11906" w:orient="landscape"/>
          <w:pgMar w:top="1587" w:right="1701" w:bottom="1587" w:left="1984" w:header="851" w:footer="992" w:gutter="0"/>
          <w:pgNumType w:fmt="numberInDash"/>
          <w:cols w:space="425" w:num="1"/>
          <w:docGrid w:type="lines" w:linePitch="312" w:charSpace="0"/>
        </w:sectPr>
      </w:pPr>
    </w:p>
    <w:tbl>
      <w:tblPr>
        <w:tblStyle w:val="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62"/>
        <w:gridCol w:w="84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02" w:hRule="atLeast"/>
        </w:trPr>
        <w:tc>
          <w:tcPr>
            <w:tcW w:w="462" w:type="dxa"/>
            <w:vAlign w:val="center"/>
          </w:tcPr>
          <w:p>
            <w:pPr>
              <w:pStyle w:val="11"/>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sz w:val="24"/>
                <w:szCs w:val="24"/>
                <w:lang w:eastAsia="zh-CN"/>
              </w:rPr>
            </w:pPr>
            <w:r>
              <w:rPr>
                <w:rFonts w:hint="eastAsia"/>
                <w:sz w:val="24"/>
                <w:szCs w:val="24"/>
                <w:lang w:eastAsia="zh-CN"/>
              </w:rPr>
              <w:t>运营</w:t>
            </w:r>
          </w:p>
          <w:p>
            <w:pPr>
              <w:pStyle w:val="11"/>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sz w:val="24"/>
                <w:szCs w:val="24"/>
                <w:lang w:eastAsia="zh-CN"/>
              </w:rPr>
            </w:pPr>
            <w:r>
              <w:rPr>
                <w:rFonts w:hint="eastAsia"/>
                <w:sz w:val="24"/>
                <w:szCs w:val="24"/>
                <w:lang w:eastAsia="zh-CN"/>
              </w:rPr>
              <w:t>期环</w:t>
            </w:r>
          </w:p>
          <w:p>
            <w:pPr>
              <w:pStyle w:val="11"/>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sz w:val="24"/>
                <w:szCs w:val="24"/>
                <w:lang w:eastAsia="zh-CN"/>
              </w:rPr>
            </w:pPr>
            <w:r>
              <w:rPr>
                <w:rFonts w:hint="eastAsia"/>
                <w:sz w:val="24"/>
                <w:szCs w:val="24"/>
                <w:lang w:eastAsia="zh-CN"/>
              </w:rPr>
              <w:t>境影</w:t>
            </w:r>
          </w:p>
          <w:p>
            <w:pPr>
              <w:pStyle w:val="11"/>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sz w:val="24"/>
                <w:szCs w:val="24"/>
                <w:lang w:eastAsia="zh-CN"/>
              </w:rPr>
            </w:pPr>
            <w:r>
              <w:rPr>
                <w:rFonts w:hint="eastAsia"/>
                <w:sz w:val="24"/>
                <w:szCs w:val="24"/>
                <w:lang w:eastAsia="zh-CN"/>
              </w:rPr>
              <w:t>响和</w:t>
            </w:r>
          </w:p>
          <w:p>
            <w:pPr>
              <w:pStyle w:val="11"/>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sz w:val="24"/>
                <w:szCs w:val="24"/>
                <w:lang w:eastAsia="zh-CN"/>
              </w:rPr>
            </w:pPr>
            <w:r>
              <w:rPr>
                <w:rFonts w:hint="eastAsia"/>
                <w:sz w:val="24"/>
                <w:szCs w:val="24"/>
                <w:lang w:eastAsia="zh-CN"/>
              </w:rPr>
              <w:t>保护</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vertAlign w:val="baseline"/>
                <w:lang w:eastAsia="zh-CN"/>
              </w:rPr>
            </w:pPr>
            <w:r>
              <w:rPr>
                <w:rFonts w:hint="eastAsia"/>
                <w:sz w:val="24"/>
                <w:szCs w:val="24"/>
                <w:lang w:eastAsia="zh-CN"/>
              </w:rPr>
              <w:t>措施</w:t>
            </w:r>
          </w:p>
        </w:tc>
        <w:tc>
          <w:tcPr>
            <w:tcW w:w="8486" w:type="dxa"/>
          </w:tcPr>
          <w:p>
            <w:pPr>
              <w:pStyle w:val="4"/>
              <w:bidi w:val="0"/>
            </w:pPr>
            <w:r>
              <w:t>2</w:t>
            </w:r>
            <w:r>
              <w:rPr>
                <w:rFonts w:hint="eastAsia"/>
                <w:lang w:eastAsia="zh-CN"/>
              </w:rPr>
              <w:t>、</w:t>
            </w:r>
            <w:r>
              <w:t>废水</w:t>
            </w:r>
          </w:p>
          <w:p>
            <w:pPr>
              <w:spacing w:line="360" w:lineRule="auto"/>
              <w:ind w:firstLine="480" w:firstLineChars="200"/>
            </w:pPr>
            <w:r>
              <w:t>本项目产生的废水主要为职工生活污水。</w:t>
            </w:r>
          </w:p>
          <w:p>
            <w:pPr>
              <w:spacing w:line="360" w:lineRule="auto"/>
              <w:ind w:firstLine="482" w:firstLineChars="200"/>
              <w:rPr>
                <w:b/>
                <w:bCs/>
              </w:rPr>
            </w:pPr>
            <w:r>
              <w:rPr>
                <w:b/>
                <w:bCs/>
              </w:rPr>
              <w:t>2.1 废水产排情况</w:t>
            </w:r>
          </w:p>
          <w:p>
            <w:pPr>
              <w:spacing w:line="360" w:lineRule="auto"/>
              <w:ind w:firstLine="480" w:firstLineChars="200"/>
            </w:pPr>
            <w:r>
              <w:t>本项目职工</w:t>
            </w:r>
            <w:r>
              <w:rPr>
                <w:rFonts w:hint="eastAsia"/>
                <w:lang w:val="en-US" w:eastAsia="zh-CN"/>
              </w:rPr>
              <w:t>3</w:t>
            </w:r>
            <w:r>
              <w:t>0人，年工作</w:t>
            </w:r>
            <w:r>
              <w:rPr>
                <w:rFonts w:hint="eastAsia"/>
                <w:lang w:val="en-US" w:eastAsia="zh-CN"/>
              </w:rPr>
              <w:t>26</w:t>
            </w:r>
            <w:r>
              <w:t>0天，</w:t>
            </w:r>
            <w:r>
              <w:rPr>
                <w:rFonts w:hint="eastAsia"/>
                <w:lang w:val="en-US" w:eastAsia="zh-CN"/>
              </w:rPr>
              <w:t>其中5人在厂区住宿，其余员工</w:t>
            </w:r>
            <w:r>
              <w:t>均不在厂内住宿，根据《给排水设计手册（第2版）建筑给水排水》（第二版）中用水定额，住宿人员按</w:t>
            </w:r>
            <w:r>
              <w:rPr>
                <w:rFonts w:hint="eastAsia"/>
                <w:lang w:val="en-US" w:eastAsia="zh-CN"/>
              </w:rPr>
              <w:t>6</w:t>
            </w:r>
            <w:r>
              <w:t>5L/（人•d）计算，非住宿人员按35L/（人•d）计算，则本项目运营期生活用水量为</w:t>
            </w:r>
            <w:r>
              <w:rPr>
                <w:rFonts w:hint="eastAsia"/>
                <w:lang w:val="en-US" w:eastAsia="zh-CN"/>
              </w:rPr>
              <w:t>1.2</w:t>
            </w:r>
            <w:r>
              <w:t>m</w:t>
            </w:r>
            <w:r>
              <w:rPr>
                <w:vertAlign w:val="superscript"/>
              </w:rPr>
              <w:t>3</w:t>
            </w:r>
            <w:r>
              <w:t>/d（</w:t>
            </w:r>
            <w:r>
              <w:rPr>
                <w:rFonts w:hint="eastAsia"/>
                <w:lang w:val="en-US" w:eastAsia="zh-CN"/>
              </w:rPr>
              <w:t>312</w:t>
            </w:r>
            <w:r>
              <w:t>m</w:t>
            </w:r>
            <w:r>
              <w:rPr>
                <w:vertAlign w:val="superscript"/>
              </w:rPr>
              <w:t>3</w:t>
            </w:r>
            <w:r>
              <w:t>/a），产污系数80%计，污水产生量</w:t>
            </w:r>
            <w:r>
              <w:rPr>
                <w:rFonts w:hint="eastAsia"/>
                <w:lang w:val="en-US" w:eastAsia="zh-CN"/>
              </w:rPr>
              <w:t>0.96</w:t>
            </w:r>
            <w:r>
              <w:t>m</w:t>
            </w:r>
            <w:r>
              <w:rPr>
                <w:vertAlign w:val="superscript"/>
              </w:rPr>
              <w:t>3</w:t>
            </w:r>
            <w:r>
              <w:t>/d（</w:t>
            </w:r>
            <w:r>
              <w:rPr>
                <w:rFonts w:hint="eastAsia"/>
                <w:lang w:val="en-US" w:eastAsia="zh-CN"/>
              </w:rPr>
              <w:t>249.6</w:t>
            </w:r>
            <w:r>
              <w:t>m</w:t>
            </w:r>
            <w:r>
              <w:rPr>
                <w:vertAlign w:val="superscript"/>
              </w:rPr>
              <w:t>3</w:t>
            </w:r>
            <w:r>
              <w:t>/a）。经类比分析，生活污水中主要污染物浓度为：COD290mg/L、BOD</w:t>
            </w:r>
            <w:r>
              <w:rPr>
                <w:vertAlign w:val="subscript"/>
              </w:rPr>
              <w:t>5</w:t>
            </w:r>
            <w:r>
              <w:t>150mg/L、SS200mg/L、氨氮30mg/L。项目生活污水</w:t>
            </w:r>
            <w:r>
              <w:rPr>
                <w:rFonts w:hint="eastAsia"/>
                <w:lang w:val="en-US" w:eastAsia="zh-CN"/>
              </w:rPr>
              <w:t>依托园区</w:t>
            </w:r>
            <w:r>
              <w:t>化粪池处理后</w:t>
            </w:r>
            <w:r>
              <w:rPr>
                <w:rFonts w:hint="eastAsia"/>
                <w:lang w:eastAsia="zh-CN"/>
              </w:rPr>
              <w:t>，</w:t>
            </w:r>
            <w:r>
              <w:rPr>
                <w:rFonts w:hint="eastAsia"/>
                <w:lang w:val="en-US" w:eastAsia="zh-CN"/>
              </w:rPr>
              <w:t>用于周边农田施肥，远期管网环通后</w:t>
            </w:r>
            <w:r>
              <w:rPr>
                <w:rFonts w:hint="eastAsia"/>
              </w:rPr>
              <w:t>经市政污水管网进入</w:t>
            </w:r>
            <w:r>
              <w:rPr>
                <w:rFonts w:hint="eastAsia"/>
                <w:lang w:eastAsia="zh-CN"/>
              </w:rPr>
              <w:t>许昌市城乡一体化示范区中原电气谷污水处理厂</w:t>
            </w:r>
            <w:r>
              <w:rPr>
                <w:rFonts w:hint="eastAsia"/>
              </w:rPr>
              <w:t>进行深度处理</w:t>
            </w:r>
            <w:r>
              <w:t>，</w:t>
            </w:r>
            <w:r>
              <w:rPr>
                <w:rFonts w:hint="eastAsia"/>
                <w:lang w:val="en-US" w:eastAsia="zh-CN"/>
              </w:rPr>
              <w:t>最终排入小洪河。</w:t>
            </w:r>
          </w:p>
          <w:p>
            <w:pPr>
              <w:spacing w:line="360" w:lineRule="auto"/>
              <w:ind w:firstLine="480" w:firstLineChars="200"/>
            </w:pPr>
            <w:r>
              <w:t>本项目废水污染源源强核算结果及相关核算参数见表4-4，废水排放口基本情况见表4-5。</w:t>
            </w:r>
          </w:p>
          <w:p>
            <w:pPr>
              <w:pStyle w:val="12"/>
              <w:widowControl w:val="0"/>
              <w:bidi w:val="0"/>
            </w:pPr>
            <w:r>
              <w:t xml:space="preserve">表4-4 </w:t>
            </w:r>
            <w:r>
              <w:rPr>
                <w:rFonts w:hint="eastAsia"/>
                <w:lang w:val="en-US" w:eastAsia="zh-CN"/>
              </w:rPr>
              <w:t xml:space="preserve"> </w:t>
            </w:r>
            <w:r>
              <w:t xml:space="preserve"> 营运期废水产生情况一览表</w:t>
            </w:r>
          </w:p>
          <w:tbl>
            <w:tblPr>
              <w:tblStyle w:val="9"/>
              <w:tblW w:w="8270"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69"/>
              <w:gridCol w:w="645"/>
              <w:gridCol w:w="1819"/>
              <w:gridCol w:w="1159"/>
              <w:gridCol w:w="1159"/>
              <w:gridCol w:w="1159"/>
              <w:gridCol w:w="11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169" w:type="dxa"/>
                  <w:vMerge w:val="restart"/>
                  <w:vAlign w:val="center"/>
                </w:tcPr>
                <w:p>
                  <w:pPr>
                    <w:pStyle w:val="11"/>
                    <w:bidi w:val="0"/>
                    <w:rPr>
                      <w:rFonts w:hint="eastAsia"/>
                      <w:lang w:val="en-US" w:eastAsia="zh-CN"/>
                    </w:rPr>
                  </w:pPr>
                  <w:r>
                    <w:rPr>
                      <w:rFonts w:hint="eastAsia"/>
                    </w:rPr>
                    <w:t>污染源</w:t>
                  </w:r>
                </w:p>
              </w:tc>
              <w:tc>
                <w:tcPr>
                  <w:tcW w:w="2464" w:type="dxa"/>
                  <w:gridSpan w:val="2"/>
                  <w:vMerge w:val="restart"/>
                  <w:vAlign w:val="center"/>
                </w:tcPr>
                <w:p>
                  <w:pPr>
                    <w:pStyle w:val="11"/>
                    <w:bidi w:val="0"/>
                  </w:pPr>
                  <w:r>
                    <w:rPr>
                      <w:rFonts w:hint="eastAsia"/>
                    </w:rPr>
                    <w:t>项目</w:t>
                  </w:r>
                </w:p>
              </w:tc>
              <w:tc>
                <w:tcPr>
                  <w:tcW w:w="4637" w:type="dxa"/>
                  <w:gridSpan w:val="4"/>
                  <w:vAlign w:val="center"/>
                </w:tcPr>
                <w:p>
                  <w:pPr>
                    <w:pStyle w:val="11"/>
                    <w:bidi w:val="0"/>
                  </w:pPr>
                  <w:r>
                    <w:rPr>
                      <w:rFonts w:hint="eastAsia"/>
                    </w:rPr>
                    <w:t>污染物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69" w:type="dxa"/>
                  <w:vMerge w:val="continue"/>
                  <w:vAlign w:val="center"/>
                </w:tcPr>
                <w:p>
                  <w:pPr>
                    <w:pStyle w:val="11"/>
                    <w:bidi w:val="0"/>
                  </w:pPr>
                </w:p>
              </w:tc>
              <w:tc>
                <w:tcPr>
                  <w:tcW w:w="2464" w:type="dxa"/>
                  <w:gridSpan w:val="2"/>
                  <w:vMerge w:val="continue"/>
                  <w:vAlign w:val="center"/>
                </w:tcPr>
                <w:p>
                  <w:pPr>
                    <w:pStyle w:val="11"/>
                    <w:bidi w:val="0"/>
                  </w:pPr>
                </w:p>
              </w:tc>
              <w:tc>
                <w:tcPr>
                  <w:tcW w:w="1159" w:type="dxa"/>
                  <w:vAlign w:val="center"/>
                </w:tcPr>
                <w:p>
                  <w:pPr>
                    <w:pStyle w:val="11"/>
                    <w:bidi w:val="0"/>
                    <w:rPr>
                      <w:rFonts w:hint="eastAsia"/>
                      <w:lang w:val="en-US" w:eastAsia="zh-CN"/>
                    </w:rPr>
                  </w:pPr>
                  <w:r>
                    <w:t>COD</w:t>
                  </w:r>
                </w:p>
              </w:tc>
              <w:tc>
                <w:tcPr>
                  <w:tcW w:w="1159" w:type="dxa"/>
                  <w:vAlign w:val="center"/>
                </w:tcPr>
                <w:p>
                  <w:pPr>
                    <w:pStyle w:val="11"/>
                    <w:bidi w:val="0"/>
                    <w:rPr>
                      <w:rFonts w:hint="eastAsia"/>
                      <w:lang w:val="en-US" w:eastAsia="zh-CN"/>
                    </w:rPr>
                  </w:pPr>
                  <w:r>
                    <w:t>BOD</w:t>
                  </w:r>
                  <w:r>
                    <w:rPr>
                      <w:rFonts w:hint="eastAsia"/>
                      <w:vertAlign w:val="subscript"/>
                    </w:rPr>
                    <w:t>5</w:t>
                  </w:r>
                </w:p>
              </w:tc>
              <w:tc>
                <w:tcPr>
                  <w:tcW w:w="1159" w:type="dxa"/>
                  <w:vAlign w:val="center"/>
                </w:tcPr>
                <w:p>
                  <w:pPr>
                    <w:pStyle w:val="11"/>
                    <w:bidi w:val="0"/>
                    <w:rPr>
                      <w:rFonts w:hint="eastAsia"/>
                      <w:lang w:val="en-US" w:eastAsia="zh-CN"/>
                    </w:rPr>
                  </w:pPr>
                  <w:r>
                    <w:rPr>
                      <w:rFonts w:hint="eastAsia"/>
                    </w:rPr>
                    <w:t>S</w:t>
                  </w:r>
                  <w:r>
                    <w:t>S</w:t>
                  </w:r>
                </w:p>
              </w:tc>
              <w:tc>
                <w:tcPr>
                  <w:tcW w:w="1160" w:type="dxa"/>
                  <w:vAlign w:val="center"/>
                </w:tcPr>
                <w:p>
                  <w:pPr>
                    <w:pStyle w:val="11"/>
                    <w:bidi w:val="0"/>
                    <w:rPr>
                      <w:rFonts w:hint="eastAsia"/>
                      <w:lang w:val="en-US" w:eastAsia="zh-CN"/>
                    </w:rPr>
                  </w:pPr>
                  <w:r>
                    <w:rPr>
                      <w:rFonts w:hint="eastAsia"/>
                    </w:rPr>
                    <w:t>氨氮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69" w:type="dxa"/>
                  <w:vMerge w:val="restart"/>
                  <w:vAlign w:val="center"/>
                </w:tcPr>
                <w:p>
                  <w:pPr>
                    <w:pStyle w:val="11"/>
                    <w:bidi w:val="0"/>
                    <w:rPr>
                      <w:lang w:val="en-US" w:eastAsia="zh-CN"/>
                    </w:rPr>
                  </w:pPr>
                  <w:r>
                    <w:t>生活</w:t>
                  </w:r>
                  <w:r>
                    <w:rPr>
                      <w:rFonts w:hint="eastAsia"/>
                    </w:rPr>
                    <w:t>污</w:t>
                  </w:r>
                  <w:r>
                    <w:t>水</w:t>
                  </w:r>
                  <w:r>
                    <w:rPr>
                      <w:rFonts w:hint="eastAsia"/>
                      <w:lang w:val="en-US" w:eastAsia="zh-CN"/>
                    </w:rPr>
                    <w:t>249.6</w:t>
                  </w:r>
                  <w:r>
                    <w:t>m</w:t>
                  </w:r>
                  <w:r>
                    <w:rPr>
                      <w:vertAlign w:val="superscript"/>
                    </w:rPr>
                    <w:t>3</w:t>
                  </w:r>
                  <w:r>
                    <w:t>/a</w:t>
                  </w:r>
                </w:p>
              </w:tc>
              <w:tc>
                <w:tcPr>
                  <w:tcW w:w="645" w:type="dxa"/>
                  <w:vMerge w:val="restart"/>
                  <w:vAlign w:val="center"/>
                </w:tcPr>
                <w:p>
                  <w:pPr>
                    <w:pStyle w:val="11"/>
                    <w:bidi w:val="0"/>
                    <w:rPr>
                      <w:rFonts w:hint="eastAsia"/>
                    </w:rPr>
                  </w:pPr>
                  <w:r>
                    <w:rPr>
                      <w:rFonts w:hint="eastAsia"/>
                    </w:rPr>
                    <w:t>产生</w:t>
                  </w:r>
                </w:p>
                <w:p>
                  <w:pPr>
                    <w:pStyle w:val="11"/>
                    <w:bidi w:val="0"/>
                    <w:rPr>
                      <w:rFonts w:hint="eastAsia"/>
                      <w:lang w:val="en-US" w:eastAsia="zh-CN"/>
                    </w:rPr>
                  </w:pPr>
                  <w:r>
                    <w:rPr>
                      <w:rFonts w:hint="eastAsia"/>
                    </w:rPr>
                    <w:t>情况</w:t>
                  </w:r>
                </w:p>
              </w:tc>
              <w:tc>
                <w:tcPr>
                  <w:tcW w:w="1819" w:type="dxa"/>
                  <w:vAlign w:val="center"/>
                </w:tcPr>
                <w:p>
                  <w:pPr>
                    <w:pStyle w:val="11"/>
                    <w:bidi w:val="0"/>
                    <w:rPr>
                      <w:rFonts w:hint="eastAsia"/>
                      <w:lang w:val="en-US" w:eastAsia="zh-CN"/>
                    </w:rPr>
                  </w:pPr>
                  <w:r>
                    <w:rPr>
                      <w:rFonts w:hint="eastAsia"/>
                    </w:rPr>
                    <w:t>浓度（mg/L）</w:t>
                  </w:r>
                </w:p>
              </w:tc>
              <w:tc>
                <w:tcPr>
                  <w:tcW w:w="1159" w:type="dxa"/>
                  <w:vAlign w:val="center"/>
                </w:tcPr>
                <w:p>
                  <w:pPr>
                    <w:pStyle w:val="11"/>
                    <w:bidi w:val="0"/>
                    <w:rPr>
                      <w:rFonts w:hint="default"/>
                      <w:lang w:val="en-US" w:eastAsia="zh-CN"/>
                    </w:rPr>
                  </w:pPr>
                  <w:r>
                    <w:rPr>
                      <w:rFonts w:hint="eastAsia"/>
                      <w:lang w:val="en-US" w:eastAsia="zh-CN"/>
                    </w:rPr>
                    <w:t>290</w:t>
                  </w:r>
                </w:p>
              </w:tc>
              <w:tc>
                <w:tcPr>
                  <w:tcW w:w="1159" w:type="dxa"/>
                  <w:vAlign w:val="center"/>
                </w:tcPr>
                <w:p>
                  <w:pPr>
                    <w:pStyle w:val="11"/>
                    <w:bidi w:val="0"/>
                    <w:rPr>
                      <w:rFonts w:hint="default"/>
                      <w:lang w:val="en-US" w:eastAsia="zh-CN"/>
                    </w:rPr>
                  </w:pPr>
                  <w:r>
                    <w:rPr>
                      <w:rFonts w:hint="eastAsia"/>
                      <w:lang w:val="en-US" w:eastAsia="zh-CN"/>
                    </w:rPr>
                    <w:t>150</w:t>
                  </w:r>
                </w:p>
              </w:tc>
              <w:tc>
                <w:tcPr>
                  <w:tcW w:w="1159" w:type="dxa"/>
                  <w:vAlign w:val="center"/>
                </w:tcPr>
                <w:p>
                  <w:pPr>
                    <w:pStyle w:val="11"/>
                    <w:bidi w:val="0"/>
                    <w:rPr>
                      <w:rFonts w:hint="default"/>
                      <w:lang w:val="en-US" w:eastAsia="zh-CN"/>
                    </w:rPr>
                  </w:pPr>
                  <w:r>
                    <w:rPr>
                      <w:rFonts w:hint="eastAsia"/>
                      <w:lang w:val="en-US" w:eastAsia="zh-CN"/>
                    </w:rPr>
                    <w:t>200</w:t>
                  </w:r>
                </w:p>
              </w:tc>
              <w:tc>
                <w:tcPr>
                  <w:tcW w:w="1160" w:type="dxa"/>
                  <w:vAlign w:val="center"/>
                </w:tcPr>
                <w:p>
                  <w:pPr>
                    <w:pStyle w:val="11"/>
                    <w:bidi w:val="0"/>
                    <w:rPr>
                      <w:rFonts w:hint="default"/>
                      <w:lang w:val="en-US" w:eastAsia="zh-CN"/>
                    </w:rPr>
                  </w:pPr>
                  <w:r>
                    <w:rPr>
                      <w:rFonts w:hint="eastAsia"/>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69" w:type="dxa"/>
                  <w:vMerge w:val="continue"/>
                  <w:vAlign w:val="center"/>
                </w:tcPr>
                <w:p>
                  <w:pPr>
                    <w:pStyle w:val="11"/>
                    <w:bidi w:val="0"/>
                  </w:pPr>
                </w:p>
              </w:tc>
              <w:tc>
                <w:tcPr>
                  <w:tcW w:w="645" w:type="dxa"/>
                  <w:vMerge w:val="continue"/>
                  <w:vAlign w:val="center"/>
                </w:tcPr>
                <w:p>
                  <w:pPr>
                    <w:pStyle w:val="11"/>
                    <w:bidi w:val="0"/>
                  </w:pPr>
                </w:p>
              </w:tc>
              <w:tc>
                <w:tcPr>
                  <w:tcW w:w="1819" w:type="dxa"/>
                  <w:vAlign w:val="center"/>
                </w:tcPr>
                <w:p>
                  <w:pPr>
                    <w:pStyle w:val="11"/>
                    <w:bidi w:val="0"/>
                    <w:rPr>
                      <w:rFonts w:hint="eastAsia"/>
                      <w:lang w:val="en-US" w:eastAsia="zh-CN"/>
                    </w:rPr>
                  </w:pPr>
                  <w:r>
                    <w:rPr>
                      <w:rFonts w:hint="eastAsia"/>
                    </w:rPr>
                    <w:t>产生量（t/a）</w:t>
                  </w:r>
                </w:p>
              </w:tc>
              <w:tc>
                <w:tcPr>
                  <w:tcW w:w="1159" w:type="dxa"/>
                  <w:vAlign w:val="center"/>
                </w:tcPr>
                <w:p>
                  <w:pPr>
                    <w:pStyle w:val="11"/>
                    <w:bidi w:val="0"/>
                  </w:pPr>
                  <w:r>
                    <w:rPr>
                      <w:rFonts w:hint="default"/>
                      <w:lang w:val="en-US" w:eastAsia="zh-CN"/>
                    </w:rPr>
                    <w:t>0.0724</w:t>
                  </w:r>
                </w:p>
              </w:tc>
              <w:tc>
                <w:tcPr>
                  <w:tcW w:w="1159" w:type="dxa"/>
                  <w:vAlign w:val="center"/>
                </w:tcPr>
                <w:p>
                  <w:pPr>
                    <w:pStyle w:val="11"/>
                    <w:bidi w:val="0"/>
                  </w:pPr>
                  <w:r>
                    <w:rPr>
                      <w:rFonts w:hint="default"/>
                      <w:lang w:val="en-US" w:eastAsia="zh-CN"/>
                    </w:rPr>
                    <w:t>0.0374</w:t>
                  </w:r>
                </w:p>
              </w:tc>
              <w:tc>
                <w:tcPr>
                  <w:tcW w:w="1159" w:type="dxa"/>
                  <w:vAlign w:val="center"/>
                </w:tcPr>
                <w:p>
                  <w:pPr>
                    <w:pStyle w:val="11"/>
                    <w:bidi w:val="0"/>
                  </w:pPr>
                  <w:r>
                    <w:rPr>
                      <w:rFonts w:hint="default"/>
                      <w:lang w:val="en-US" w:eastAsia="zh-CN"/>
                    </w:rPr>
                    <w:t>0.0499</w:t>
                  </w:r>
                </w:p>
              </w:tc>
              <w:tc>
                <w:tcPr>
                  <w:tcW w:w="1160" w:type="dxa"/>
                  <w:vAlign w:val="center"/>
                </w:tcPr>
                <w:p>
                  <w:pPr>
                    <w:pStyle w:val="11"/>
                    <w:bidi w:val="0"/>
                  </w:pPr>
                  <w:r>
                    <w:rPr>
                      <w:rFonts w:hint="default"/>
                      <w:lang w:val="en-US" w:eastAsia="zh-CN"/>
                    </w:rPr>
                    <w:t>0.0075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69" w:type="dxa"/>
                  <w:vMerge w:val="continue"/>
                  <w:vAlign w:val="center"/>
                </w:tcPr>
                <w:p>
                  <w:pPr>
                    <w:pStyle w:val="11"/>
                    <w:bidi w:val="0"/>
                  </w:pPr>
                </w:p>
              </w:tc>
              <w:tc>
                <w:tcPr>
                  <w:tcW w:w="2464" w:type="dxa"/>
                  <w:gridSpan w:val="2"/>
                  <w:vAlign w:val="center"/>
                </w:tcPr>
                <w:p>
                  <w:pPr>
                    <w:pStyle w:val="11"/>
                    <w:bidi w:val="0"/>
                    <w:rPr>
                      <w:rFonts w:hint="eastAsia"/>
                      <w:lang w:val="en-US" w:eastAsia="zh-CN"/>
                    </w:rPr>
                  </w:pPr>
                  <w:r>
                    <w:rPr>
                      <w:rFonts w:hint="eastAsia"/>
                    </w:rPr>
                    <w:t>措施</w:t>
                  </w:r>
                </w:p>
              </w:tc>
              <w:tc>
                <w:tcPr>
                  <w:tcW w:w="4637" w:type="dxa"/>
                  <w:gridSpan w:val="4"/>
                  <w:vAlign w:val="center"/>
                </w:tcPr>
                <w:p>
                  <w:pPr>
                    <w:pStyle w:val="11"/>
                    <w:bidi w:val="0"/>
                  </w:pPr>
                  <w:r>
                    <w:rPr>
                      <w:rFonts w:hint="eastAsia"/>
                    </w:rPr>
                    <w:t>化粪池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69" w:type="dxa"/>
                  <w:vMerge w:val="continue"/>
                  <w:vAlign w:val="center"/>
                </w:tcPr>
                <w:p>
                  <w:pPr>
                    <w:pStyle w:val="11"/>
                    <w:bidi w:val="0"/>
                  </w:pPr>
                </w:p>
              </w:tc>
              <w:tc>
                <w:tcPr>
                  <w:tcW w:w="2464" w:type="dxa"/>
                  <w:gridSpan w:val="2"/>
                  <w:vAlign w:val="center"/>
                </w:tcPr>
                <w:p>
                  <w:pPr>
                    <w:pStyle w:val="11"/>
                    <w:bidi w:val="0"/>
                    <w:rPr>
                      <w:rFonts w:hint="eastAsia"/>
                      <w:lang w:val="en-US" w:eastAsia="zh-CN"/>
                    </w:rPr>
                  </w:pPr>
                  <w:r>
                    <w:rPr>
                      <w:rFonts w:hint="eastAsia"/>
                    </w:rPr>
                    <w:t>处理效率</w:t>
                  </w:r>
                  <w:r>
                    <w:rPr>
                      <w:rFonts w:hint="eastAsia"/>
                      <w:lang w:eastAsia="zh-CN"/>
                    </w:rPr>
                    <w:t>（</w:t>
                  </w:r>
                  <w:r>
                    <w:rPr>
                      <w:rFonts w:hint="eastAsia"/>
                      <w:lang w:val="en-US" w:eastAsia="zh-CN"/>
                    </w:rPr>
                    <w:t>%</w:t>
                  </w:r>
                  <w:r>
                    <w:rPr>
                      <w:rFonts w:hint="eastAsia"/>
                      <w:lang w:eastAsia="zh-CN"/>
                    </w:rPr>
                    <w:t>）</w:t>
                  </w:r>
                </w:p>
              </w:tc>
              <w:tc>
                <w:tcPr>
                  <w:tcW w:w="1159" w:type="dxa"/>
                  <w:vAlign w:val="center"/>
                </w:tcPr>
                <w:p>
                  <w:pPr>
                    <w:pStyle w:val="11"/>
                    <w:bidi w:val="0"/>
                    <w:rPr>
                      <w:rFonts w:hint="eastAsia"/>
                      <w:lang w:val="en-US" w:eastAsia="zh-CN"/>
                    </w:rPr>
                  </w:pPr>
                  <w:r>
                    <w:rPr>
                      <w:rFonts w:hint="eastAsia"/>
                    </w:rPr>
                    <w:t>15</w:t>
                  </w:r>
                </w:p>
              </w:tc>
              <w:tc>
                <w:tcPr>
                  <w:tcW w:w="1159" w:type="dxa"/>
                  <w:vAlign w:val="center"/>
                </w:tcPr>
                <w:p>
                  <w:pPr>
                    <w:pStyle w:val="11"/>
                    <w:bidi w:val="0"/>
                    <w:rPr>
                      <w:rFonts w:hint="eastAsia"/>
                      <w:lang w:val="en-US" w:eastAsia="zh-CN"/>
                    </w:rPr>
                  </w:pPr>
                  <w:r>
                    <w:t>20</w:t>
                  </w:r>
                </w:p>
              </w:tc>
              <w:tc>
                <w:tcPr>
                  <w:tcW w:w="1159" w:type="dxa"/>
                  <w:vAlign w:val="center"/>
                </w:tcPr>
                <w:p>
                  <w:pPr>
                    <w:pStyle w:val="11"/>
                    <w:bidi w:val="0"/>
                    <w:rPr>
                      <w:rFonts w:hint="eastAsia"/>
                      <w:lang w:val="en-US" w:eastAsia="zh-CN"/>
                    </w:rPr>
                  </w:pPr>
                  <w:r>
                    <w:t>40</w:t>
                  </w:r>
                </w:p>
              </w:tc>
              <w:tc>
                <w:tcPr>
                  <w:tcW w:w="1160" w:type="dxa"/>
                  <w:vAlign w:val="center"/>
                </w:tcPr>
                <w:p>
                  <w:pPr>
                    <w:pStyle w:val="11"/>
                    <w:bidi w:val="0"/>
                    <w:rPr>
                      <w:rFonts w:hint="eastAsia"/>
                      <w:lang w:val="en-US" w:eastAsia="zh-CN"/>
                    </w:rPr>
                  </w:pPr>
                  <w: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69" w:type="dxa"/>
                  <w:vMerge w:val="continue"/>
                  <w:vAlign w:val="center"/>
                </w:tcPr>
                <w:p>
                  <w:pPr>
                    <w:pStyle w:val="11"/>
                    <w:bidi w:val="0"/>
                  </w:pPr>
                </w:p>
              </w:tc>
              <w:tc>
                <w:tcPr>
                  <w:tcW w:w="645" w:type="dxa"/>
                  <w:vMerge w:val="restart"/>
                  <w:vAlign w:val="center"/>
                </w:tcPr>
                <w:p>
                  <w:pPr>
                    <w:pStyle w:val="11"/>
                    <w:bidi w:val="0"/>
                    <w:rPr>
                      <w:rFonts w:hint="eastAsia"/>
                    </w:rPr>
                  </w:pPr>
                  <w:r>
                    <w:rPr>
                      <w:rFonts w:hint="eastAsia"/>
                    </w:rPr>
                    <w:t>排放</w:t>
                  </w:r>
                </w:p>
                <w:p>
                  <w:pPr>
                    <w:pStyle w:val="11"/>
                    <w:bidi w:val="0"/>
                    <w:rPr>
                      <w:rFonts w:hint="eastAsia"/>
                      <w:lang w:val="en-US" w:eastAsia="zh-CN"/>
                    </w:rPr>
                  </w:pPr>
                  <w:r>
                    <w:rPr>
                      <w:rFonts w:hint="eastAsia"/>
                    </w:rPr>
                    <w:t>情况</w:t>
                  </w:r>
                </w:p>
              </w:tc>
              <w:tc>
                <w:tcPr>
                  <w:tcW w:w="1819" w:type="dxa"/>
                  <w:vAlign w:val="center"/>
                </w:tcPr>
                <w:p>
                  <w:pPr>
                    <w:pStyle w:val="11"/>
                    <w:bidi w:val="0"/>
                    <w:rPr>
                      <w:rFonts w:hint="eastAsia"/>
                      <w:lang w:val="en-US" w:eastAsia="zh-CN"/>
                    </w:rPr>
                  </w:pPr>
                  <w:r>
                    <w:rPr>
                      <w:rFonts w:hint="eastAsia"/>
                    </w:rPr>
                    <w:t>浓度（mg/L）</w:t>
                  </w:r>
                </w:p>
              </w:tc>
              <w:tc>
                <w:tcPr>
                  <w:tcW w:w="1159" w:type="dxa"/>
                  <w:vAlign w:val="center"/>
                </w:tcPr>
                <w:p>
                  <w:pPr>
                    <w:pStyle w:val="11"/>
                    <w:bidi w:val="0"/>
                  </w:pPr>
                  <w:r>
                    <w:t>247</w:t>
                  </w:r>
                </w:p>
              </w:tc>
              <w:tc>
                <w:tcPr>
                  <w:tcW w:w="1159" w:type="dxa"/>
                  <w:vAlign w:val="center"/>
                </w:tcPr>
                <w:p>
                  <w:pPr>
                    <w:pStyle w:val="11"/>
                    <w:bidi w:val="0"/>
                  </w:pPr>
                  <w:r>
                    <w:t>120</w:t>
                  </w:r>
                </w:p>
              </w:tc>
              <w:tc>
                <w:tcPr>
                  <w:tcW w:w="1159" w:type="dxa"/>
                  <w:vAlign w:val="center"/>
                </w:tcPr>
                <w:p>
                  <w:pPr>
                    <w:pStyle w:val="11"/>
                    <w:bidi w:val="0"/>
                  </w:pPr>
                  <w:r>
                    <w:t>120</w:t>
                  </w:r>
                </w:p>
              </w:tc>
              <w:tc>
                <w:tcPr>
                  <w:tcW w:w="1160" w:type="dxa"/>
                  <w:vAlign w:val="center"/>
                </w:tcPr>
                <w:p>
                  <w:pPr>
                    <w:pStyle w:val="11"/>
                    <w:bidi w:val="0"/>
                  </w:pPr>
                  <w: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69" w:type="dxa"/>
                  <w:vMerge w:val="continue"/>
                  <w:vAlign w:val="center"/>
                </w:tcPr>
                <w:p>
                  <w:pPr>
                    <w:pStyle w:val="11"/>
                    <w:bidi w:val="0"/>
                  </w:pPr>
                </w:p>
              </w:tc>
              <w:tc>
                <w:tcPr>
                  <w:tcW w:w="645" w:type="dxa"/>
                  <w:vMerge w:val="continue"/>
                  <w:vAlign w:val="center"/>
                </w:tcPr>
                <w:p>
                  <w:pPr>
                    <w:pStyle w:val="11"/>
                    <w:bidi w:val="0"/>
                  </w:pPr>
                </w:p>
              </w:tc>
              <w:tc>
                <w:tcPr>
                  <w:tcW w:w="1819" w:type="dxa"/>
                  <w:vAlign w:val="center"/>
                </w:tcPr>
                <w:p>
                  <w:pPr>
                    <w:pStyle w:val="11"/>
                    <w:bidi w:val="0"/>
                    <w:rPr>
                      <w:rFonts w:hint="eastAsia"/>
                      <w:lang w:val="en-US" w:eastAsia="zh-CN"/>
                    </w:rPr>
                  </w:pPr>
                  <w:r>
                    <w:rPr>
                      <w:rFonts w:hint="eastAsia"/>
                    </w:rPr>
                    <w:t>出厂排放量（t/a）</w:t>
                  </w:r>
                </w:p>
              </w:tc>
              <w:tc>
                <w:tcPr>
                  <w:tcW w:w="1159" w:type="dxa"/>
                  <w:vAlign w:val="center"/>
                </w:tcPr>
                <w:p>
                  <w:pPr>
                    <w:pStyle w:val="11"/>
                    <w:bidi w:val="0"/>
                  </w:pPr>
                  <w:r>
                    <w:rPr>
                      <w:rFonts w:hint="default"/>
                      <w:lang w:val="en-US" w:eastAsia="zh-CN"/>
                    </w:rPr>
                    <w:t>0.0615</w:t>
                  </w:r>
                </w:p>
              </w:tc>
              <w:tc>
                <w:tcPr>
                  <w:tcW w:w="1159" w:type="dxa"/>
                  <w:vAlign w:val="center"/>
                </w:tcPr>
                <w:p>
                  <w:pPr>
                    <w:pStyle w:val="11"/>
                    <w:bidi w:val="0"/>
                  </w:pPr>
                  <w:r>
                    <w:rPr>
                      <w:rFonts w:hint="default"/>
                      <w:lang w:val="en-US" w:eastAsia="zh-CN"/>
                    </w:rPr>
                    <w:t>0.0300</w:t>
                  </w:r>
                </w:p>
              </w:tc>
              <w:tc>
                <w:tcPr>
                  <w:tcW w:w="1159" w:type="dxa"/>
                  <w:vAlign w:val="center"/>
                </w:tcPr>
                <w:p>
                  <w:pPr>
                    <w:pStyle w:val="11"/>
                    <w:bidi w:val="0"/>
                  </w:pPr>
                  <w:r>
                    <w:rPr>
                      <w:rFonts w:hint="default"/>
                      <w:lang w:val="en-US" w:eastAsia="zh-CN"/>
                    </w:rPr>
                    <w:t>0.0300</w:t>
                  </w:r>
                </w:p>
              </w:tc>
              <w:tc>
                <w:tcPr>
                  <w:tcW w:w="1160" w:type="dxa"/>
                  <w:vAlign w:val="center"/>
                </w:tcPr>
                <w:p>
                  <w:pPr>
                    <w:pStyle w:val="11"/>
                    <w:bidi w:val="0"/>
                  </w:pPr>
                  <w:r>
                    <w:rPr>
                      <w:rFonts w:hint="default"/>
                      <w:lang w:val="en-US" w:eastAsia="zh-CN"/>
                    </w:rPr>
                    <w:t>0.0075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33" w:type="dxa"/>
                  <w:gridSpan w:val="3"/>
                  <w:vAlign w:val="center"/>
                </w:tcPr>
                <w:p>
                  <w:pPr>
                    <w:pStyle w:val="11"/>
                    <w:bidi w:val="0"/>
                    <w:rPr>
                      <w:rFonts w:hint="eastAsia"/>
                    </w:rPr>
                  </w:pPr>
                  <w:r>
                    <w:rPr>
                      <w:rFonts w:hint="eastAsia"/>
                    </w:rPr>
                    <w:t>《污水综合排放标准》</w:t>
                  </w:r>
                </w:p>
                <w:p>
                  <w:pPr>
                    <w:pStyle w:val="11"/>
                    <w:bidi w:val="0"/>
                    <w:rPr>
                      <w:rFonts w:hint="eastAsia"/>
                      <w:lang w:val="en-US" w:eastAsia="zh-CN"/>
                    </w:rPr>
                  </w:pPr>
                  <w:r>
                    <w:rPr>
                      <w:rFonts w:hint="eastAsia"/>
                    </w:rPr>
                    <w:t>（GB8978-1996）表4三级标准</w:t>
                  </w:r>
                </w:p>
              </w:tc>
              <w:tc>
                <w:tcPr>
                  <w:tcW w:w="1159" w:type="dxa"/>
                  <w:vAlign w:val="center"/>
                </w:tcPr>
                <w:p>
                  <w:pPr>
                    <w:pStyle w:val="11"/>
                    <w:bidi w:val="0"/>
                    <w:rPr>
                      <w:rFonts w:hint="eastAsia"/>
                      <w:lang w:val="en-US" w:eastAsia="zh-CN"/>
                    </w:rPr>
                  </w:pPr>
                  <w:r>
                    <w:rPr>
                      <w:rFonts w:hint="eastAsia"/>
                    </w:rPr>
                    <w:t>500</w:t>
                  </w:r>
                </w:p>
              </w:tc>
              <w:tc>
                <w:tcPr>
                  <w:tcW w:w="1159" w:type="dxa"/>
                  <w:vAlign w:val="center"/>
                </w:tcPr>
                <w:p>
                  <w:pPr>
                    <w:pStyle w:val="11"/>
                    <w:bidi w:val="0"/>
                    <w:rPr>
                      <w:rFonts w:hint="eastAsia"/>
                      <w:lang w:val="en-US" w:eastAsia="zh-CN"/>
                    </w:rPr>
                  </w:pPr>
                  <w:r>
                    <w:rPr>
                      <w:rFonts w:hint="eastAsia"/>
                    </w:rPr>
                    <w:t>300</w:t>
                  </w:r>
                </w:p>
              </w:tc>
              <w:tc>
                <w:tcPr>
                  <w:tcW w:w="1159" w:type="dxa"/>
                  <w:vAlign w:val="center"/>
                </w:tcPr>
                <w:p>
                  <w:pPr>
                    <w:pStyle w:val="11"/>
                    <w:bidi w:val="0"/>
                    <w:rPr>
                      <w:rFonts w:hint="eastAsia"/>
                      <w:lang w:val="en-US" w:eastAsia="zh-CN"/>
                    </w:rPr>
                  </w:pPr>
                  <w:r>
                    <w:rPr>
                      <w:rFonts w:hint="eastAsia"/>
                    </w:rPr>
                    <w:t>400</w:t>
                  </w:r>
                </w:p>
              </w:tc>
              <w:tc>
                <w:tcPr>
                  <w:tcW w:w="1160" w:type="dxa"/>
                  <w:vAlign w:val="center"/>
                </w:tcPr>
                <w:p>
                  <w:pPr>
                    <w:pStyle w:val="11"/>
                    <w:bidi w:val="0"/>
                    <w:rPr>
                      <w:rFonts w:hint="eastAsia"/>
                      <w:lang w:val="en-US" w:eastAsia="zh-CN"/>
                    </w:rPr>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33" w:type="dxa"/>
                  <w:gridSpan w:val="3"/>
                  <w:vAlign w:val="center"/>
                </w:tcPr>
                <w:p>
                  <w:pPr>
                    <w:pStyle w:val="11"/>
                    <w:bidi w:val="0"/>
                    <w:rPr>
                      <w:rFonts w:hint="eastAsia"/>
                      <w:lang w:val="en-US" w:eastAsia="zh-CN"/>
                    </w:rPr>
                  </w:pPr>
                  <w:r>
                    <w:rPr>
                      <w:rFonts w:hint="eastAsia"/>
                      <w:lang w:eastAsia="zh-CN"/>
                    </w:rPr>
                    <w:t>许昌市城乡一体化示范区中原电气谷污水处理厂</w:t>
                  </w:r>
                  <w:r>
                    <w:rPr>
                      <w:rFonts w:hint="eastAsia"/>
                    </w:rPr>
                    <w:t>进水水质要求</w:t>
                  </w:r>
                </w:p>
              </w:tc>
              <w:tc>
                <w:tcPr>
                  <w:tcW w:w="1159" w:type="dxa"/>
                  <w:vAlign w:val="center"/>
                </w:tcPr>
                <w:p>
                  <w:pPr>
                    <w:pStyle w:val="11"/>
                    <w:bidi w:val="0"/>
                    <w:rPr>
                      <w:lang w:val="en-US" w:eastAsia="zh-CN"/>
                    </w:rPr>
                  </w:pPr>
                  <w:r>
                    <w:t>400</w:t>
                  </w:r>
                </w:p>
              </w:tc>
              <w:tc>
                <w:tcPr>
                  <w:tcW w:w="1159" w:type="dxa"/>
                  <w:vAlign w:val="center"/>
                </w:tcPr>
                <w:p>
                  <w:pPr>
                    <w:pStyle w:val="11"/>
                    <w:bidi w:val="0"/>
                    <w:rPr>
                      <w:rFonts w:hint="default"/>
                      <w:lang w:val="en-US" w:eastAsia="zh-CN"/>
                    </w:rPr>
                  </w:pPr>
                  <w:r>
                    <w:rPr>
                      <w:rFonts w:hint="eastAsia"/>
                      <w:lang w:val="en-US" w:eastAsia="zh-CN"/>
                    </w:rPr>
                    <w:t>200</w:t>
                  </w:r>
                </w:p>
              </w:tc>
              <w:tc>
                <w:tcPr>
                  <w:tcW w:w="1159" w:type="dxa"/>
                  <w:vAlign w:val="center"/>
                </w:tcPr>
                <w:p>
                  <w:pPr>
                    <w:pStyle w:val="11"/>
                    <w:bidi w:val="0"/>
                    <w:rPr>
                      <w:lang w:val="en-US" w:eastAsia="zh-CN"/>
                    </w:rPr>
                  </w:pPr>
                  <w:r>
                    <w:t>2</w:t>
                  </w:r>
                  <w:r>
                    <w:rPr>
                      <w:rFonts w:hint="eastAsia"/>
                      <w:lang w:val="en-US" w:eastAsia="zh-CN"/>
                    </w:rPr>
                    <w:t>5</w:t>
                  </w:r>
                  <w:r>
                    <w:t>0</w:t>
                  </w:r>
                </w:p>
              </w:tc>
              <w:tc>
                <w:tcPr>
                  <w:tcW w:w="1160" w:type="dxa"/>
                  <w:vAlign w:val="center"/>
                </w:tcPr>
                <w:p>
                  <w:pPr>
                    <w:pStyle w:val="11"/>
                    <w:bidi w:val="0"/>
                    <w:rPr>
                      <w:rFonts w:hint="default"/>
                      <w:lang w:val="en-US" w:eastAsia="zh-CN"/>
                    </w:rPr>
                  </w:pPr>
                  <w:r>
                    <w:rPr>
                      <w:rFonts w:hint="eastAsia"/>
                      <w:lang w:val="en-US" w:eastAsia="zh-CN"/>
                    </w:rPr>
                    <w:t>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33" w:type="dxa"/>
                  <w:gridSpan w:val="3"/>
                  <w:vAlign w:val="center"/>
                </w:tcPr>
                <w:p>
                  <w:pPr>
                    <w:pStyle w:val="11"/>
                    <w:bidi w:val="0"/>
                    <w:rPr>
                      <w:rFonts w:hint="eastAsia"/>
                      <w:lang w:val="en-US" w:eastAsia="zh-CN"/>
                    </w:rPr>
                  </w:pPr>
                  <w:r>
                    <w:rPr>
                      <w:rFonts w:hint="eastAsia"/>
                    </w:rPr>
                    <w:t>达标情况</w:t>
                  </w:r>
                </w:p>
              </w:tc>
              <w:tc>
                <w:tcPr>
                  <w:tcW w:w="1159" w:type="dxa"/>
                  <w:vAlign w:val="center"/>
                </w:tcPr>
                <w:p>
                  <w:pPr>
                    <w:pStyle w:val="11"/>
                    <w:bidi w:val="0"/>
                    <w:rPr>
                      <w:rFonts w:hint="eastAsia"/>
                      <w:lang w:val="en-US" w:eastAsia="zh-CN"/>
                    </w:rPr>
                  </w:pPr>
                  <w:r>
                    <w:rPr>
                      <w:rFonts w:hint="eastAsia"/>
                    </w:rPr>
                    <w:t>达标</w:t>
                  </w:r>
                </w:p>
              </w:tc>
              <w:tc>
                <w:tcPr>
                  <w:tcW w:w="1159" w:type="dxa"/>
                  <w:vAlign w:val="center"/>
                </w:tcPr>
                <w:p>
                  <w:pPr>
                    <w:pStyle w:val="11"/>
                    <w:bidi w:val="0"/>
                    <w:rPr>
                      <w:rFonts w:hint="eastAsia"/>
                      <w:lang w:val="en-US" w:eastAsia="zh-CN"/>
                    </w:rPr>
                  </w:pPr>
                  <w:r>
                    <w:rPr>
                      <w:rFonts w:hint="eastAsia"/>
                    </w:rPr>
                    <w:t>达标</w:t>
                  </w:r>
                </w:p>
              </w:tc>
              <w:tc>
                <w:tcPr>
                  <w:tcW w:w="1159" w:type="dxa"/>
                  <w:vAlign w:val="center"/>
                </w:tcPr>
                <w:p>
                  <w:pPr>
                    <w:pStyle w:val="11"/>
                    <w:bidi w:val="0"/>
                    <w:rPr>
                      <w:rFonts w:hint="eastAsia"/>
                      <w:lang w:val="en-US" w:eastAsia="zh-CN"/>
                    </w:rPr>
                  </w:pPr>
                  <w:r>
                    <w:rPr>
                      <w:rFonts w:hint="eastAsia"/>
                    </w:rPr>
                    <w:t>达标</w:t>
                  </w:r>
                </w:p>
              </w:tc>
              <w:tc>
                <w:tcPr>
                  <w:tcW w:w="1160" w:type="dxa"/>
                  <w:vAlign w:val="center"/>
                </w:tcPr>
                <w:p>
                  <w:pPr>
                    <w:pStyle w:val="11"/>
                    <w:bidi w:val="0"/>
                    <w:rPr>
                      <w:rFonts w:hint="eastAsia"/>
                      <w:lang w:val="en-US" w:eastAsia="zh-CN"/>
                    </w:rPr>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33" w:type="dxa"/>
                  <w:gridSpan w:val="3"/>
                  <w:vAlign w:val="center"/>
                </w:tcPr>
                <w:p>
                  <w:pPr>
                    <w:pStyle w:val="11"/>
                    <w:bidi w:val="0"/>
                    <w:rPr>
                      <w:rFonts w:hint="eastAsia"/>
                      <w:lang w:val="en-US" w:eastAsia="zh-CN"/>
                    </w:rPr>
                  </w:pPr>
                  <w:r>
                    <w:rPr>
                      <w:rFonts w:hint="eastAsia"/>
                      <w:lang w:eastAsia="zh-CN"/>
                    </w:rPr>
                    <w:t>许昌市城乡一体化示范区中原电气谷污水处理厂</w:t>
                  </w:r>
                  <w:r>
                    <w:rPr>
                      <w:rFonts w:hint="eastAsia"/>
                    </w:rPr>
                    <w:t>出水水质</w:t>
                  </w:r>
                </w:p>
              </w:tc>
              <w:tc>
                <w:tcPr>
                  <w:tcW w:w="1159" w:type="dxa"/>
                  <w:vAlign w:val="center"/>
                </w:tcPr>
                <w:p>
                  <w:pPr>
                    <w:pStyle w:val="11"/>
                    <w:bidi w:val="0"/>
                    <w:rPr>
                      <w:rFonts w:hint="eastAsia"/>
                      <w:lang w:val="en-US" w:eastAsia="zh-CN"/>
                    </w:rPr>
                  </w:pPr>
                  <w:r>
                    <w:t>30</w:t>
                  </w:r>
                </w:p>
              </w:tc>
              <w:tc>
                <w:tcPr>
                  <w:tcW w:w="1159" w:type="dxa"/>
                  <w:vAlign w:val="center"/>
                </w:tcPr>
                <w:p>
                  <w:pPr>
                    <w:pStyle w:val="11"/>
                    <w:bidi w:val="0"/>
                    <w:rPr>
                      <w:rFonts w:hint="eastAsia"/>
                      <w:lang w:val="en-US" w:eastAsia="zh-CN"/>
                    </w:rPr>
                  </w:pPr>
                  <w:r>
                    <w:t>10</w:t>
                  </w:r>
                </w:p>
              </w:tc>
              <w:tc>
                <w:tcPr>
                  <w:tcW w:w="1159" w:type="dxa"/>
                  <w:vAlign w:val="center"/>
                </w:tcPr>
                <w:p>
                  <w:pPr>
                    <w:pStyle w:val="11"/>
                    <w:bidi w:val="0"/>
                    <w:rPr>
                      <w:rFonts w:hint="eastAsia"/>
                      <w:lang w:val="en-US" w:eastAsia="zh-CN"/>
                    </w:rPr>
                  </w:pPr>
                  <w:r>
                    <w:t>10</w:t>
                  </w:r>
                </w:p>
              </w:tc>
              <w:tc>
                <w:tcPr>
                  <w:tcW w:w="1160" w:type="dxa"/>
                  <w:vAlign w:val="center"/>
                </w:tcPr>
                <w:p>
                  <w:pPr>
                    <w:pStyle w:val="11"/>
                    <w:bidi w:val="0"/>
                    <w:rPr>
                      <w:rFonts w:hint="eastAsia"/>
                      <w:lang w:val="en-US" w:eastAsia="zh-CN"/>
                    </w:rPr>
                  </w:pPr>
                  <w: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33" w:type="dxa"/>
                  <w:gridSpan w:val="3"/>
                  <w:vAlign w:val="center"/>
                </w:tcPr>
                <w:p>
                  <w:pPr>
                    <w:pStyle w:val="11"/>
                    <w:bidi w:val="0"/>
                    <w:rPr>
                      <w:rFonts w:hint="eastAsia"/>
                      <w:lang w:val="en-US" w:eastAsia="zh-CN"/>
                    </w:rPr>
                  </w:pPr>
                  <w:r>
                    <w:rPr>
                      <w:rFonts w:hint="eastAsia"/>
                    </w:rPr>
                    <w:t>入环境排放量（t/a）</w:t>
                  </w:r>
                </w:p>
              </w:tc>
              <w:tc>
                <w:tcPr>
                  <w:tcW w:w="1159" w:type="dxa"/>
                  <w:vAlign w:val="center"/>
                </w:tcPr>
                <w:p>
                  <w:pPr>
                    <w:pStyle w:val="11"/>
                    <w:bidi w:val="0"/>
                    <w:rPr>
                      <w:rFonts w:hint="default"/>
                      <w:lang w:val="en-US" w:eastAsia="zh-CN"/>
                    </w:rPr>
                  </w:pPr>
                  <w:r>
                    <w:t>0.00</w:t>
                  </w:r>
                  <w:r>
                    <w:rPr>
                      <w:rFonts w:hint="eastAsia"/>
                      <w:lang w:val="en-US" w:eastAsia="zh-CN"/>
                    </w:rPr>
                    <w:t>75</w:t>
                  </w:r>
                </w:p>
              </w:tc>
              <w:tc>
                <w:tcPr>
                  <w:tcW w:w="1159" w:type="dxa"/>
                  <w:vAlign w:val="center"/>
                </w:tcPr>
                <w:p>
                  <w:pPr>
                    <w:pStyle w:val="11"/>
                    <w:bidi w:val="0"/>
                    <w:rPr>
                      <w:rFonts w:hint="eastAsia"/>
                      <w:lang w:val="en-US" w:eastAsia="zh-CN"/>
                    </w:rPr>
                  </w:pPr>
                  <w:r>
                    <w:rPr>
                      <w:rFonts w:hint="eastAsia"/>
                    </w:rPr>
                    <w:t>/</w:t>
                  </w:r>
                </w:p>
              </w:tc>
              <w:tc>
                <w:tcPr>
                  <w:tcW w:w="1159" w:type="dxa"/>
                  <w:vAlign w:val="center"/>
                </w:tcPr>
                <w:p>
                  <w:pPr>
                    <w:pStyle w:val="11"/>
                    <w:bidi w:val="0"/>
                    <w:rPr>
                      <w:lang w:val="en-US" w:eastAsia="zh-CN"/>
                    </w:rPr>
                  </w:pPr>
                  <w:r>
                    <w:t>/</w:t>
                  </w:r>
                </w:p>
              </w:tc>
              <w:tc>
                <w:tcPr>
                  <w:tcW w:w="1160" w:type="dxa"/>
                  <w:vAlign w:val="center"/>
                </w:tcPr>
                <w:p>
                  <w:pPr>
                    <w:pStyle w:val="11"/>
                    <w:bidi w:val="0"/>
                    <w:rPr>
                      <w:rFonts w:hint="eastAsia"/>
                      <w:lang w:val="en-US" w:eastAsia="zh-CN"/>
                    </w:rPr>
                  </w:pPr>
                  <w:r>
                    <w:t>0.0003</w:t>
                  </w:r>
                  <w:r>
                    <w:rPr>
                      <w:rFonts w:hint="eastAsia"/>
                      <w:lang w:val="en-US" w:eastAsia="zh-CN"/>
                    </w:rPr>
                    <w:t>7</w:t>
                  </w:r>
                </w:p>
              </w:tc>
            </w:tr>
          </w:tbl>
          <w:p>
            <w:pPr>
              <w:pStyle w:val="12"/>
              <w:widowControl w:val="0"/>
              <w:bidi w:val="0"/>
            </w:pPr>
            <w:r>
              <w:t xml:space="preserve">表4-5 </w:t>
            </w:r>
            <w:r>
              <w:rPr>
                <w:rFonts w:hint="eastAsia"/>
                <w:lang w:val="en-US" w:eastAsia="zh-CN"/>
              </w:rPr>
              <w:t xml:space="preserve"> </w:t>
            </w:r>
            <w:r>
              <w:t xml:space="preserve"> 生活污水排放口基本情况一览表</w:t>
            </w:r>
          </w:p>
          <w:tbl>
            <w:tblPr>
              <w:tblStyle w:val="9"/>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17"/>
              <w:gridCol w:w="885"/>
              <w:gridCol w:w="1798"/>
              <w:gridCol w:w="685"/>
              <w:gridCol w:w="1231"/>
              <w:gridCol w:w="23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19" w:type="pct"/>
                  <w:gridSpan w:val="3"/>
                  <w:vAlign w:val="center"/>
                </w:tcPr>
                <w:p>
                  <w:pPr>
                    <w:pStyle w:val="11"/>
                    <w:bidi w:val="0"/>
                  </w:pPr>
                  <w:r>
                    <w:t>排放口基本情况</w:t>
                  </w:r>
                </w:p>
              </w:tc>
              <w:tc>
                <w:tcPr>
                  <w:tcW w:w="414" w:type="pct"/>
                  <w:vMerge w:val="restart"/>
                  <w:vAlign w:val="center"/>
                </w:tcPr>
                <w:p>
                  <w:pPr>
                    <w:pStyle w:val="11"/>
                    <w:bidi w:val="0"/>
                  </w:pPr>
                  <w:r>
                    <w:t>排放方式</w:t>
                  </w:r>
                </w:p>
              </w:tc>
              <w:tc>
                <w:tcPr>
                  <w:tcW w:w="744" w:type="pct"/>
                  <w:vMerge w:val="restart"/>
                  <w:vAlign w:val="center"/>
                </w:tcPr>
                <w:p>
                  <w:pPr>
                    <w:pStyle w:val="11"/>
                    <w:bidi w:val="0"/>
                  </w:pPr>
                  <w:r>
                    <w:t>排放去向</w:t>
                  </w:r>
                </w:p>
              </w:tc>
              <w:tc>
                <w:tcPr>
                  <w:tcW w:w="1421" w:type="pct"/>
                  <w:vMerge w:val="restart"/>
                  <w:vAlign w:val="center"/>
                </w:tcPr>
                <w:p>
                  <w:pPr>
                    <w:pStyle w:val="11"/>
                    <w:bidi w:val="0"/>
                  </w:pPr>
                  <w:r>
                    <w:t>排放规律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97" w:type="pct"/>
                  <w:vAlign w:val="center"/>
                </w:tcPr>
                <w:p>
                  <w:pPr>
                    <w:pStyle w:val="11"/>
                    <w:bidi w:val="0"/>
                  </w:pPr>
                  <w:r>
                    <w:t>编号及名称</w:t>
                  </w:r>
                </w:p>
              </w:tc>
              <w:tc>
                <w:tcPr>
                  <w:tcW w:w="535" w:type="pct"/>
                  <w:vAlign w:val="center"/>
                </w:tcPr>
                <w:p>
                  <w:pPr>
                    <w:pStyle w:val="11"/>
                    <w:bidi w:val="0"/>
                  </w:pPr>
                  <w:r>
                    <w:t>类型</w:t>
                  </w:r>
                </w:p>
              </w:tc>
              <w:tc>
                <w:tcPr>
                  <w:tcW w:w="1087" w:type="pct"/>
                  <w:vAlign w:val="center"/>
                </w:tcPr>
                <w:p>
                  <w:pPr>
                    <w:pStyle w:val="11"/>
                    <w:bidi w:val="0"/>
                  </w:pPr>
                  <w:r>
                    <w:t>坐标</w:t>
                  </w:r>
                </w:p>
              </w:tc>
              <w:tc>
                <w:tcPr>
                  <w:tcW w:w="414" w:type="pct"/>
                  <w:vMerge w:val="continue"/>
                  <w:vAlign w:val="center"/>
                </w:tcPr>
                <w:p>
                  <w:pPr>
                    <w:pStyle w:val="11"/>
                    <w:bidi w:val="0"/>
                  </w:pPr>
                </w:p>
              </w:tc>
              <w:tc>
                <w:tcPr>
                  <w:tcW w:w="744" w:type="pct"/>
                  <w:vMerge w:val="continue"/>
                  <w:vAlign w:val="center"/>
                </w:tcPr>
                <w:p>
                  <w:pPr>
                    <w:pStyle w:val="11"/>
                    <w:bidi w:val="0"/>
                  </w:pPr>
                </w:p>
              </w:tc>
              <w:tc>
                <w:tcPr>
                  <w:tcW w:w="1421" w:type="pct"/>
                  <w:vMerge w:val="continue"/>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97" w:type="pct"/>
                  <w:vAlign w:val="center"/>
                </w:tcPr>
                <w:p>
                  <w:pPr>
                    <w:pStyle w:val="11"/>
                    <w:bidi w:val="0"/>
                  </w:pPr>
                  <w:r>
                    <w:rPr>
                      <w:rFonts w:hint="eastAsia"/>
                      <w:lang w:val="en-US" w:eastAsia="zh-CN"/>
                    </w:rPr>
                    <w:t>D</w:t>
                  </w:r>
                  <w:r>
                    <w:t>W001生活污水排放口</w:t>
                  </w:r>
                </w:p>
              </w:tc>
              <w:tc>
                <w:tcPr>
                  <w:tcW w:w="535" w:type="pct"/>
                  <w:vAlign w:val="center"/>
                </w:tcPr>
                <w:p>
                  <w:pPr>
                    <w:pStyle w:val="11"/>
                    <w:bidi w:val="0"/>
                  </w:pPr>
                  <w:r>
                    <w:t>一般排放口</w:t>
                  </w:r>
                </w:p>
              </w:tc>
              <w:tc>
                <w:tcPr>
                  <w:tcW w:w="1087" w:type="pct"/>
                  <w:vAlign w:val="center"/>
                </w:tcPr>
                <w:p>
                  <w:pPr>
                    <w:pStyle w:val="11"/>
                    <w:bidi w:val="0"/>
                  </w:pPr>
                  <w:r>
                    <w:t>E：</w:t>
                  </w:r>
                  <w:r>
                    <w:rPr>
                      <w:rFonts w:hint="eastAsia"/>
                    </w:rPr>
                    <w:t>113.89821432</w:t>
                  </w:r>
                </w:p>
                <w:p>
                  <w:pPr>
                    <w:pStyle w:val="11"/>
                    <w:bidi w:val="0"/>
                  </w:pPr>
                  <w:r>
                    <w:t>N：</w:t>
                  </w:r>
                  <w:r>
                    <w:rPr>
                      <w:rFonts w:hint="eastAsia"/>
                    </w:rPr>
                    <w:t>34.07391848</w:t>
                  </w:r>
                </w:p>
              </w:tc>
              <w:tc>
                <w:tcPr>
                  <w:tcW w:w="414" w:type="pct"/>
                  <w:vAlign w:val="center"/>
                </w:tcPr>
                <w:p>
                  <w:pPr>
                    <w:pStyle w:val="11"/>
                    <w:bidi w:val="0"/>
                  </w:pPr>
                  <w:r>
                    <w:t>间接排放</w:t>
                  </w:r>
                </w:p>
              </w:tc>
              <w:tc>
                <w:tcPr>
                  <w:tcW w:w="744" w:type="pct"/>
                  <w:vAlign w:val="center"/>
                </w:tcPr>
                <w:p>
                  <w:pPr>
                    <w:pStyle w:val="11"/>
                    <w:bidi w:val="0"/>
                  </w:pPr>
                  <w:r>
                    <w:t>市政污水管网</w:t>
                  </w:r>
                </w:p>
              </w:tc>
              <w:tc>
                <w:tcPr>
                  <w:tcW w:w="1421" w:type="pct"/>
                  <w:vAlign w:val="center"/>
                </w:tcPr>
                <w:p>
                  <w:pPr>
                    <w:pStyle w:val="11"/>
                    <w:bidi w:val="0"/>
                  </w:pPr>
                  <w:r>
                    <w:t>间断排放，排放期间流量不稳定且无规律，但不属于冲击型排放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6"/>
                  <w:vAlign w:val="center"/>
                </w:tcPr>
                <w:p>
                  <w:pPr>
                    <w:pStyle w:val="11"/>
                    <w:bidi w:val="0"/>
                  </w:pPr>
                  <w:r>
                    <w:t>备注：</w:t>
                  </w:r>
                  <w:r>
                    <w:rPr>
                      <w:rFonts w:hint="eastAsia"/>
                    </w:rPr>
                    <w:t>根据</w:t>
                  </w:r>
                  <w:r>
                    <w:t>《</w:t>
                  </w:r>
                  <w:r>
                    <w:rPr>
                      <w:rFonts w:hint="eastAsia"/>
                    </w:rPr>
                    <w:t>排污许可证申请与核发技术规范 橡胶和塑料制品工业</w:t>
                  </w:r>
                  <w:r>
                    <w:t>》</w:t>
                  </w:r>
                  <w:r>
                    <w:rPr>
                      <w:rFonts w:hint="eastAsia"/>
                    </w:rPr>
                    <w:t>（HJ1122</w:t>
                  </w:r>
                  <w:r>
                    <w:rPr>
                      <w:rFonts w:hint="eastAsia"/>
                      <w:lang w:val="en-US" w:eastAsia="zh-CN"/>
                    </w:rPr>
                    <w:t>-</w:t>
                  </w:r>
                  <w:r>
                    <w:rPr>
                      <w:rFonts w:hint="eastAsia"/>
                    </w:rPr>
                    <w:t>2020）</w:t>
                  </w:r>
                  <w:r>
                    <w:rPr>
                      <w:rFonts w:hint="eastAsia"/>
                      <w:lang w:val="en-US" w:eastAsia="zh-CN"/>
                    </w:rPr>
                    <w:t>4.4.3</w:t>
                  </w:r>
                  <w:r>
                    <w:t>.3</w:t>
                  </w:r>
                  <w:r>
                    <w:rPr>
                      <w:rFonts w:hint="eastAsia"/>
                    </w:rPr>
                    <w:t>废水监测要求中内容，单独排向市政污水处理厂的生活污水不要求开展自行监测</w:t>
                  </w:r>
                </w:p>
              </w:tc>
            </w:tr>
          </w:tbl>
          <w:p>
            <w:pPr>
              <w:keepNext/>
              <w:spacing w:line="360" w:lineRule="auto"/>
              <w:ind w:firstLine="482" w:firstLineChars="200"/>
              <w:outlineLvl w:val="0"/>
              <w:rPr>
                <w:b/>
                <w:bCs/>
              </w:rPr>
            </w:pPr>
            <w:r>
              <w:rPr>
                <w:b/>
                <w:bCs/>
              </w:rPr>
              <w:t>2.2 废水防治措施及影响分析</w:t>
            </w:r>
          </w:p>
          <w:p>
            <w:pPr>
              <w:spacing w:line="360" w:lineRule="auto"/>
              <w:ind w:firstLine="480" w:firstLineChars="200"/>
            </w:pPr>
            <w:r>
              <w:t>项目生活污水</w:t>
            </w:r>
            <w:r>
              <w:rPr>
                <w:rFonts w:hint="eastAsia"/>
                <w:lang w:val="en-US" w:eastAsia="zh-CN"/>
              </w:rPr>
              <w:t>依托园区</w:t>
            </w:r>
            <w:r>
              <w:t>化粪池进行处理，参照《</w:t>
            </w:r>
            <w:r>
              <w:rPr>
                <w:rFonts w:hint="eastAsia"/>
              </w:rPr>
              <w:t>排污许可证申请与核发技术规范 橡胶和塑料制品工业</w:t>
            </w:r>
            <w:r>
              <w:t>》</w:t>
            </w:r>
            <w:r>
              <w:rPr>
                <w:rFonts w:hint="eastAsia"/>
              </w:rPr>
              <w:t>（HJ1122</w:t>
            </w:r>
            <w:r>
              <w:rPr>
                <w:rFonts w:hint="eastAsia"/>
                <w:lang w:val="en-US" w:eastAsia="zh-CN"/>
              </w:rPr>
              <w:t>-</w:t>
            </w:r>
            <w:r>
              <w:rPr>
                <w:rFonts w:hint="eastAsia"/>
              </w:rPr>
              <w:t>2020）</w:t>
            </w:r>
            <w:r>
              <w:t>附录A废水和废气污染防治可行技术参考表，为可行技术。</w:t>
            </w:r>
          </w:p>
          <w:p>
            <w:pPr>
              <w:spacing w:line="360" w:lineRule="auto"/>
              <w:ind w:firstLine="480" w:firstLineChars="200"/>
            </w:pPr>
            <w:r>
              <w:rPr>
                <w:rFonts w:hint="eastAsia"/>
                <w:lang w:eastAsia="zh-CN"/>
              </w:rPr>
              <w:t>许昌市城乡一体化示范区中原电气谷污水处理厂</w:t>
            </w:r>
            <w:r>
              <w:rPr>
                <w:rFonts w:hint="eastAsia"/>
              </w:rPr>
              <w:t>位于示范区永兴路以北，玉兰路以东，服务范围为昌盛路以南、忠武路以西、玉兰路以东、永昌东路以北，服务面积</w:t>
            </w:r>
            <w:r>
              <w:rPr>
                <w:rFonts w:hint="eastAsia"/>
                <w:lang w:val="en-US" w:eastAsia="zh-CN"/>
              </w:rPr>
              <w:t>7</w:t>
            </w:r>
            <w:r>
              <w:rPr>
                <w:rFonts w:hint="eastAsia"/>
              </w:rPr>
              <w:t>平方公里</w:t>
            </w:r>
            <w:r>
              <w:rPr>
                <w:rFonts w:hint="eastAsia"/>
                <w:lang w:eastAsia="zh-CN"/>
              </w:rPr>
              <w:t>。</w:t>
            </w:r>
            <w:r>
              <w:rPr>
                <w:rFonts w:hint="eastAsia"/>
              </w:rPr>
              <w:t>本项目位于</w:t>
            </w:r>
            <w:r>
              <w:rPr>
                <w:rFonts w:hint="eastAsia"/>
                <w:lang w:val="en-US" w:eastAsia="zh-CN"/>
              </w:rPr>
              <w:t>许昌市城乡一体化示范区高新技术产业园东北角</w:t>
            </w:r>
            <w:r>
              <w:rPr>
                <w:rFonts w:hint="eastAsia"/>
              </w:rPr>
              <w:t>，处</w:t>
            </w:r>
            <w:r>
              <w:rPr>
                <w:rFonts w:hint="eastAsia"/>
                <w:lang w:val="en-US" w:eastAsia="zh-CN"/>
              </w:rPr>
              <w:t>于</w:t>
            </w:r>
            <w:r>
              <w:rPr>
                <w:rFonts w:hint="eastAsia"/>
                <w:lang w:eastAsia="zh-CN"/>
              </w:rPr>
              <w:t>中原电气谷污水处理厂</w:t>
            </w:r>
            <w:r>
              <w:rPr>
                <w:rFonts w:hint="eastAsia"/>
              </w:rPr>
              <w:t>收水范围之内。</w:t>
            </w:r>
            <w:r>
              <w:t>由表4-3可知本项目生活污水经化粪池处理后外排水质满足《污水综合排放标准》（GB8978-1996）表4三级标准和</w:t>
            </w:r>
            <w:r>
              <w:rPr>
                <w:rFonts w:hint="eastAsia"/>
                <w:lang w:eastAsia="zh-CN"/>
              </w:rPr>
              <w:t>许昌市城乡一体化示范区中原电气谷污水处理厂</w:t>
            </w:r>
            <w:r>
              <w:t>进水水质标准要求。</w:t>
            </w:r>
            <w:r>
              <w:rPr>
                <w:rFonts w:hint="eastAsia"/>
                <w:lang w:eastAsia="zh-CN"/>
              </w:rPr>
              <w:t>中原电气谷污水处理厂</w:t>
            </w:r>
            <w:r>
              <w:rPr>
                <w:rFonts w:hint="eastAsia"/>
              </w:rPr>
              <w:t>一期工程处理规模均为</w:t>
            </w:r>
            <w:r>
              <w:rPr>
                <w:rFonts w:hint="eastAsia"/>
                <w:lang w:val="en-US" w:eastAsia="zh-CN"/>
              </w:rPr>
              <w:t>1</w:t>
            </w:r>
            <w:r>
              <w:rPr>
                <w:rFonts w:hint="eastAsia"/>
              </w:rPr>
              <w:t>万m</w:t>
            </w:r>
            <w:r>
              <w:rPr>
                <w:rFonts w:hint="eastAsia"/>
                <w:vertAlign w:val="superscript"/>
              </w:rPr>
              <w:t>3</w:t>
            </w:r>
            <w:r>
              <w:rPr>
                <w:rFonts w:hint="eastAsia"/>
              </w:rPr>
              <w:t>/d，</w:t>
            </w:r>
            <w:r>
              <w:t>本项目废水排放量为</w:t>
            </w:r>
            <w:r>
              <w:rPr>
                <w:rFonts w:hint="eastAsia"/>
                <w:lang w:val="en-US" w:eastAsia="zh-CN"/>
              </w:rPr>
              <w:t>0.96</w:t>
            </w:r>
            <w:r>
              <w:t>m</w:t>
            </w:r>
            <w:r>
              <w:rPr>
                <w:vertAlign w:val="superscript"/>
              </w:rPr>
              <w:t>3</w:t>
            </w:r>
            <w:r>
              <w:t>/d，不会对</w:t>
            </w:r>
            <w:r>
              <w:rPr>
                <w:rFonts w:hint="eastAsia"/>
                <w:lang w:eastAsia="zh-CN"/>
              </w:rPr>
              <w:t>许昌市城乡一体化示范区中原电气谷污水处理厂</w:t>
            </w:r>
            <w:r>
              <w:t>造成冲击，因此本项目废水进入</w:t>
            </w:r>
            <w:r>
              <w:rPr>
                <w:rFonts w:hint="eastAsia"/>
                <w:lang w:eastAsia="zh-CN"/>
              </w:rPr>
              <w:t>许昌市城乡一体化示范区中原电气谷污水处理厂</w:t>
            </w:r>
            <w:r>
              <w:t>进行深度处理是可行的。废水经</w:t>
            </w:r>
            <w:r>
              <w:rPr>
                <w:rFonts w:hint="eastAsia"/>
                <w:lang w:eastAsia="zh-CN"/>
              </w:rPr>
              <w:t>许昌市城乡一体化示范区中原电气谷污水处理厂</w:t>
            </w:r>
            <w:r>
              <w:t>深度处理后水质达到《城镇污水处理厂污染物排放标准》（GB18918-2002）一级A标准，最终排入</w:t>
            </w:r>
            <w:r>
              <w:rPr>
                <w:rFonts w:hint="eastAsia"/>
                <w:lang w:eastAsia="zh-CN"/>
              </w:rPr>
              <w:t>小洪河</w:t>
            </w:r>
            <w:r>
              <w:t>，对地表水环境影响较小。</w:t>
            </w:r>
          </w:p>
          <w:p>
            <w:pPr>
              <w:spacing w:line="360" w:lineRule="auto"/>
              <w:ind w:firstLine="480" w:firstLineChars="200"/>
              <w:rPr>
                <w:rFonts w:hint="default"/>
                <w:lang w:val="en-US" w:eastAsia="zh-CN"/>
              </w:rPr>
            </w:pPr>
            <w:r>
              <w:rPr>
                <w:rFonts w:hint="eastAsia"/>
                <w:lang w:val="en-US" w:eastAsia="zh-CN"/>
              </w:rPr>
              <w:t>目前，</w:t>
            </w:r>
            <w:r>
              <w:rPr>
                <w:rFonts w:hint="eastAsia"/>
                <w:lang w:eastAsia="zh-CN"/>
              </w:rPr>
              <w:t>许昌市城乡一体化示范区中原电气谷污水处理厂</w:t>
            </w:r>
            <w:r>
              <w:rPr>
                <w:rFonts w:hint="eastAsia"/>
                <w:lang w:val="en-US" w:eastAsia="zh-CN"/>
              </w:rPr>
              <w:t>正在建设中，项目所在区域污水管网尚未敷设，在管网环通之前本项目将采用吸污车抽取生活污水用于周边农田施肥</w:t>
            </w:r>
            <w:r>
              <w:t>，对地表水环境影响较小</w:t>
            </w:r>
            <w:r>
              <w:rPr>
                <w:rFonts w:hint="eastAsia"/>
                <w:lang w:val="en-US" w:eastAsia="zh-CN"/>
              </w:rPr>
              <w:t>。</w:t>
            </w:r>
          </w:p>
          <w:p>
            <w:pPr>
              <w:pStyle w:val="4"/>
              <w:bidi w:val="0"/>
            </w:pPr>
            <w:r>
              <w:t>3</w:t>
            </w:r>
            <w:r>
              <w:rPr>
                <w:rFonts w:hint="eastAsia"/>
                <w:lang w:eastAsia="zh-CN"/>
              </w:rPr>
              <w:t>、</w:t>
            </w:r>
            <w:r>
              <w:t>噪声</w:t>
            </w:r>
          </w:p>
          <w:p>
            <w:pPr>
              <w:spacing w:line="360" w:lineRule="auto"/>
              <w:ind w:firstLine="482" w:firstLineChars="200"/>
              <w:rPr>
                <w:b/>
                <w:bCs/>
              </w:rPr>
            </w:pPr>
            <w:r>
              <w:rPr>
                <w:b/>
                <w:bCs/>
              </w:rPr>
              <w:t>3.1 噪声源强核算</w:t>
            </w:r>
          </w:p>
          <w:p>
            <w:pPr>
              <w:spacing w:line="360" w:lineRule="auto"/>
              <w:ind w:firstLine="480" w:firstLineChars="200"/>
            </w:pPr>
            <w:r>
              <w:t>根据工程分析可知，项目运营期主要噪声源为</w:t>
            </w:r>
            <w:r>
              <w:rPr>
                <w:rFonts w:hint="eastAsia"/>
                <w:lang w:val="en-US" w:eastAsia="zh-CN"/>
              </w:rPr>
              <w:t>锻造机、车床、加工中心、开炼机</w:t>
            </w:r>
            <w:r>
              <w:t>和废气治理设施风机的运行噪声，源强为65</w:t>
            </w:r>
            <w:r>
              <w:rPr>
                <w:rFonts w:hint="eastAsia"/>
                <w:lang w:val="en-US" w:eastAsia="zh-CN"/>
              </w:rPr>
              <w:t>~</w:t>
            </w:r>
            <w:r>
              <w:t>8</w:t>
            </w:r>
            <w:r>
              <w:rPr>
                <w:rFonts w:hint="eastAsia"/>
                <w:lang w:val="en-US" w:eastAsia="zh-CN"/>
              </w:rPr>
              <w:t>5</w:t>
            </w:r>
            <w:r>
              <w:t>dB</w:t>
            </w:r>
            <w:r>
              <w:rPr>
                <w:rFonts w:hint="eastAsia"/>
                <w:lang w:val="en-US" w:eastAsia="zh-CN"/>
              </w:rPr>
              <w:t>(</w:t>
            </w:r>
            <w:r>
              <w:t>A</w:t>
            </w:r>
            <w:r>
              <w:rPr>
                <w:rFonts w:hint="eastAsia"/>
                <w:lang w:val="en-US" w:eastAsia="zh-CN"/>
              </w:rPr>
              <w:t>)</w:t>
            </w:r>
            <w:r>
              <w:t>。采取的降噪措施是：安装减振基础和厂房隔声，经过以上措施，声源源强可降至</w:t>
            </w:r>
            <w:r>
              <w:rPr>
                <w:rFonts w:hint="eastAsia"/>
              </w:rPr>
              <w:t>4</w:t>
            </w:r>
            <w:r>
              <w:t>5</w:t>
            </w:r>
            <w:r>
              <w:rPr>
                <w:rFonts w:hint="eastAsia"/>
                <w:lang w:val="en-US" w:eastAsia="zh-CN"/>
              </w:rPr>
              <w:t>~</w:t>
            </w:r>
            <w:r>
              <w:t>6</w:t>
            </w:r>
            <w:r>
              <w:rPr>
                <w:rFonts w:hint="eastAsia"/>
                <w:lang w:val="en-US" w:eastAsia="zh-CN"/>
              </w:rPr>
              <w:t>5</w:t>
            </w:r>
            <w:r>
              <w:t>dB</w:t>
            </w:r>
            <w:r>
              <w:rPr>
                <w:rFonts w:hint="eastAsia"/>
                <w:lang w:val="en-US" w:eastAsia="zh-CN"/>
              </w:rPr>
              <w:t>(</w:t>
            </w:r>
            <w:r>
              <w:t>A</w:t>
            </w:r>
            <w:r>
              <w:rPr>
                <w:rFonts w:hint="eastAsia"/>
                <w:lang w:val="en-US" w:eastAsia="zh-CN"/>
              </w:rPr>
              <w:t>)</w:t>
            </w:r>
            <w:r>
              <w:t>。营运期噪声产排情况见表4-6。</w:t>
            </w:r>
          </w:p>
          <w:p>
            <w:pPr>
              <w:pStyle w:val="12"/>
              <w:widowControl w:val="0"/>
              <w:bidi w:val="0"/>
              <w:jc w:val="right"/>
              <w:rPr>
                <w:rFonts w:hint="eastAsia"/>
                <w:lang w:eastAsia="zh-CN"/>
              </w:rPr>
            </w:pPr>
            <w:r>
              <w:t xml:space="preserve">表4-6  </w:t>
            </w:r>
            <w:r>
              <w:rPr>
                <w:rFonts w:hint="eastAsia"/>
                <w:lang w:val="en-US" w:eastAsia="zh-CN"/>
              </w:rPr>
              <w:t xml:space="preserve"> </w:t>
            </w:r>
            <w:r>
              <w:t xml:space="preserve">运营期噪声产排情况一览表 </w:t>
            </w:r>
            <w:r>
              <w:rPr>
                <w:rFonts w:hint="eastAsia"/>
                <w:lang w:val="en-US" w:eastAsia="zh-CN"/>
              </w:rPr>
              <w:t xml:space="preserve">     </w:t>
            </w:r>
            <w:r>
              <w:t xml:space="preserve"> 单位：dB</w:t>
            </w:r>
            <w:r>
              <w:rPr>
                <w:rFonts w:hint="eastAsia"/>
                <w:lang w:val="en-US" w:eastAsia="zh-CN"/>
              </w:rPr>
              <w:t>(</w:t>
            </w:r>
            <w:r>
              <w:t>A</w:t>
            </w:r>
            <w:r>
              <w:rPr>
                <w:rFonts w:hint="eastAsia"/>
                <w:lang w:val="en-US" w:eastAsia="zh-CN"/>
              </w:rPr>
              <w:t>)</w:t>
            </w:r>
          </w:p>
          <w:tbl>
            <w:tblPr>
              <w:tblStyle w:val="9"/>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1257"/>
              <w:gridCol w:w="1257"/>
              <w:gridCol w:w="1259"/>
              <w:gridCol w:w="1258"/>
              <w:gridCol w:w="1258"/>
              <w:gridCol w:w="12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3" w:type="pct"/>
                  <w:vAlign w:val="center"/>
                </w:tcPr>
                <w:p>
                  <w:pPr>
                    <w:pStyle w:val="11"/>
                    <w:bidi w:val="0"/>
                  </w:pPr>
                  <w:r>
                    <w:t>序号</w:t>
                  </w:r>
                </w:p>
              </w:tc>
              <w:tc>
                <w:tcPr>
                  <w:tcW w:w="760" w:type="pct"/>
                  <w:vAlign w:val="center"/>
                </w:tcPr>
                <w:p>
                  <w:pPr>
                    <w:pStyle w:val="11"/>
                    <w:bidi w:val="0"/>
                  </w:pPr>
                  <w:r>
                    <w:t>噪声源</w:t>
                  </w:r>
                </w:p>
              </w:tc>
              <w:tc>
                <w:tcPr>
                  <w:tcW w:w="760" w:type="pct"/>
                  <w:vAlign w:val="center"/>
                </w:tcPr>
                <w:p>
                  <w:pPr>
                    <w:pStyle w:val="11"/>
                    <w:bidi w:val="0"/>
                  </w:pPr>
                  <w:r>
                    <w:t>数量</w:t>
                  </w:r>
                </w:p>
              </w:tc>
              <w:tc>
                <w:tcPr>
                  <w:tcW w:w="761" w:type="pct"/>
                  <w:vAlign w:val="center"/>
                </w:tcPr>
                <w:p>
                  <w:pPr>
                    <w:pStyle w:val="11"/>
                    <w:bidi w:val="0"/>
                  </w:pPr>
                  <w:r>
                    <w:t>产生强度</w:t>
                  </w:r>
                </w:p>
              </w:tc>
              <w:tc>
                <w:tcPr>
                  <w:tcW w:w="760" w:type="pct"/>
                  <w:vAlign w:val="center"/>
                </w:tcPr>
                <w:p>
                  <w:pPr>
                    <w:pStyle w:val="11"/>
                    <w:bidi w:val="0"/>
                  </w:pPr>
                  <w:r>
                    <w:t>降噪措施</w:t>
                  </w:r>
                </w:p>
              </w:tc>
              <w:tc>
                <w:tcPr>
                  <w:tcW w:w="760" w:type="pct"/>
                  <w:vAlign w:val="center"/>
                </w:tcPr>
                <w:p>
                  <w:pPr>
                    <w:pStyle w:val="11"/>
                    <w:bidi w:val="0"/>
                  </w:pPr>
                  <w:r>
                    <w:t>排放强度</w:t>
                  </w:r>
                </w:p>
              </w:tc>
              <w:tc>
                <w:tcPr>
                  <w:tcW w:w="761" w:type="pct"/>
                  <w:vAlign w:val="center"/>
                </w:tcPr>
                <w:p>
                  <w:pPr>
                    <w:pStyle w:val="11"/>
                    <w:bidi w:val="0"/>
                  </w:pPr>
                  <w:r>
                    <w:t>持续时间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33" w:type="pct"/>
                  <w:vAlign w:val="center"/>
                </w:tcPr>
                <w:p>
                  <w:pPr>
                    <w:pStyle w:val="11"/>
                    <w:bidi w:val="0"/>
                  </w:pPr>
                  <w:r>
                    <w:t>1</w:t>
                  </w:r>
                </w:p>
              </w:tc>
              <w:tc>
                <w:tcPr>
                  <w:tcW w:w="760" w:type="pct"/>
                  <w:vAlign w:val="center"/>
                </w:tcPr>
                <w:p>
                  <w:pPr>
                    <w:pStyle w:val="11"/>
                    <w:bidi w:val="0"/>
                    <w:rPr>
                      <w:rFonts w:hint="default"/>
                      <w:lang w:val="en-US" w:eastAsia="zh-CN"/>
                    </w:rPr>
                  </w:pPr>
                  <w:r>
                    <w:rPr>
                      <w:rFonts w:hint="eastAsia"/>
                      <w:lang w:val="en-US" w:eastAsia="zh-CN"/>
                    </w:rPr>
                    <w:t>锻造机</w:t>
                  </w:r>
                </w:p>
              </w:tc>
              <w:tc>
                <w:tcPr>
                  <w:tcW w:w="760" w:type="pct"/>
                  <w:vAlign w:val="center"/>
                </w:tcPr>
                <w:p>
                  <w:pPr>
                    <w:pStyle w:val="11"/>
                    <w:bidi w:val="0"/>
                  </w:pPr>
                  <w:r>
                    <w:rPr>
                      <w:rFonts w:hint="eastAsia"/>
                      <w:lang w:val="en-US" w:eastAsia="zh-CN"/>
                    </w:rPr>
                    <w:t>4</w:t>
                  </w:r>
                  <w:r>
                    <w:t>台</w:t>
                  </w:r>
                </w:p>
              </w:tc>
              <w:tc>
                <w:tcPr>
                  <w:tcW w:w="761" w:type="pct"/>
                  <w:vAlign w:val="center"/>
                </w:tcPr>
                <w:p>
                  <w:pPr>
                    <w:pStyle w:val="11"/>
                    <w:bidi w:val="0"/>
                  </w:pPr>
                  <w:r>
                    <w:rPr>
                      <w:rFonts w:hint="eastAsia"/>
                      <w:lang w:val="en-US" w:eastAsia="zh-CN"/>
                    </w:rPr>
                    <w:t>8</w:t>
                  </w:r>
                  <w:r>
                    <w:t>5</w:t>
                  </w:r>
                </w:p>
              </w:tc>
              <w:tc>
                <w:tcPr>
                  <w:tcW w:w="760" w:type="pct"/>
                  <w:vAlign w:val="center"/>
                </w:tcPr>
                <w:p>
                  <w:pPr>
                    <w:pStyle w:val="11"/>
                    <w:bidi w:val="0"/>
                  </w:pPr>
                  <w:r>
                    <w:t>减震、隔声</w:t>
                  </w:r>
                </w:p>
              </w:tc>
              <w:tc>
                <w:tcPr>
                  <w:tcW w:w="760" w:type="pct"/>
                  <w:vAlign w:val="center"/>
                </w:tcPr>
                <w:p>
                  <w:pPr>
                    <w:pStyle w:val="11"/>
                    <w:bidi w:val="0"/>
                  </w:pPr>
                  <w:r>
                    <w:rPr>
                      <w:rFonts w:hint="eastAsia"/>
                      <w:lang w:val="en-US" w:eastAsia="zh-CN"/>
                    </w:rPr>
                    <w:t>6</w:t>
                  </w:r>
                  <w:r>
                    <w:t>5</w:t>
                  </w:r>
                </w:p>
              </w:tc>
              <w:tc>
                <w:tcPr>
                  <w:tcW w:w="761" w:type="pct"/>
                  <w:vAlign w:val="center"/>
                </w:tcPr>
                <w:p>
                  <w:pPr>
                    <w:pStyle w:val="11"/>
                    <w:bidi w:val="0"/>
                  </w:pPr>
                  <w:r>
                    <w:rPr>
                      <w:rFonts w:hint="eastAsia"/>
                      <w:lang w:val="en-US" w:eastAsia="zh-CN"/>
                    </w:rPr>
                    <w:t>8</w:t>
                  </w:r>
                  <w:r>
                    <w:t>h/d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3" w:type="pct"/>
                  <w:vAlign w:val="center"/>
                </w:tcPr>
                <w:p>
                  <w:pPr>
                    <w:pStyle w:val="11"/>
                    <w:bidi w:val="0"/>
                  </w:pPr>
                  <w:r>
                    <w:t>2</w:t>
                  </w:r>
                </w:p>
              </w:tc>
              <w:tc>
                <w:tcPr>
                  <w:tcW w:w="760" w:type="pct"/>
                  <w:vAlign w:val="center"/>
                </w:tcPr>
                <w:p>
                  <w:pPr>
                    <w:pStyle w:val="11"/>
                    <w:bidi w:val="0"/>
                    <w:rPr>
                      <w:rFonts w:hint="eastAsia"/>
                      <w:lang w:eastAsia="zh-CN"/>
                    </w:rPr>
                  </w:pPr>
                  <w:r>
                    <w:rPr>
                      <w:rFonts w:hint="eastAsia"/>
                      <w:lang w:val="en-US" w:eastAsia="zh-CN"/>
                    </w:rPr>
                    <w:t>数控车床</w:t>
                  </w:r>
                </w:p>
              </w:tc>
              <w:tc>
                <w:tcPr>
                  <w:tcW w:w="760" w:type="pct"/>
                  <w:vAlign w:val="center"/>
                </w:tcPr>
                <w:p>
                  <w:pPr>
                    <w:pStyle w:val="11"/>
                    <w:bidi w:val="0"/>
                  </w:pPr>
                  <w:r>
                    <w:rPr>
                      <w:rFonts w:hint="eastAsia"/>
                      <w:lang w:val="en-US" w:eastAsia="zh-CN"/>
                    </w:rPr>
                    <w:t>4</w:t>
                  </w:r>
                  <w:r>
                    <w:t>台</w:t>
                  </w:r>
                </w:p>
              </w:tc>
              <w:tc>
                <w:tcPr>
                  <w:tcW w:w="761" w:type="pct"/>
                  <w:vAlign w:val="center"/>
                </w:tcPr>
                <w:p>
                  <w:pPr>
                    <w:pStyle w:val="11"/>
                    <w:bidi w:val="0"/>
                  </w:pPr>
                  <w:r>
                    <w:t>80</w:t>
                  </w:r>
                </w:p>
              </w:tc>
              <w:tc>
                <w:tcPr>
                  <w:tcW w:w="760" w:type="pct"/>
                  <w:vAlign w:val="center"/>
                </w:tcPr>
                <w:p>
                  <w:pPr>
                    <w:pStyle w:val="11"/>
                    <w:bidi w:val="0"/>
                  </w:pPr>
                  <w:r>
                    <w:t>减震、隔声</w:t>
                  </w:r>
                </w:p>
              </w:tc>
              <w:tc>
                <w:tcPr>
                  <w:tcW w:w="760" w:type="pct"/>
                  <w:vAlign w:val="center"/>
                </w:tcPr>
                <w:p>
                  <w:pPr>
                    <w:pStyle w:val="11"/>
                    <w:bidi w:val="0"/>
                  </w:pPr>
                  <w:r>
                    <w:t>60</w:t>
                  </w:r>
                </w:p>
              </w:tc>
              <w:tc>
                <w:tcPr>
                  <w:tcW w:w="761" w:type="pct"/>
                  <w:vAlign w:val="center"/>
                </w:tcPr>
                <w:p>
                  <w:pPr>
                    <w:pStyle w:val="11"/>
                    <w:bidi w:val="0"/>
                  </w:pPr>
                  <w:r>
                    <w:rPr>
                      <w:rFonts w:hint="eastAsia"/>
                      <w:lang w:val="en-US" w:eastAsia="zh-CN"/>
                    </w:rPr>
                    <w:t>8</w:t>
                  </w:r>
                  <w:r>
                    <w:t>h/d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3" w:type="pct"/>
                  <w:vAlign w:val="center"/>
                </w:tcPr>
                <w:p>
                  <w:pPr>
                    <w:pStyle w:val="11"/>
                    <w:bidi w:val="0"/>
                  </w:pPr>
                  <w:r>
                    <w:t>3</w:t>
                  </w:r>
                </w:p>
              </w:tc>
              <w:tc>
                <w:tcPr>
                  <w:tcW w:w="760" w:type="pct"/>
                  <w:vAlign w:val="center"/>
                </w:tcPr>
                <w:p>
                  <w:pPr>
                    <w:pStyle w:val="11"/>
                    <w:bidi w:val="0"/>
                    <w:rPr>
                      <w:rFonts w:hint="eastAsia"/>
                      <w:lang w:val="en-US" w:eastAsia="zh-CN"/>
                    </w:rPr>
                  </w:pPr>
                  <w:r>
                    <w:rPr>
                      <w:rFonts w:hint="eastAsia"/>
                      <w:lang w:val="en-US" w:eastAsia="zh-CN"/>
                    </w:rPr>
                    <w:t>加工中心</w:t>
                  </w:r>
                </w:p>
              </w:tc>
              <w:tc>
                <w:tcPr>
                  <w:tcW w:w="760" w:type="pct"/>
                  <w:vAlign w:val="center"/>
                </w:tcPr>
                <w:p>
                  <w:pPr>
                    <w:pStyle w:val="11"/>
                    <w:bidi w:val="0"/>
                    <w:rPr>
                      <w:rFonts w:hint="default"/>
                      <w:lang w:val="en-US" w:eastAsia="zh-CN"/>
                    </w:rPr>
                  </w:pPr>
                  <w:r>
                    <w:rPr>
                      <w:rFonts w:hint="eastAsia"/>
                      <w:lang w:val="en-US" w:eastAsia="zh-CN"/>
                    </w:rPr>
                    <w:t>10</w:t>
                  </w:r>
                  <w:r>
                    <w:t>台</w:t>
                  </w:r>
                </w:p>
              </w:tc>
              <w:tc>
                <w:tcPr>
                  <w:tcW w:w="761" w:type="pct"/>
                  <w:vAlign w:val="center"/>
                </w:tcPr>
                <w:p>
                  <w:pPr>
                    <w:pStyle w:val="11"/>
                    <w:bidi w:val="0"/>
                  </w:pPr>
                  <w:r>
                    <w:t>80</w:t>
                  </w:r>
                </w:p>
              </w:tc>
              <w:tc>
                <w:tcPr>
                  <w:tcW w:w="760" w:type="pct"/>
                  <w:vAlign w:val="center"/>
                </w:tcPr>
                <w:p>
                  <w:pPr>
                    <w:pStyle w:val="11"/>
                    <w:bidi w:val="0"/>
                    <w:ind w:firstLine="0" w:firstLineChars="0"/>
                  </w:pPr>
                  <w:r>
                    <w:t>减震、隔声</w:t>
                  </w:r>
                </w:p>
              </w:tc>
              <w:tc>
                <w:tcPr>
                  <w:tcW w:w="760" w:type="pct"/>
                  <w:vAlign w:val="center"/>
                </w:tcPr>
                <w:p>
                  <w:pPr>
                    <w:pStyle w:val="11"/>
                    <w:bidi w:val="0"/>
                  </w:pPr>
                  <w:r>
                    <w:t>60</w:t>
                  </w:r>
                </w:p>
              </w:tc>
              <w:tc>
                <w:tcPr>
                  <w:tcW w:w="761" w:type="pct"/>
                </w:tcPr>
                <w:p>
                  <w:pPr>
                    <w:pStyle w:val="11"/>
                    <w:bidi w:val="0"/>
                  </w:pPr>
                  <w:r>
                    <w:rPr>
                      <w:rFonts w:hint="eastAsia"/>
                      <w:lang w:val="en-US" w:eastAsia="zh-CN"/>
                    </w:rPr>
                    <w:t>8</w:t>
                  </w:r>
                  <w:r>
                    <w:t>h/d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3" w:type="pct"/>
                  <w:vAlign w:val="center"/>
                </w:tcPr>
                <w:p>
                  <w:pPr>
                    <w:pStyle w:val="11"/>
                    <w:bidi w:val="0"/>
                    <w:rPr>
                      <w:rFonts w:hint="eastAsia"/>
                      <w:lang w:val="en-US" w:eastAsia="zh-CN"/>
                    </w:rPr>
                  </w:pPr>
                  <w:r>
                    <w:rPr>
                      <w:rFonts w:hint="eastAsia"/>
                      <w:lang w:val="en-US" w:eastAsia="zh-CN"/>
                    </w:rPr>
                    <w:t>4</w:t>
                  </w:r>
                </w:p>
              </w:tc>
              <w:tc>
                <w:tcPr>
                  <w:tcW w:w="760" w:type="pct"/>
                  <w:vAlign w:val="center"/>
                </w:tcPr>
                <w:p>
                  <w:pPr>
                    <w:pStyle w:val="11"/>
                    <w:bidi w:val="0"/>
                    <w:rPr>
                      <w:rFonts w:hint="eastAsia"/>
                      <w:lang w:val="en-US" w:eastAsia="zh-CN"/>
                    </w:rPr>
                  </w:pPr>
                  <w:r>
                    <w:rPr>
                      <w:rFonts w:hint="eastAsia"/>
                      <w:lang w:val="en-US" w:eastAsia="zh-CN"/>
                    </w:rPr>
                    <w:t>折弯机</w:t>
                  </w:r>
                </w:p>
              </w:tc>
              <w:tc>
                <w:tcPr>
                  <w:tcW w:w="760" w:type="pct"/>
                  <w:vAlign w:val="center"/>
                </w:tcPr>
                <w:p>
                  <w:pPr>
                    <w:pStyle w:val="11"/>
                    <w:bidi w:val="0"/>
                    <w:rPr>
                      <w:rFonts w:hint="eastAsia"/>
                      <w:lang w:val="en-US" w:eastAsia="zh-CN"/>
                    </w:rPr>
                  </w:pPr>
                  <w:r>
                    <w:rPr>
                      <w:rFonts w:hint="eastAsia"/>
                      <w:lang w:val="en-US" w:eastAsia="zh-CN"/>
                    </w:rPr>
                    <w:t>4</w:t>
                  </w:r>
                  <w:r>
                    <w:t>台</w:t>
                  </w:r>
                </w:p>
              </w:tc>
              <w:tc>
                <w:tcPr>
                  <w:tcW w:w="761" w:type="pct"/>
                  <w:vAlign w:val="center"/>
                </w:tcPr>
                <w:p>
                  <w:pPr>
                    <w:pStyle w:val="11"/>
                    <w:bidi w:val="0"/>
                    <w:rPr>
                      <w:rFonts w:hint="default"/>
                      <w:lang w:val="en-US" w:eastAsia="zh-CN"/>
                    </w:rPr>
                  </w:pPr>
                  <w:r>
                    <w:rPr>
                      <w:rFonts w:hint="eastAsia"/>
                      <w:lang w:val="en-US" w:eastAsia="zh-CN"/>
                    </w:rPr>
                    <w:t>75</w:t>
                  </w:r>
                </w:p>
              </w:tc>
              <w:tc>
                <w:tcPr>
                  <w:tcW w:w="760" w:type="pct"/>
                  <w:vAlign w:val="center"/>
                </w:tcPr>
                <w:p>
                  <w:pPr>
                    <w:pStyle w:val="11"/>
                    <w:bidi w:val="0"/>
                    <w:ind w:firstLine="0" w:firstLineChars="0"/>
                  </w:pPr>
                  <w:r>
                    <w:t>减震、隔声</w:t>
                  </w:r>
                </w:p>
              </w:tc>
              <w:tc>
                <w:tcPr>
                  <w:tcW w:w="760" w:type="pct"/>
                  <w:vAlign w:val="center"/>
                </w:tcPr>
                <w:p>
                  <w:pPr>
                    <w:pStyle w:val="11"/>
                    <w:bidi w:val="0"/>
                    <w:rPr>
                      <w:rFonts w:hint="default"/>
                      <w:lang w:val="en-US" w:eastAsia="zh-CN"/>
                    </w:rPr>
                  </w:pPr>
                  <w:r>
                    <w:rPr>
                      <w:rFonts w:hint="eastAsia"/>
                      <w:lang w:val="en-US" w:eastAsia="zh-CN"/>
                    </w:rPr>
                    <w:t>55</w:t>
                  </w:r>
                </w:p>
              </w:tc>
              <w:tc>
                <w:tcPr>
                  <w:tcW w:w="761" w:type="pct"/>
                </w:tcPr>
                <w:p>
                  <w:pPr>
                    <w:pStyle w:val="11"/>
                    <w:bidi w:val="0"/>
                  </w:pPr>
                  <w:r>
                    <w:rPr>
                      <w:rFonts w:hint="eastAsia"/>
                      <w:lang w:val="en-US" w:eastAsia="zh-CN"/>
                    </w:rPr>
                    <w:t>8</w:t>
                  </w:r>
                  <w:r>
                    <w:t>h/d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3" w:type="pct"/>
                  <w:vAlign w:val="center"/>
                </w:tcPr>
                <w:p>
                  <w:pPr>
                    <w:pStyle w:val="11"/>
                    <w:bidi w:val="0"/>
                    <w:rPr>
                      <w:rFonts w:hint="eastAsia"/>
                      <w:lang w:val="en-US" w:eastAsia="zh-CN"/>
                    </w:rPr>
                  </w:pPr>
                  <w:r>
                    <w:rPr>
                      <w:rFonts w:hint="eastAsia"/>
                      <w:lang w:val="en-US" w:eastAsia="zh-CN"/>
                    </w:rPr>
                    <w:t>5</w:t>
                  </w:r>
                </w:p>
              </w:tc>
              <w:tc>
                <w:tcPr>
                  <w:tcW w:w="760" w:type="pct"/>
                  <w:vAlign w:val="center"/>
                </w:tcPr>
                <w:p>
                  <w:pPr>
                    <w:pStyle w:val="11"/>
                    <w:bidi w:val="0"/>
                    <w:rPr>
                      <w:rFonts w:hint="eastAsia"/>
                      <w:lang w:val="en-US" w:eastAsia="zh-CN"/>
                    </w:rPr>
                  </w:pPr>
                  <w:r>
                    <w:rPr>
                      <w:rFonts w:hint="eastAsia"/>
                      <w:lang w:val="en-US" w:eastAsia="zh-CN"/>
                    </w:rPr>
                    <w:t>捏合机</w:t>
                  </w:r>
                </w:p>
              </w:tc>
              <w:tc>
                <w:tcPr>
                  <w:tcW w:w="760" w:type="pct"/>
                  <w:vAlign w:val="center"/>
                </w:tcPr>
                <w:p>
                  <w:pPr>
                    <w:pStyle w:val="11"/>
                    <w:bidi w:val="0"/>
                    <w:rPr>
                      <w:rFonts w:hint="eastAsia"/>
                      <w:lang w:val="en-US" w:eastAsia="zh-CN"/>
                    </w:rPr>
                  </w:pPr>
                  <w:r>
                    <w:rPr>
                      <w:rFonts w:hint="eastAsia"/>
                      <w:lang w:val="en-US" w:eastAsia="zh-CN"/>
                    </w:rPr>
                    <w:t>3</w:t>
                  </w:r>
                  <w:r>
                    <w:t>台</w:t>
                  </w:r>
                </w:p>
              </w:tc>
              <w:tc>
                <w:tcPr>
                  <w:tcW w:w="761" w:type="pct"/>
                  <w:vAlign w:val="center"/>
                </w:tcPr>
                <w:p>
                  <w:pPr>
                    <w:pStyle w:val="11"/>
                    <w:bidi w:val="0"/>
                    <w:rPr>
                      <w:rFonts w:hint="default"/>
                      <w:lang w:val="en-US" w:eastAsia="zh-CN"/>
                    </w:rPr>
                  </w:pPr>
                  <w:r>
                    <w:rPr>
                      <w:rFonts w:hint="eastAsia"/>
                      <w:lang w:val="en-US" w:eastAsia="zh-CN"/>
                    </w:rPr>
                    <w:t>65</w:t>
                  </w:r>
                </w:p>
              </w:tc>
              <w:tc>
                <w:tcPr>
                  <w:tcW w:w="760" w:type="pct"/>
                  <w:vAlign w:val="center"/>
                </w:tcPr>
                <w:p>
                  <w:pPr>
                    <w:pStyle w:val="11"/>
                    <w:bidi w:val="0"/>
                    <w:ind w:firstLine="0" w:firstLineChars="0"/>
                  </w:pPr>
                  <w:r>
                    <w:t>减震、隔声</w:t>
                  </w:r>
                </w:p>
              </w:tc>
              <w:tc>
                <w:tcPr>
                  <w:tcW w:w="760" w:type="pct"/>
                  <w:vAlign w:val="center"/>
                </w:tcPr>
                <w:p>
                  <w:pPr>
                    <w:pStyle w:val="11"/>
                    <w:bidi w:val="0"/>
                    <w:rPr>
                      <w:rFonts w:hint="default"/>
                      <w:lang w:val="en-US" w:eastAsia="zh-CN"/>
                    </w:rPr>
                  </w:pPr>
                  <w:r>
                    <w:rPr>
                      <w:rFonts w:hint="eastAsia"/>
                      <w:lang w:val="en-US" w:eastAsia="zh-CN"/>
                    </w:rPr>
                    <w:t>45</w:t>
                  </w:r>
                </w:p>
              </w:tc>
              <w:tc>
                <w:tcPr>
                  <w:tcW w:w="761" w:type="pct"/>
                </w:tcPr>
                <w:p>
                  <w:pPr>
                    <w:pStyle w:val="11"/>
                    <w:bidi w:val="0"/>
                  </w:pPr>
                  <w:r>
                    <w:rPr>
                      <w:rFonts w:hint="eastAsia"/>
                      <w:lang w:val="en-US" w:eastAsia="zh-CN"/>
                    </w:rPr>
                    <w:t>4</w:t>
                  </w:r>
                  <w:r>
                    <w:t>h/d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3" w:type="pct"/>
                  <w:vAlign w:val="center"/>
                </w:tcPr>
                <w:p>
                  <w:pPr>
                    <w:pStyle w:val="11"/>
                    <w:bidi w:val="0"/>
                    <w:rPr>
                      <w:rFonts w:hint="eastAsia"/>
                      <w:lang w:val="en-US" w:eastAsia="zh-CN"/>
                    </w:rPr>
                  </w:pPr>
                  <w:r>
                    <w:rPr>
                      <w:rFonts w:hint="eastAsia"/>
                      <w:lang w:val="en-US" w:eastAsia="zh-CN"/>
                    </w:rPr>
                    <w:t>6</w:t>
                  </w:r>
                </w:p>
              </w:tc>
              <w:tc>
                <w:tcPr>
                  <w:tcW w:w="760" w:type="pct"/>
                  <w:vAlign w:val="center"/>
                </w:tcPr>
                <w:p>
                  <w:pPr>
                    <w:pStyle w:val="11"/>
                    <w:bidi w:val="0"/>
                    <w:ind w:firstLine="0" w:firstLineChars="0"/>
                    <w:rPr>
                      <w:rFonts w:hint="default"/>
                      <w:lang w:val="en-US" w:eastAsia="zh-CN"/>
                    </w:rPr>
                  </w:pPr>
                  <w:r>
                    <w:rPr>
                      <w:rFonts w:hint="eastAsia"/>
                      <w:lang w:val="en-US" w:eastAsia="zh-CN"/>
                    </w:rPr>
                    <w:t>开炼机</w:t>
                  </w:r>
                </w:p>
              </w:tc>
              <w:tc>
                <w:tcPr>
                  <w:tcW w:w="760" w:type="pct"/>
                  <w:vAlign w:val="center"/>
                </w:tcPr>
                <w:p>
                  <w:pPr>
                    <w:pStyle w:val="11"/>
                    <w:bidi w:val="0"/>
                    <w:ind w:firstLine="0" w:firstLineChars="0"/>
                    <w:rPr>
                      <w:rFonts w:hint="default"/>
                      <w:lang w:val="en-US" w:eastAsia="zh-CN"/>
                    </w:rPr>
                  </w:pPr>
                  <w:r>
                    <w:rPr>
                      <w:rFonts w:hint="eastAsia"/>
                      <w:lang w:val="en-US" w:eastAsia="zh-CN"/>
                    </w:rPr>
                    <w:t>3</w:t>
                  </w:r>
                  <w:r>
                    <w:t>台</w:t>
                  </w:r>
                </w:p>
              </w:tc>
              <w:tc>
                <w:tcPr>
                  <w:tcW w:w="761" w:type="pct"/>
                  <w:vAlign w:val="center"/>
                </w:tcPr>
                <w:p>
                  <w:pPr>
                    <w:pStyle w:val="11"/>
                    <w:bidi w:val="0"/>
                    <w:ind w:firstLine="0" w:firstLineChars="0"/>
                    <w:rPr>
                      <w:rFonts w:hint="default"/>
                      <w:lang w:val="en-US" w:eastAsia="zh-CN"/>
                    </w:rPr>
                  </w:pPr>
                  <w:r>
                    <w:rPr>
                      <w:rFonts w:hint="eastAsia"/>
                      <w:lang w:val="en-US" w:eastAsia="zh-CN"/>
                    </w:rPr>
                    <w:t>80</w:t>
                  </w:r>
                </w:p>
              </w:tc>
              <w:tc>
                <w:tcPr>
                  <w:tcW w:w="760" w:type="pct"/>
                  <w:vAlign w:val="center"/>
                </w:tcPr>
                <w:p>
                  <w:pPr>
                    <w:pStyle w:val="11"/>
                    <w:bidi w:val="0"/>
                    <w:ind w:firstLine="0" w:firstLineChars="0"/>
                    <w:rPr>
                      <w:lang w:val="en-US" w:eastAsia="zh-CN"/>
                    </w:rPr>
                  </w:pPr>
                  <w:r>
                    <w:t>减震、隔声</w:t>
                  </w:r>
                </w:p>
              </w:tc>
              <w:tc>
                <w:tcPr>
                  <w:tcW w:w="760" w:type="pct"/>
                  <w:vAlign w:val="center"/>
                </w:tcPr>
                <w:p>
                  <w:pPr>
                    <w:pStyle w:val="11"/>
                    <w:bidi w:val="0"/>
                    <w:ind w:firstLine="0" w:firstLineChars="0"/>
                    <w:rPr>
                      <w:lang w:val="en-US" w:eastAsia="zh-CN"/>
                    </w:rPr>
                  </w:pPr>
                  <w:r>
                    <w:t>60</w:t>
                  </w:r>
                </w:p>
              </w:tc>
              <w:tc>
                <w:tcPr>
                  <w:tcW w:w="761" w:type="pct"/>
                  <w:vAlign w:val="top"/>
                </w:tcPr>
                <w:p>
                  <w:pPr>
                    <w:pStyle w:val="11"/>
                    <w:bidi w:val="0"/>
                    <w:ind w:firstLine="0" w:firstLineChars="0"/>
                    <w:rPr>
                      <w:lang w:val="en-US" w:eastAsia="zh-CN"/>
                    </w:rPr>
                  </w:pPr>
                  <w:r>
                    <w:rPr>
                      <w:rFonts w:hint="eastAsia"/>
                      <w:lang w:val="en-US" w:eastAsia="zh-CN"/>
                    </w:rPr>
                    <w:t>4</w:t>
                  </w:r>
                  <w:r>
                    <w:t>h/d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3" w:type="pct"/>
                  <w:vAlign w:val="center"/>
                </w:tcPr>
                <w:p>
                  <w:pPr>
                    <w:pStyle w:val="11"/>
                    <w:bidi w:val="0"/>
                    <w:rPr>
                      <w:rFonts w:hint="eastAsia"/>
                      <w:lang w:val="en-US" w:eastAsia="zh-CN"/>
                    </w:rPr>
                  </w:pPr>
                  <w:r>
                    <w:rPr>
                      <w:rFonts w:hint="eastAsia"/>
                      <w:lang w:val="en-US" w:eastAsia="zh-CN"/>
                    </w:rPr>
                    <w:t>7</w:t>
                  </w:r>
                </w:p>
              </w:tc>
              <w:tc>
                <w:tcPr>
                  <w:tcW w:w="760" w:type="pct"/>
                  <w:vAlign w:val="center"/>
                </w:tcPr>
                <w:p>
                  <w:pPr>
                    <w:pStyle w:val="11"/>
                    <w:bidi w:val="0"/>
                    <w:ind w:firstLine="0" w:firstLineChars="0"/>
                    <w:rPr>
                      <w:rFonts w:hint="eastAsia"/>
                      <w:lang w:val="en-US" w:eastAsia="zh-CN"/>
                    </w:rPr>
                  </w:pPr>
                  <w:r>
                    <w:rPr>
                      <w:rFonts w:hint="eastAsia"/>
                      <w:lang w:val="en-US" w:eastAsia="zh-CN"/>
                    </w:rPr>
                    <w:t>压接机</w:t>
                  </w:r>
                </w:p>
              </w:tc>
              <w:tc>
                <w:tcPr>
                  <w:tcW w:w="760" w:type="pct"/>
                  <w:vAlign w:val="center"/>
                </w:tcPr>
                <w:p>
                  <w:pPr>
                    <w:pStyle w:val="11"/>
                    <w:bidi w:val="0"/>
                    <w:ind w:firstLine="0" w:firstLineChars="0"/>
                    <w:rPr>
                      <w:rFonts w:hint="eastAsia"/>
                      <w:lang w:val="en-US" w:eastAsia="zh-CN"/>
                    </w:rPr>
                  </w:pPr>
                  <w:r>
                    <w:rPr>
                      <w:rFonts w:hint="eastAsia"/>
                      <w:lang w:val="en-US" w:eastAsia="zh-CN"/>
                    </w:rPr>
                    <w:t>3</w:t>
                  </w:r>
                  <w:r>
                    <w:t>台</w:t>
                  </w:r>
                </w:p>
              </w:tc>
              <w:tc>
                <w:tcPr>
                  <w:tcW w:w="761" w:type="pct"/>
                  <w:vAlign w:val="center"/>
                </w:tcPr>
                <w:p>
                  <w:pPr>
                    <w:pStyle w:val="11"/>
                    <w:bidi w:val="0"/>
                    <w:ind w:firstLine="0" w:firstLineChars="0"/>
                    <w:rPr>
                      <w:rFonts w:hint="default"/>
                      <w:lang w:val="en-US" w:eastAsia="zh-CN"/>
                    </w:rPr>
                  </w:pPr>
                  <w:r>
                    <w:rPr>
                      <w:rFonts w:hint="eastAsia"/>
                      <w:lang w:val="en-US" w:eastAsia="zh-CN"/>
                    </w:rPr>
                    <w:t>80</w:t>
                  </w:r>
                </w:p>
              </w:tc>
              <w:tc>
                <w:tcPr>
                  <w:tcW w:w="760" w:type="pct"/>
                  <w:vAlign w:val="center"/>
                </w:tcPr>
                <w:p>
                  <w:pPr>
                    <w:pStyle w:val="11"/>
                    <w:bidi w:val="0"/>
                    <w:ind w:firstLine="0" w:firstLineChars="0"/>
                  </w:pPr>
                  <w:r>
                    <w:t>减震、隔声</w:t>
                  </w:r>
                </w:p>
              </w:tc>
              <w:tc>
                <w:tcPr>
                  <w:tcW w:w="760" w:type="pct"/>
                  <w:vAlign w:val="center"/>
                </w:tcPr>
                <w:p>
                  <w:pPr>
                    <w:pStyle w:val="11"/>
                    <w:bidi w:val="0"/>
                    <w:ind w:firstLine="0" w:firstLineChars="0"/>
                  </w:pPr>
                  <w:r>
                    <w:t>60</w:t>
                  </w:r>
                </w:p>
              </w:tc>
              <w:tc>
                <w:tcPr>
                  <w:tcW w:w="761" w:type="pct"/>
                  <w:vAlign w:val="top"/>
                </w:tcPr>
                <w:p>
                  <w:pPr>
                    <w:pStyle w:val="11"/>
                    <w:bidi w:val="0"/>
                    <w:ind w:firstLine="0" w:firstLineChars="0"/>
                  </w:pPr>
                  <w:r>
                    <w:rPr>
                      <w:rFonts w:hint="eastAsia"/>
                      <w:lang w:val="en-US" w:eastAsia="zh-CN"/>
                    </w:rPr>
                    <w:t>8</w:t>
                  </w:r>
                  <w:r>
                    <w:t>h/d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3" w:type="pct"/>
                  <w:vAlign w:val="center"/>
                </w:tcPr>
                <w:p>
                  <w:pPr>
                    <w:pStyle w:val="11"/>
                    <w:bidi w:val="0"/>
                    <w:rPr>
                      <w:rFonts w:hint="eastAsia"/>
                      <w:lang w:val="en-US" w:eastAsia="zh-CN"/>
                    </w:rPr>
                  </w:pPr>
                  <w:r>
                    <w:rPr>
                      <w:rFonts w:hint="eastAsia"/>
                      <w:lang w:val="en-US" w:eastAsia="zh-CN"/>
                    </w:rPr>
                    <w:t>8</w:t>
                  </w:r>
                </w:p>
              </w:tc>
              <w:tc>
                <w:tcPr>
                  <w:tcW w:w="760" w:type="pct"/>
                  <w:vAlign w:val="center"/>
                </w:tcPr>
                <w:p>
                  <w:pPr>
                    <w:pStyle w:val="11"/>
                    <w:bidi w:val="0"/>
                    <w:ind w:firstLine="0" w:firstLineChars="0"/>
                    <w:rPr>
                      <w:lang w:val="en-US" w:eastAsia="zh-CN"/>
                    </w:rPr>
                  </w:pPr>
                  <w:r>
                    <w:t>风机</w:t>
                  </w:r>
                </w:p>
              </w:tc>
              <w:tc>
                <w:tcPr>
                  <w:tcW w:w="760" w:type="pct"/>
                  <w:vAlign w:val="center"/>
                </w:tcPr>
                <w:p>
                  <w:pPr>
                    <w:pStyle w:val="11"/>
                    <w:bidi w:val="0"/>
                    <w:ind w:firstLine="0" w:firstLineChars="0"/>
                    <w:rPr>
                      <w:lang w:val="en-US" w:eastAsia="zh-CN"/>
                    </w:rPr>
                  </w:pPr>
                  <w:r>
                    <w:rPr>
                      <w:rFonts w:hint="eastAsia"/>
                      <w:lang w:val="en-US" w:eastAsia="zh-CN"/>
                    </w:rPr>
                    <w:t>1</w:t>
                  </w:r>
                  <w:r>
                    <w:t>台</w:t>
                  </w:r>
                </w:p>
              </w:tc>
              <w:tc>
                <w:tcPr>
                  <w:tcW w:w="761" w:type="pct"/>
                  <w:vAlign w:val="center"/>
                </w:tcPr>
                <w:p>
                  <w:pPr>
                    <w:pStyle w:val="11"/>
                    <w:bidi w:val="0"/>
                    <w:ind w:firstLine="0" w:firstLineChars="0"/>
                    <w:rPr>
                      <w:lang w:val="en-US" w:eastAsia="zh-CN"/>
                    </w:rPr>
                  </w:pPr>
                  <w:r>
                    <w:t>80</w:t>
                  </w:r>
                </w:p>
              </w:tc>
              <w:tc>
                <w:tcPr>
                  <w:tcW w:w="760" w:type="pct"/>
                  <w:vAlign w:val="center"/>
                </w:tcPr>
                <w:p>
                  <w:pPr>
                    <w:pStyle w:val="11"/>
                    <w:bidi w:val="0"/>
                    <w:ind w:firstLine="0" w:firstLineChars="0"/>
                    <w:rPr>
                      <w:lang w:val="en-US" w:eastAsia="zh-CN"/>
                    </w:rPr>
                  </w:pPr>
                  <w:r>
                    <w:t>减震、隔声</w:t>
                  </w:r>
                </w:p>
              </w:tc>
              <w:tc>
                <w:tcPr>
                  <w:tcW w:w="760" w:type="pct"/>
                  <w:vAlign w:val="center"/>
                </w:tcPr>
                <w:p>
                  <w:pPr>
                    <w:pStyle w:val="11"/>
                    <w:bidi w:val="0"/>
                    <w:ind w:firstLine="0" w:firstLineChars="0"/>
                    <w:rPr>
                      <w:lang w:val="en-US" w:eastAsia="zh-CN"/>
                    </w:rPr>
                  </w:pPr>
                  <w:r>
                    <w:t>60</w:t>
                  </w:r>
                </w:p>
              </w:tc>
              <w:tc>
                <w:tcPr>
                  <w:tcW w:w="761" w:type="pct"/>
                  <w:vAlign w:val="top"/>
                </w:tcPr>
                <w:p>
                  <w:pPr>
                    <w:pStyle w:val="11"/>
                    <w:bidi w:val="0"/>
                    <w:ind w:firstLine="0" w:firstLineChars="0"/>
                    <w:rPr>
                      <w:lang w:val="en-US" w:eastAsia="zh-CN"/>
                    </w:rPr>
                  </w:pPr>
                  <w:r>
                    <w:t>10h/d</w:t>
                  </w:r>
                </w:p>
              </w:tc>
            </w:tr>
          </w:tbl>
          <w:p>
            <w:pPr>
              <w:pStyle w:val="7"/>
              <w:ind w:firstLine="482" w:firstLineChars="200"/>
              <w:jc w:val="both"/>
              <w:rPr>
                <w:b/>
                <w:bCs/>
              </w:rPr>
            </w:pPr>
            <w:r>
              <w:rPr>
                <w:b/>
                <w:bCs/>
              </w:rPr>
              <w:t>3.2 厂界和环境目标达标情况分析</w:t>
            </w:r>
          </w:p>
          <w:p>
            <w:pPr>
              <w:keepNext/>
              <w:spacing w:line="360" w:lineRule="auto"/>
              <w:ind w:firstLine="480" w:firstLineChars="200"/>
              <w:jc w:val="left"/>
              <w:outlineLvl w:val="0"/>
            </w:pPr>
            <w:r>
              <w:t>本评价根据《环境影响评价技术导则-声环境》（HJ2.4-20</w:t>
            </w:r>
            <w:r>
              <w:rPr>
                <w:rFonts w:hint="eastAsia"/>
                <w:lang w:val="en-US" w:eastAsia="zh-CN"/>
              </w:rPr>
              <w:t>09</w:t>
            </w:r>
            <w:r>
              <w:t>）推荐的方法，取设备噪声最大值进行预测。本次评价仅考虑点声源的几何发散衰减，在不考虑其它因素情况下，预测项目厂界噪声值，预测模式如下：</w:t>
            </w:r>
          </w:p>
          <w:p>
            <w:pPr>
              <w:keepNext/>
              <w:spacing w:line="360" w:lineRule="auto"/>
              <w:ind w:left="0" w:leftChars="0" w:firstLine="0" w:firstLineChars="0"/>
              <w:jc w:val="center"/>
              <w:outlineLvl w:val="0"/>
              <w:rPr>
                <w:rFonts w:hint="eastAsia"/>
                <w:lang w:eastAsia="zh-CN"/>
              </w:rPr>
            </w:pPr>
            <w:r>
              <w:object>
                <v:shape id="_x0000_i1025" o:spt="75" type="#_x0000_t75" style="height:19pt;width:134pt;" o:ole="t" filled="f" o:preferrelative="t" stroked="f" coordsize="21600,21600">
                  <v:path/>
                  <v:fill on="f" focussize="0,0"/>
                  <v:stroke on="f"/>
                  <v:imagedata r:id="rId12" o:title=""/>
                  <o:lock v:ext="edit" aspectratio="t"/>
                  <w10:wrap type="none"/>
                  <w10:anchorlock/>
                </v:shape>
                <o:OLEObject Type="Embed" ProgID="Equation.KSEE3" ShapeID="_x0000_i1025" DrawAspect="Content" ObjectID="_1468075725" r:id="rId11">
                  <o:LockedField>false</o:LockedField>
                </o:OLEObject>
              </w:object>
            </w:r>
          </w:p>
          <w:p>
            <w:pPr>
              <w:spacing w:line="360" w:lineRule="auto"/>
              <w:ind w:firstLine="480" w:firstLineChars="200"/>
              <w:textAlignment w:val="baseline"/>
            </w:pPr>
            <w:r>
              <w:t>式中：L</w:t>
            </w:r>
            <w:r>
              <w:rPr>
                <w:rFonts w:hint="eastAsia"/>
                <w:lang w:val="en-US" w:eastAsia="zh-CN"/>
              </w:rPr>
              <w:t>p(</w:t>
            </w:r>
            <w:r>
              <w:t>r</w:t>
            </w:r>
            <w:r>
              <w:rPr>
                <w:rFonts w:hint="eastAsia"/>
                <w:lang w:val="en-US" w:eastAsia="zh-CN"/>
              </w:rPr>
              <w:t>)</w:t>
            </w:r>
            <w:r>
              <w:t>—距离声源r米处噪声预测值，dB(A)</w:t>
            </w:r>
          </w:p>
          <w:p>
            <w:pPr>
              <w:spacing w:line="360" w:lineRule="auto"/>
              <w:ind w:firstLine="1200" w:firstLineChars="500"/>
              <w:textAlignment w:val="baseline"/>
            </w:pPr>
            <w:r>
              <w:t>L</w:t>
            </w:r>
            <w:r>
              <w:rPr>
                <w:rFonts w:hint="eastAsia"/>
                <w:lang w:val="en-US" w:eastAsia="zh-CN"/>
              </w:rPr>
              <w:t>p(</w:t>
            </w:r>
            <w:r>
              <w:t>r</w:t>
            </w:r>
            <w:r>
              <w:rPr>
                <w:vertAlign w:val="subscript"/>
              </w:rPr>
              <w:t>0</w:t>
            </w:r>
            <w:r>
              <w:rPr>
                <w:rFonts w:hint="eastAsia"/>
                <w:lang w:val="en-US" w:eastAsia="zh-CN"/>
              </w:rPr>
              <w:t>)</w:t>
            </w:r>
            <w:r>
              <w:t>—距离声源r</w:t>
            </w:r>
            <w:r>
              <w:rPr>
                <w:vertAlign w:val="subscript"/>
              </w:rPr>
              <w:t>0</w:t>
            </w:r>
            <w:r>
              <w:t>米处噪声预测值，dB(A)</w:t>
            </w:r>
          </w:p>
          <w:p>
            <w:pPr>
              <w:spacing w:line="360" w:lineRule="auto"/>
              <w:ind w:firstLine="1200" w:firstLineChars="500"/>
              <w:textAlignment w:val="baseline"/>
            </w:pPr>
            <w:r>
              <w:t>r —预测点距声源距离，m</w:t>
            </w:r>
          </w:p>
          <w:p>
            <w:pPr>
              <w:spacing w:line="360" w:lineRule="auto"/>
              <w:ind w:firstLine="1200" w:firstLineChars="500"/>
              <w:textAlignment w:val="baseline"/>
            </w:pPr>
            <w:r>
              <w:t>r</w:t>
            </w:r>
            <w:r>
              <w:rPr>
                <w:vertAlign w:val="subscript"/>
              </w:rPr>
              <w:t>0</w:t>
            </w:r>
            <w:r>
              <w:t>—参照点距声源距离，m</w:t>
            </w:r>
          </w:p>
          <w:p>
            <w:pPr>
              <w:pStyle w:val="7"/>
              <w:ind w:firstLine="480" w:firstLineChars="200"/>
              <w:jc w:val="both"/>
            </w:pPr>
            <w:r>
              <w:t>本项目仅昼间进行生产，噪声影响评价预测软件预测结果如下：</w:t>
            </w:r>
          </w:p>
          <w:p>
            <w:pPr>
              <w:pStyle w:val="12"/>
              <w:widowControl w:val="0"/>
              <w:bidi w:val="0"/>
              <w:jc w:val="right"/>
            </w:pPr>
            <w:r>
              <w:t xml:space="preserve">表4-7 </w:t>
            </w:r>
            <w:r>
              <w:rPr>
                <w:rFonts w:hint="eastAsia"/>
                <w:lang w:val="en-US" w:eastAsia="zh-CN"/>
              </w:rPr>
              <w:t xml:space="preserve"> </w:t>
            </w:r>
            <w:r>
              <w:t xml:space="preserve"> 厂界噪声达标性分析一览表 </w:t>
            </w:r>
            <w:r>
              <w:rPr>
                <w:rFonts w:hint="eastAsia"/>
                <w:lang w:val="en-US" w:eastAsia="zh-CN"/>
              </w:rPr>
              <w:t xml:space="preserve">   </w:t>
            </w:r>
            <w:r>
              <w:t xml:space="preserve"> 单位：dB（A）</w:t>
            </w:r>
          </w:p>
          <w:tbl>
            <w:tblPr>
              <w:tblStyle w:val="8"/>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04"/>
              <w:gridCol w:w="2359"/>
              <w:gridCol w:w="2496"/>
              <w:gridCol w:w="19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39" w:type="dxa"/>
                  <w:vMerge w:val="restart"/>
                  <w:vAlign w:val="center"/>
                </w:tcPr>
                <w:p>
                  <w:pPr>
                    <w:pStyle w:val="11"/>
                    <w:bidi w:val="0"/>
                  </w:pPr>
                  <w:r>
                    <w:t>预测点</w:t>
                  </w:r>
                </w:p>
              </w:tc>
              <w:tc>
                <w:tcPr>
                  <w:tcW w:w="2410" w:type="dxa"/>
                  <w:vMerge w:val="restart"/>
                  <w:vAlign w:val="center"/>
                </w:tcPr>
                <w:p>
                  <w:pPr>
                    <w:pStyle w:val="11"/>
                    <w:bidi w:val="0"/>
                  </w:pPr>
                  <w:r>
                    <w:t>噪声源距厂界距离（m）</w:t>
                  </w:r>
                </w:p>
              </w:tc>
              <w:tc>
                <w:tcPr>
                  <w:tcW w:w="2551" w:type="dxa"/>
                  <w:vAlign w:val="center"/>
                </w:tcPr>
                <w:p>
                  <w:pPr>
                    <w:pStyle w:val="11"/>
                    <w:bidi w:val="0"/>
                  </w:pPr>
                  <w:r>
                    <w:t>贡献值dB（A）</w:t>
                  </w:r>
                </w:p>
              </w:tc>
              <w:tc>
                <w:tcPr>
                  <w:tcW w:w="1959" w:type="dxa"/>
                  <w:vMerge w:val="restart"/>
                  <w:vAlign w:val="center"/>
                </w:tcPr>
                <w:p>
                  <w:pPr>
                    <w:pStyle w:val="11"/>
                    <w:bidi w:val="0"/>
                  </w:pPr>
                  <w:r>
                    <w:t>自行监测要求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39" w:type="dxa"/>
                  <w:vMerge w:val="continue"/>
                  <w:vAlign w:val="center"/>
                </w:tcPr>
                <w:p>
                  <w:pPr>
                    <w:pStyle w:val="11"/>
                    <w:bidi w:val="0"/>
                  </w:pPr>
                </w:p>
              </w:tc>
              <w:tc>
                <w:tcPr>
                  <w:tcW w:w="2410" w:type="dxa"/>
                  <w:vMerge w:val="continue"/>
                  <w:vAlign w:val="center"/>
                </w:tcPr>
                <w:p>
                  <w:pPr>
                    <w:pStyle w:val="11"/>
                    <w:bidi w:val="0"/>
                  </w:pPr>
                </w:p>
              </w:tc>
              <w:tc>
                <w:tcPr>
                  <w:tcW w:w="2551" w:type="dxa"/>
                  <w:vAlign w:val="center"/>
                </w:tcPr>
                <w:p>
                  <w:pPr>
                    <w:pStyle w:val="11"/>
                    <w:bidi w:val="0"/>
                  </w:pPr>
                  <w:r>
                    <w:t>昼间</w:t>
                  </w:r>
                </w:p>
              </w:tc>
              <w:tc>
                <w:tcPr>
                  <w:tcW w:w="1959" w:type="dxa"/>
                  <w:vMerge w:val="continue"/>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23" w:hRule="atLeast"/>
                <w:jc w:val="center"/>
              </w:trPr>
              <w:tc>
                <w:tcPr>
                  <w:tcW w:w="1539" w:type="dxa"/>
                  <w:vAlign w:val="center"/>
                </w:tcPr>
                <w:p>
                  <w:pPr>
                    <w:pStyle w:val="11"/>
                    <w:bidi w:val="0"/>
                  </w:pPr>
                  <w:r>
                    <w:t>东厂界</w:t>
                  </w:r>
                </w:p>
              </w:tc>
              <w:tc>
                <w:tcPr>
                  <w:tcW w:w="2410" w:type="dxa"/>
                  <w:vAlign w:val="center"/>
                </w:tcPr>
                <w:p>
                  <w:pPr>
                    <w:pStyle w:val="11"/>
                    <w:bidi w:val="0"/>
                    <w:rPr>
                      <w:rFonts w:hint="default"/>
                      <w:lang w:val="en-US" w:eastAsia="zh-CN"/>
                    </w:rPr>
                  </w:pPr>
                  <w:r>
                    <w:t>1</w:t>
                  </w:r>
                  <w:r>
                    <w:rPr>
                      <w:rFonts w:hint="eastAsia"/>
                      <w:lang w:val="en-US" w:eastAsia="zh-CN"/>
                    </w:rPr>
                    <w:t>01.06</w:t>
                  </w:r>
                </w:p>
              </w:tc>
              <w:tc>
                <w:tcPr>
                  <w:tcW w:w="2551" w:type="dxa"/>
                  <w:vAlign w:val="center"/>
                </w:tcPr>
                <w:p>
                  <w:pPr>
                    <w:pStyle w:val="11"/>
                    <w:bidi w:val="0"/>
                    <w:rPr>
                      <w:rFonts w:hint="default"/>
                      <w:lang w:val="en-US" w:eastAsia="zh-CN"/>
                    </w:rPr>
                  </w:pPr>
                  <w:r>
                    <w:rPr>
                      <w:rFonts w:hint="eastAsia"/>
                      <w:lang w:val="en-US" w:eastAsia="zh-CN"/>
                    </w:rPr>
                    <w:t>28.1</w:t>
                  </w:r>
                </w:p>
              </w:tc>
              <w:tc>
                <w:tcPr>
                  <w:tcW w:w="1959" w:type="dxa"/>
                  <w:vMerge w:val="restart"/>
                  <w:vAlign w:val="center"/>
                </w:tcPr>
                <w:p>
                  <w:pPr>
                    <w:pStyle w:val="11"/>
                    <w:bidi w:val="0"/>
                  </w:pPr>
                  <w:r>
                    <w:t>1次/季度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39" w:type="dxa"/>
                  <w:vAlign w:val="center"/>
                </w:tcPr>
                <w:p>
                  <w:pPr>
                    <w:pStyle w:val="11"/>
                    <w:bidi w:val="0"/>
                  </w:pPr>
                  <w:r>
                    <w:t>西厂界</w:t>
                  </w:r>
                </w:p>
              </w:tc>
              <w:tc>
                <w:tcPr>
                  <w:tcW w:w="2410" w:type="dxa"/>
                  <w:vAlign w:val="center"/>
                </w:tcPr>
                <w:p>
                  <w:pPr>
                    <w:pStyle w:val="11"/>
                    <w:bidi w:val="0"/>
                    <w:rPr>
                      <w:rFonts w:hint="default"/>
                      <w:lang w:val="en-US" w:eastAsia="zh-CN"/>
                    </w:rPr>
                  </w:pPr>
                  <w:r>
                    <w:rPr>
                      <w:rFonts w:hint="eastAsia"/>
                      <w:lang w:val="en-US" w:eastAsia="zh-CN"/>
                    </w:rPr>
                    <w:t>11</w:t>
                  </w:r>
                </w:p>
              </w:tc>
              <w:tc>
                <w:tcPr>
                  <w:tcW w:w="2551" w:type="dxa"/>
                  <w:vAlign w:val="center"/>
                </w:tcPr>
                <w:p>
                  <w:pPr>
                    <w:pStyle w:val="11"/>
                    <w:bidi w:val="0"/>
                    <w:rPr>
                      <w:rFonts w:hint="default"/>
                      <w:lang w:val="en-US" w:eastAsia="zh-CN"/>
                    </w:rPr>
                  </w:pPr>
                  <w:r>
                    <w:rPr>
                      <w:rFonts w:hint="eastAsia"/>
                      <w:lang w:val="en-US" w:eastAsia="zh-CN"/>
                    </w:rPr>
                    <w:t>40.5</w:t>
                  </w:r>
                </w:p>
              </w:tc>
              <w:tc>
                <w:tcPr>
                  <w:tcW w:w="1959" w:type="dxa"/>
                  <w:vMerge w:val="continue"/>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39" w:type="dxa"/>
                  <w:vAlign w:val="center"/>
                </w:tcPr>
                <w:p>
                  <w:pPr>
                    <w:pStyle w:val="11"/>
                    <w:bidi w:val="0"/>
                  </w:pPr>
                  <w:r>
                    <w:t>南厂界</w:t>
                  </w:r>
                </w:p>
              </w:tc>
              <w:tc>
                <w:tcPr>
                  <w:tcW w:w="2410" w:type="dxa"/>
                  <w:vAlign w:val="center"/>
                </w:tcPr>
                <w:p>
                  <w:pPr>
                    <w:pStyle w:val="11"/>
                    <w:bidi w:val="0"/>
                    <w:rPr>
                      <w:rFonts w:hint="eastAsia"/>
                      <w:lang w:eastAsia="zh-CN"/>
                    </w:rPr>
                  </w:pPr>
                  <w:r>
                    <w:rPr>
                      <w:rFonts w:hint="eastAsia"/>
                      <w:lang w:val="en-US" w:eastAsia="zh-CN"/>
                    </w:rPr>
                    <w:t>7</w:t>
                  </w:r>
                </w:p>
              </w:tc>
              <w:tc>
                <w:tcPr>
                  <w:tcW w:w="2551" w:type="dxa"/>
                  <w:vAlign w:val="center"/>
                </w:tcPr>
                <w:p>
                  <w:pPr>
                    <w:pStyle w:val="11"/>
                    <w:bidi w:val="0"/>
                    <w:rPr>
                      <w:rFonts w:hint="default"/>
                      <w:lang w:val="en-US" w:eastAsia="zh-CN"/>
                    </w:rPr>
                  </w:pPr>
                  <w:r>
                    <w:rPr>
                      <w:rFonts w:hint="eastAsia"/>
                      <w:lang w:val="en-US" w:eastAsia="zh-CN"/>
                    </w:rPr>
                    <w:t>44.6</w:t>
                  </w:r>
                </w:p>
              </w:tc>
              <w:tc>
                <w:tcPr>
                  <w:tcW w:w="1959" w:type="dxa"/>
                  <w:vMerge w:val="continue"/>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23" w:hRule="atLeast"/>
                <w:jc w:val="center"/>
              </w:trPr>
              <w:tc>
                <w:tcPr>
                  <w:tcW w:w="1539" w:type="dxa"/>
                  <w:vAlign w:val="center"/>
                </w:tcPr>
                <w:p>
                  <w:pPr>
                    <w:pStyle w:val="11"/>
                    <w:bidi w:val="0"/>
                  </w:pPr>
                  <w:r>
                    <w:t>北厂界</w:t>
                  </w:r>
                </w:p>
              </w:tc>
              <w:tc>
                <w:tcPr>
                  <w:tcW w:w="2410" w:type="dxa"/>
                  <w:vAlign w:val="center"/>
                </w:tcPr>
                <w:p>
                  <w:pPr>
                    <w:pStyle w:val="11"/>
                    <w:bidi w:val="0"/>
                    <w:rPr>
                      <w:rFonts w:hint="default"/>
                      <w:lang w:val="en-US" w:eastAsia="zh-CN"/>
                    </w:rPr>
                  </w:pPr>
                  <w:r>
                    <w:rPr>
                      <w:rFonts w:hint="eastAsia"/>
                      <w:lang w:val="en-US" w:eastAsia="zh-CN"/>
                    </w:rPr>
                    <w:t>9.25</w:t>
                  </w:r>
                </w:p>
              </w:tc>
              <w:tc>
                <w:tcPr>
                  <w:tcW w:w="2551" w:type="dxa"/>
                  <w:vAlign w:val="center"/>
                </w:tcPr>
                <w:p>
                  <w:pPr>
                    <w:pStyle w:val="11"/>
                    <w:bidi w:val="0"/>
                    <w:rPr>
                      <w:rFonts w:hint="default"/>
                      <w:lang w:val="en-US" w:eastAsia="zh-CN"/>
                    </w:rPr>
                  </w:pPr>
                  <w:r>
                    <w:rPr>
                      <w:rFonts w:hint="eastAsia"/>
                      <w:lang w:val="en-US" w:eastAsia="zh-CN"/>
                    </w:rPr>
                    <w:t>39.6</w:t>
                  </w:r>
                </w:p>
              </w:tc>
              <w:tc>
                <w:tcPr>
                  <w:tcW w:w="1959" w:type="dxa"/>
                  <w:vMerge w:val="continue"/>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23" w:hRule="atLeast"/>
                <w:jc w:val="center"/>
              </w:trPr>
              <w:tc>
                <w:tcPr>
                  <w:tcW w:w="3949" w:type="dxa"/>
                  <w:gridSpan w:val="2"/>
                  <w:vAlign w:val="center"/>
                </w:tcPr>
                <w:p>
                  <w:pPr>
                    <w:pStyle w:val="11"/>
                    <w:bidi w:val="0"/>
                  </w:pPr>
                  <w:r>
                    <w:t>标准值</w:t>
                  </w:r>
                </w:p>
              </w:tc>
              <w:tc>
                <w:tcPr>
                  <w:tcW w:w="2551" w:type="dxa"/>
                  <w:vAlign w:val="center"/>
                </w:tcPr>
                <w:p>
                  <w:pPr>
                    <w:pStyle w:val="11"/>
                    <w:bidi w:val="0"/>
                  </w:pPr>
                  <w:r>
                    <w:t>60</w:t>
                  </w:r>
                </w:p>
              </w:tc>
              <w:tc>
                <w:tcPr>
                  <w:tcW w:w="1959" w:type="dxa"/>
                  <w:vAlign w:val="center"/>
                </w:tcPr>
                <w:p>
                  <w:pPr>
                    <w:pStyle w:val="11"/>
                    <w:bidi w:val="0"/>
                  </w:pPr>
                  <w: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3949" w:type="dxa"/>
                  <w:gridSpan w:val="2"/>
                  <w:vAlign w:val="center"/>
                </w:tcPr>
                <w:p>
                  <w:pPr>
                    <w:pStyle w:val="11"/>
                    <w:bidi w:val="0"/>
                  </w:pPr>
                  <w:r>
                    <w:t>达标情况</w:t>
                  </w:r>
                </w:p>
              </w:tc>
              <w:tc>
                <w:tcPr>
                  <w:tcW w:w="2551" w:type="dxa"/>
                  <w:vAlign w:val="center"/>
                </w:tcPr>
                <w:p>
                  <w:pPr>
                    <w:pStyle w:val="11"/>
                    <w:bidi w:val="0"/>
                  </w:pPr>
                  <w:r>
                    <w:t>达标</w:t>
                  </w:r>
                </w:p>
              </w:tc>
              <w:tc>
                <w:tcPr>
                  <w:tcW w:w="1959" w:type="dxa"/>
                  <w:vAlign w:val="center"/>
                </w:tcPr>
                <w:p>
                  <w:pPr>
                    <w:pStyle w:val="11"/>
                    <w:bidi w:val="0"/>
                  </w:pPr>
                  <w:r>
                    <w:t>/</w:t>
                  </w:r>
                </w:p>
              </w:tc>
            </w:tr>
          </w:tbl>
          <w:p>
            <w:pPr>
              <w:spacing w:line="360" w:lineRule="auto"/>
              <w:ind w:firstLine="480" w:firstLineChars="200"/>
            </w:pPr>
            <w:r>
              <w:t>由上表可知，</w:t>
            </w:r>
            <w:r>
              <w:rPr>
                <w:rFonts w:hint="eastAsia"/>
              </w:rPr>
              <w:t>本项目采取单班制，每班8小时，夜间不生产，</w:t>
            </w:r>
            <w:r>
              <w:t>在采取噪声控制措施后，运营期东、南、西、北四厂界噪声均满足《工业企业厂界环境噪声排放标准》（GB12348-2008）2类标准（昼间60dB（A））限值要求。因此项目营运期对周围声环境影响较小。</w:t>
            </w:r>
          </w:p>
          <w:p>
            <w:pPr>
              <w:bidi w:val="0"/>
              <w:rPr>
                <w:rFonts w:hint="eastAsia"/>
              </w:rPr>
            </w:pPr>
            <w:r>
              <w:rPr>
                <w:rFonts w:hint="eastAsia"/>
              </w:rPr>
              <w:t>离项目最近的环境敏感点为</w:t>
            </w:r>
            <w:r>
              <w:rPr>
                <w:rFonts w:hint="eastAsia"/>
                <w:lang w:val="en-US" w:eastAsia="zh-CN"/>
              </w:rPr>
              <w:t>北</w:t>
            </w:r>
            <w:r>
              <w:rPr>
                <w:rFonts w:hint="eastAsia"/>
              </w:rPr>
              <w:t>侧</w:t>
            </w:r>
            <w:r>
              <w:rPr>
                <w:rFonts w:hint="eastAsia"/>
                <w:lang w:val="en-US" w:eastAsia="zh-CN"/>
              </w:rPr>
              <w:t>30</w:t>
            </w:r>
            <w:r>
              <w:rPr>
                <w:rFonts w:hint="eastAsia"/>
              </w:rPr>
              <w:t>m处的</w:t>
            </w:r>
            <w:r>
              <w:rPr>
                <w:rFonts w:hint="eastAsia"/>
                <w:lang w:val="en-US" w:eastAsia="zh-CN"/>
              </w:rPr>
              <w:t>大罗庄村</w:t>
            </w:r>
            <w:r>
              <w:rPr>
                <w:rFonts w:hint="eastAsia"/>
              </w:rPr>
              <w:t>，项目营运期间对该点位的噪声预测值见表4</w:t>
            </w:r>
            <w:r>
              <w:t>-8</w:t>
            </w:r>
            <w:r>
              <w:rPr>
                <w:rFonts w:hint="eastAsia"/>
              </w:rPr>
              <w:t>。</w:t>
            </w:r>
          </w:p>
          <w:p>
            <w:pPr>
              <w:pStyle w:val="12"/>
              <w:widowControl w:val="0"/>
              <w:bidi w:val="0"/>
            </w:pPr>
            <w:r>
              <w:t xml:space="preserve">表4-8 </w:t>
            </w:r>
            <w:r>
              <w:rPr>
                <w:rFonts w:hint="eastAsia"/>
                <w:lang w:val="en-US" w:eastAsia="zh-CN"/>
              </w:rPr>
              <w:t xml:space="preserve"> </w:t>
            </w:r>
            <w:r>
              <w:t xml:space="preserve"> 敏感点噪声贡献值预测表</w:t>
            </w:r>
          </w:p>
          <w:tbl>
            <w:tblPr>
              <w:tblStyle w:val="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032"/>
              <w:gridCol w:w="3615"/>
              <w:gridCol w:w="36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24" w:type="pct"/>
                  <w:shd w:val="clear" w:color="auto" w:fill="auto"/>
                  <w:noWrap w:val="0"/>
                  <w:vAlign w:val="center"/>
                </w:tcPr>
                <w:p>
                  <w:pPr>
                    <w:pStyle w:val="11"/>
                    <w:bidi w:val="0"/>
                    <w:jc w:val="center"/>
                  </w:pPr>
                  <w:r>
                    <w:t>预测点</w:t>
                  </w:r>
                </w:p>
              </w:tc>
              <w:tc>
                <w:tcPr>
                  <w:tcW w:w="2186" w:type="pct"/>
                  <w:shd w:val="clear" w:color="auto" w:fill="auto"/>
                  <w:noWrap w:val="0"/>
                  <w:vAlign w:val="center"/>
                </w:tcPr>
                <w:p>
                  <w:pPr>
                    <w:pStyle w:val="11"/>
                    <w:bidi w:val="0"/>
                    <w:jc w:val="center"/>
                    <w:rPr>
                      <w:rFonts w:hint="eastAsia" w:eastAsia="宋体"/>
                      <w:lang w:val="en-US" w:eastAsia="zh-CN"/>
                    </w:rPr>
                  </w:pPr>
                  <w:r>
                    <w:t>预测值</w:t>
                  </w:r>
                  <w:r>
                    <w:rPr>
                      <w:rFonts w:hint="eastAsia"/>
                      <w:lang w:eastAsia="zh-CN"/>
                    </w:rPr>
                    <w:t>（</w:t>
                  </w:r>
                  <w:r>
                    <w:t>昼间</w:t>
                  </w:r>
                  <w:r>
                    <w:rPr>
                      <w:rFonts w:hint="eastAsia"/>
                      <w:lang w:eastAsia="zh-CN"/>
                    </w:rPr>
                    <w:t>）</w:t>
                  </w:r>
                </w:p>
              </w:tc>
              <w:tc>
                <w:tcPr>
                  <w:tcW w:w="2189" w:type="pct"/>
                  <w:noWrap w:val="0"/>
                  <w:vAlign w:val="center"/>
                </w:tcPr>
                <w:p>
                  <w:pPr>
                    <w:pStyle w:val="11"/>
                    <w:bidi w:val="0"/>
                    <w:jc w:val="center"/>
                    <w:rPr>
                      <w:rFonts w:hint="eastAsia"/>
                    </w:rPr>
                  </w:pPr>
                  <w:r>
                    <w:rPr>
                      <w:rFonts w:hint="eastAsia"/>
                    </w:rPr>
                    <w:t>叠加值</w:t>
                  </w:r>
                  <w:r>
                    <w:rPr>
                      <w:rFonts w:hint="eastAsia"/>
                      <w:lang w:eastAsia="zh-CN"/>
                    </w:rPr>
                    <w:t>（</w:t>
                  </w:r>
                  <w:r>
                    <w:t>昼间</w:t>
                  </w:r>
                  <w:r>
                    <w:rPr>
                      <w:rFonts w:hint="eastAsia"/>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624" w:type="pct"/>
                  <w:shd w:val="clear" w:color="auto" w:fill="auto"/>
                  <w:noWrap w:val="0"/>
                  <w:vAlign w:val="center"/>
                </w:tcPr>
                <w:p>
                  <w:pPr>
                    <w:pStyle w:val="11"/>
                    <w:bidi w:val="0"/>
                    <w:jc w:val="center"/>
                    <w:rPr>
                      <w:rFonts w:hint="eastAsia"/>
                      <w:lang w:eastAsia="zh-CN"/>
                    </w:rPr>
                  </w:pPr>
                  <w:r>
                    <w:rPr>
                      <w:rFonts w:hint="eastAsia"/>
                      <w:lang w:val="en-US" w:eastAsia="zh-CN"/>
                    </w:rPr>
                    <w:t>大罗庄村</w:t>
                  </w:r>
                </w:p>
              </w:tc>
              <w:tc>
                <w:tcPr>
                  <w:tcW w:w="2186" w:type="pct"/>
                  <w:shd w:val="clear" w:color="auto" w:fill="auto"/>
                  <w:noWrap w:val="0"/>
                  <w:vAlign w:val="center"/>
                </w:tcPr>
                <w:p>
                  <w:pPr>
                    <w:pStyle w:val="11"/>
                    <w:bidi w:val="0"/>
                    <w:jc w:val="center"/>
                    <w:rPr>
                      <w:rFonts w:hint="default" w:eastAsia="宋体"/>
                      <w:color w:val="auto"/>
                      <w:lang w:val="en-US" w:eastAsia="zh-CN"/>
                    </w:rPr>
                  </w:pPr>
                  <w:r>
                    <w:rPr>
                      <w:rFonts w:hint="eastAsia"/>
                      <w:color w:val="auto"/>
                      <w:lang w:val="en-US" w:eastAsia="zh-CN"/>
                    </w:rPr>
                    <w:t>10.1</w:t>
                  </w:r>
                </w:p>
              </w:tc>
              <w:tc>
                <w:tcPr>
                  <w:tcW w:w="2189" w:type="pct"/>
                  <w:noWrap w:val="0"/>
                  <w:vAlign w:val="center"/>
                </w:tcPr>
                <w:p>
                  <w:pPr>
                    <w:pStyle w:val="11"/>
                    <w:bidi w:val="0"/>
                    <w:jc w:val="center"/>
                    <w:rPr>
                      <w:rFonts w:hint="default" w:eastAsia="宋体"/>
                      <w:color w:val="auto"/>
                      <w:lang w:val="en-US" w:eastAsia="zh-CN"/>
                    </w:rPr>
                  </w:pPr>
                  <w:r>
                    <w:rPr>
                      <w:rFonts w:hint="eastAsia"/>
                      <w:color w:val="auto"/>
                      <w:lang w:val="en-US" w:eastAsia="zh-CN"/>
                    </w:rPr>
                    <w:t>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624" w:type="pct"/>
                  <w:shd w:val="clear" w:color="auto" w:fill="auto"/>
                  <w:noWrap w:val="0"/>
                  <w:vAlign w:val="center"/>
                </w:tcPr>
                <w:p>
                  <w:pPr>
                    <w:pStyle w:val="11"/>
                    <w:bidi w:val="0"/>
                    <w:jc w:val="center"/>
                    <w:rPr>
                      <w:rFonts w:hint="eastAsia"/>
                    </w:rPr>
                  </w:pPr>
                  <w:r>
                    <w:rPr>
                      <w:rFonts w:hint="eastAsia"/>
                    </w:rPr>
                    <w:t>标准值</w:t>
                  </w:r>
                </w:p>
              </w:tc>
              <w:tc>
                <w:tcPr>
                  <w:tcW w:w="4375" w:type="pct"/>
                  <w:gridSpan w:val="2"/>
                  <w:shd w:val="clear" w:color="auto" w:fill="auto"/>
                  <w:noWrap w:val="0"/>
                  <w:vAlign w:val="center"/>
                </w:tcPr>
                <w:p>
                  <w:pPr>
                    <w:pStyle w:val="11"/>
                    <w:bidi w:val="0"/>
                    <w:jc w:val="center"/>
                  </w:pPr>
                  <w:r>
                    <w:rPr>
                      <w:rFonts w:hint="eastAsia"/>
                    </w:rPr>
                    <w:t>昼间60dB（A）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624" w:type="pct"/>
                  <w:shd w:val="clear" w:color="auto" w:fill="auto"/>
                  <w:noWrap w:val="0"/>
                  <w:vAlign w:val="center"/>
                </w:tcPr>
                <w:p>
                  <w:pPr>
                    <w:pStyle w:val="11"/>
                    <w:bidi w:val="0"/>
                    <w:jc w:val="center"/>
                    <w:rPr>
                      <w:rFonts w:hint="eastAsia"/>
                    </w:rPr>
                  </w:pPr>
                  <w:r>
                    <w:rPr>
                      <w:rFonts w:hint="eastAsia"/>
                    </w:rPr>
                    <w:t>达标情况</w:t>
                  </w:r>
                </w:p>
              </w:tc>
              <w:tc>
                <w:tcPr>
                  <w:tcW w:w="4375" w:type="pct"/>
                  <w:gridSpan w:val="2"/>
                  <w:shd w:val="clear" w:color="auto" w:fill="auto"/>
                  <w:noWrap w:val="0"/>
                  <w:vAlign w:val="center"/>
                </w:tcPr>
                <w:p>
                  <w:pPr>
                    <w:pStyle w:val="11"/>
                    <w:bidi w:val="0"/>
                    <w:jc w:val="center"/>
                  </w:pPr>
                  <w:r>
                    <w:rPr>
                      <w:rFonts w:hint="eastAsia"/>
                    </w:rPr>
                    <w:t>达标</w:t>
                  </w:r>
                </w:p>
              </w:tc>
            </w:tr>
          </w:tbl>
          <w:p>
            <w:pPr>
              <w:bidi w:val="0"/>
            </w:pPr>
            <w:r>
              <w:rPr>
                <w:rFonts w:hint="eastAsia"/>
              </w:rPr>
              <w:t>由表4</w:t>
            </w:r>
            <w:r>
              <w:t>-8</w:t>
            </w:r>
            <w:r>
              <w:rPr>
                <w:rFonts w:hint="eastAsia"/>
              </w:rPr>
              <w:t>可知，</w:t>
            </w:r>
            <w:r>
              <w:t>经过距离衰减</w:t>
            </w:r>
            <w:r>
              <w:rPr>
                <w:color w:val="auto"/>
              </w:rPr>
              <w:t>，项目排放的噪声到达此处时已降为</w:t>
            </w:r>
            <w:r>
              <w:rPr>
                <w:rFonts w:hint="eastAsia"/>
                <w:color w:val="auto"/>
              </w:rPr>
              <w:t>3</w:t>
            </w:r>
            <w:r>
              <w:rPr>
                <w:color w:val="auto"/>
              </w:rPr>
              <w:t>9.1dB（A），叠加所在地声级后约为昼间</w:t>
            </w:r>
            <w:r>
              <w:rPr>
                <w:rFonts w:hint="eastAsia"/>
                <w:color w:val="auto"/>
                <w:lang w:val="en-US" w:eastAsia="zh-CN"/>
              </w:rPr>
              <w:t>49</w:t>
            </w:r>
            <w:r>
              <w:rPr>
                <w:color w:val="auto"/>
              </w:rPr>
              <w:t>dB（A），满</w:t>
            </w:r>
            <w:r>
              <w:t>足《声环境质量标准》（GB3096-2008）2类标准，故不会对该居民区产生明显影响。</w:t>
            </w:r>
          </w:p>
          <w:p>
            <w:pPr>
              <w:adjustRightInd w:val="0"/>
              <w:spacing w:line="360" w:lineRule="auto"/>
              <w:ind w:firstLine="480" w:firstLineChars="200"/>
              <w:jc w:val="left"/>
              <w:textAlignment w:val="baseline"/>
            </w:pPr>
            <w:r>
              <w:t>综上，项目投产后的设备噪声不会对周围环境造成明显影响。</w:t>
            </w:r>
          </w:p>
          <w:p>
            <w:pPr>
              <w:pStyle w:val="4"/>
              <w:bidi w:val="0"/>
            </w:pPr>
            <w:r>
              <w:t>4</w:t>
            </w:r>
            <w:r>
              <w:rPr>
                <w:rFonts w:hint="eastAsia"/>
                <w:lang w:eastAsia="zh-CN"/>
              </w:rPr>
              <w:t>、</w:t>
            </w:r>
            <w:r>
              <w:t>固体废物</w:t>
            </w:r>
          </w:p>
          <w:p>
            <w:pPr>
              <w:spacing w:line="360" w:lineRule="auto"/>
              <w:ind w:firstLine="480" w:firstLineChars="200"/>
            </w:pPr>
            <w:r>
              <w:t>项目营运期固体废物为生活垃圾、一般工业固废和危险废物。</w:t>
            </w:r>
          </w:p>
          <w:p>
            <w:pPr>
              <w:spacing w:line="360" w:lineRule="auto"/>
              <w:ind w:firstLine="482" w:firstLineChars="200"/>
              <w:rPr>
                <w:b/>
                <w:bCs/>
              </w:rPr>
            </w:pPr>
            <w:r>
              <w:rPr>
                <w:b/>
                <w:bCs/>
              </w:rPr>
              <w:t>4.1 固体废物产排情况</w:t>
            </w:r>
          </w:p>
          <w:p>
            <w:pPr>
              <w:spacing w:line="360" w:lineRule="auto"/>
              <w:ind w:firstLine="480" w:firstLineChars="200"/>
            </w:pPr>
            <w:r>
              <w:t>（1）生活垃圾</w:t>
            </w:r>
          </w:p>
          <w:p>
            <w:pPr>
              <w:spacing w:line="360" w:lineRule="auto"/>
              <w:ind w:firstLine="480" w:firstLineChars="200"/>
            </w:pPr>
            <w:r>
              <w:t>项目劳动人员</w:t>
            </w:r>
            <w:r>
              <w:rPr>
                <w:rFonts w:hint="eastAsia"/>
                <w:lang w:val="en-US" w:eastAsia="zh-CN"/>
              </w:rPr>
              <w:t>3</w:t>
            </w:r>
            <w:r>
              <w:t>0人，年工作</w:t>
            </w:r>
            <w:r>
              <w:rPr>
                <w:rFonts w:hint="eastAsia"/>
                <w:lang w:val="en-US" w:eastAsia="zh-CN"/>
              </w:rPr>
              <w:t>26</w:t>
            </w:r>
            <w:r>
              <w:t>0天。生活垃圾产生量按每人每天0.5kg计，则产生量为</w:t>
            </w:r>
            <w:r>
              <w:rPr>
                <w:rFonts w:hint="eastAsia"/>
                <w:lang w:val="en-US" w:eastAsia="zh-CN"/>
              </w:rPr>
              <w:t>15</w:t>
            </w:r>
            <w:r>
              <w:t>kg/d，</w:t>
            </w:r>
            <w:r>
              <w:rPr>
                <w:rFonts w:hint="eastAsia"/>
                <w:lang w:val="en-US" w:eastAsia="zh-CN"/>
              </w:rPr>
              <w:t>3.9</w:t>
            </w:r>
            <w:r>
              <w:t>t/a。厂区内设置垃圾箱，生活垃圾收集分类后交由环卫部门处置。</w:t>
            </w:r>
          </w:p>
          <w:p>
            <w:pPr>
              <w:spacing w:line="360" w:lineRule="auto"/>
              <w:ind w:firstLine="480" w:firstLineChars="200"/>
            </w:pPr>
            <w:r>
              <w:t>（2）一般工业固废</w:t>
            </w:r>
          </w:p>
          <w:p>
            <w:pPr>
              <w:spacing w:line="360" w:lineRule="auto"/>
              <w:ind w:firstLine="480" w:firstLineChars="200"/>
              <w:rPr>
                <w:rFonts w:hint="default"/>
                <w:lang w:val="en-US" w:eastAsia="zh-CN"/>
              </w:rPr>
            </w:pPr>
            <w:r>
              <w:rPr>
                <w:rFonts w:hint="eastAsia"/>
              </w:rPr>
              <w:t>①</w:t>
            </w:r>
            <w:r>
              <w:rPr>
                <w:rFonts w:hint="eastAsia"/>
                <w:lang w:val="en-US" w:eastAsia="zh-CN"/>
              </w:rPr>
              <w:t>除尘卸灰</w:t>
            </w:r>
            <w:r>
              <w:t>：项目</w:t>
            </w:r>
            <w:r>
              <w:rPr>
                <w:rFonts w:hint="eastAsia"/>
                <w:lang w:val="en-US" w:eastAsia="zh-CN"/>
              </w:rPr>
              <w:t>配料、混胶工序产生的少量粉尘经袋式除尘器收集，粉尘收集量为0.0172t/a，该粉尘主要为白炭黑辅料逸散生成，因此可回用于生产。</w:t>
            </w:r>
          </w:p>
          <w:p>
            <w:pPr>
              <w:spacing w:line="360" w:lineRule="auto"/>
              <w:ind w:firstLine="480" w:firstLineChars="200"/>
              <w:rPr>
                <w:rFonts w:hint="eastAsia"/>
                <w:lang w:val="en-US" w:eastAsia="zh-CN"/>
              </w:rPr>
            </w:pPr>
            <w:r>
              <w:rPr>
                <w:rFonts w:hint="eastAsia"/>
                <w:lang w:val="en-US" w:eastAsia="zh-CN"/>
              </w:rPr>
              <w:t>②金属废料</w:t>
            </w:r>
          </w:p>
          <w:p>
            <w:pPr>
              <w:spacing w:line="360" w:lineRule="auto"/>
              <w:ind w:firstLine="480" w:firstLineChars="200"/>
              <w:rPr>
                <w:rFonts w:hint="default"/>
                <w:lang w:val="en-US" w:eastAsia="zh-CN"/>
              </w:rPr>
            </w:pPr>
            <w:r>
              <w:rPr>
                <w:rFonts w:hint="eastAsia"/>
                <w:lang w:val="en-US" w:eastAsia="zh-CN"/>
              </w:rPr>
              <w:t>项目电力金具生产线切边、机加工等工序会产生金属废料，根据企业提供资料，金属废料产生量约为75t/a，暂存于厂区固废暂存间，定期外售给资源回收单位。</w:t>
            </w:r>
          </w:p>
          <w:p>
            <w:pPr>
              <w:spacing w:line="360" w:lineRule="auto"/>
              <w:ind w:firstLine="480" w:firstLineChars="200"/>
              <w:rPr>
                <w:rFonts w:hint="eastAsia"/>
                <w:lang w:val="en-US" w:eastAsia="zh-CN"/>
              </w:rPr>
            </w:pPr>
            <w:r>
              <w:rPr>
                <w:rFonts w:hint="eastAsia"/>
                <w:lang w:val="en-US" w:eastAsia="zh-CN"/>
              </w:rPr>
              <w:t>③橡胶废料</w:t>
            </w:r>
          </w:p>
          <w:p>
            <w:pPr>
              <w:spacing w:line="360" w:lineRule="auto"/>
              <w:ind w:firstLine="480" w:firstLineChars="200"/>
              <w:rPr>
                <w:rFonts w:hint="default"/>
                <w:lang w:val="en-US" w:eastAsia="zh-CN"/>
              </w:rPr>
            </w:pPr>
            <w:r>
              <w:rPr>
                <w:rFonts w:hint="eastAsia"/>
                <w:lang w:val="en-US" w:eastAsia="zh-CN"/>
              </w:rPr>
              <w:t>项目混胶、修边工序中会产生橡胶废边角料和残次品，根据企业提供资料，橡胶废料产生量约为0.5t/a，暂存于厂区固废暂存间，定期外售给资源回收单位。</w:t>
            </w:r>
          </w:p>
          <w:p>
            <w:pPr>
              <w:spacing w:line="360" w:lineRule="auto"/>
              <w:ind w:firstLine="480" w:firstLineChars="200"/>
              <w:rPr>
                <w:rFonts w:hint="eastAsia"/>
                <w:lang w:val="en-US" w:eastAsia="zh-CN"/>
              </w:rPr>
            </w:pPr>
            <w:r>
              <w:rPr>
                <w:rFonts w:hint="eastAsia"/>
                <w:lang w:val="en-US" w:eastAsia="zh-CN"/>
              </w:rPr>
              <w:t>④包装废料</w:t>
            </w:r>
          </w:p>
          <w:p>
            <w:pPr>
              <w:spacing w:line="360" w:lineRule="auto"/>
              <w:ind w:firstLine="480" w:firstLineChars="200"/>
              <w:rPr>
                <w:rFonts w:hint="default"/>
                <w:lang w:val="en-US" w:eastAsia="zh-CN"/>
              </w:rPr>
            </w:pPr>
            <w:r>
              <w:rPr>
                <w:rFonts w:hint="eastAsia"/>
                <w:lang w:val="en-US" w:eastAsia="zh-CN"/>
              </w:rPr>
              <w:t>项目原料拆封、成品包装过程中会产生废包装袋、废包装纸箱等包装废料，根据企业提供资料，包装废料产生量约为3.5t/a，暂存于厂区固废暂存间，定期外售给资源回收单位。</w:t>
            </w:r>
          </w:p>
          <w:p>
            <w:pPr>
              <w:spacing w:line="360" w:lineRule="auto"/>
              <w:ind w:firstLine="480" w:firstLineChars="200"/>
              <w:rPr>
                <w:rFonts w:hint="eastAsia"/>
                <w:lang w:val="en-US" w:eastAsia="zh-CN"/>
              </w:rPr>
            </w:pPr>
            <w:r>
              <w:rPr>
                <w:rFonts w:hint="eastAsia"/>
                <w:lang w:val="en-US" w:eastAsia="zh-CN"/>
              </w:rPr>
              <w:t>⑤废UV灯管</w:t>
            </w:r>
          </w:p>
          <w:p>
            <w:pPr>
              <w:spacing w:line="360" w:lineRule="auto"/>
              <w:ind w:firstLine="480" w:firstLineChars="200"/>
              <w:rPr>
                <w:rFonts w:hint="default"/>
                <w:lang w:val="en-US" w:eastAsia="zh-CN"/>
              </w:rPr>
            </w:pPr>
            <w:r>
              <w:t>项目UV光氧使用UV灯管作为紫外线发生器，UV灯管使用寿命一般为1年，项目需定期更换灯管。项目所用UV光解装置灯管数量为20根，重量约为4kg，则项目废UV灯管产生量约为4kg/a。项目采用碳弧光紫外灯，灯管不含汞，不属于危险废物。</w:t>
            </w:r>
          </w:p>
          <w:p>
            <w:pPr>
              <w:spacing w:line="360" w:lineRule="auto"/>
              <w:ind w:firstLine="480" w:firstLineChars="200"/>
            </w:pPr>
            <w:r>
              <w:t>（3）危险废物：</w:t>
            </w:r>
          </w:p>
          <w:p>
            <w:pPr>
              <w:spacing w:line="360" w:lineRule="auto"/>
              <w:ind w:firstLine="480" w:firstLineChars="200"/>
              <w:rPr>
                <w:rFonts w:hint="eastAsia"/>
                <w:lang w:val="en-US" w:eastAsia="zh-CN"/>
              </w:rPr>
            </w:pPr>
            <w:r>
              <w:rPr>
                <w:rFonts w:hint="eastAsia"/>
              </w:rPr>
              <w:t>①</w:t>
            </w:r>
            <w:r>
              <w:rPr>
                <w:rFonts w:hint="eastAsia"/>
                <w:lang w:val="en-US" w:eastAsia="zh-CN"/>
              </w:rPr>
              <w:t>废液压油</w:t>
            </w:r>
          </w:p>
          <w:p>
            <w:pPr>
              <w:spacing w:line="360" w:lineRule="auto"/>
              <w:ind w:firstLine="480" w:firstLineChars="200"/>
              <w:rPr>
                <w:rFonts w:hint="default"/>
                <w:lang w:val="en-US" w:eastAsia="zh-CN"/>
              </w:rPr>
            </w:pPr>
            <w:r>
              <w:rPr>
                <w:rFonts w:hint="eastAsia"/>
                <w:lang w:val="en-US" w:eastAsia="zh-CN"/>
              </w:rPr>
              <w:t>项目各类机械设备需要定期维护并更换润滑油，根据企业提供资料，废液压油产生量约为0.05t/a，暂存于危废暂存间，定期委托有相应危险废物处理资质的单位进行处置。</w:t>
            </w:r>
          </w:p>
          <w:p>
            <w:pPr>
              <w:spacing w:line="360" w:lineRule="auto"/>
              <w:ind w:firstLine="480" w:firstLineChars="200"/>
            </w:pPr>
            <w:r>
              <w:rPr>
                <w:rFonts w:hint="eastAsia"/>
                <w:lang w:val="en-US" w:eastAsia="zh-CN"/>
              </w:rPr>
              <w:t>②</w:t>
            </w:r>
            <w:r>
              <w:t>废活性炭</w:t>
            </w:r>
          </w:p>
          <w:p>
            <w:pPr>
              <w:spacing w:line="360" w:lineRule="auto"/>
              <w:ind w:firstLine="480" w:firstLineChars="200"/>
            </w:pPr>
            <w:r>
              <w:rPr>
                <w:rFonts w:hint="eastAsia"/>
              </w:rPr>
              <w:t>项目有机废气采取“</w:t>
            </w:r>
            <w:r>
              <w:rPr>
                <w:rFonts w:hint="eastAsia" w:ascii="Times New Roman" w:hAnsi="Times New Roman" w:cs="Times New Roman"/>
                <w:sz w:val="21"/>
                <w:szCs w:val="21"/>
                <w:lang w:eastAsia="zh-CN"/>
              </w:rPr>
              <w:t>UV光氧</w:t>
            </w:r>
            <w:r>
              <w:rPr>
                <w:rFonts w:hint="default" w:ascii="Times New Roman" w:hAnsi="Times New Roman" w:cs="Times New Roman"/>
                <w:sz w:val="21"/>
                <w:szCs w:val="21"/>
              </w:rPr>
              <w:t>+活性炭吸附</w:t>
            </w:r>
            <w:r>
              <w:rPr>
                <w:rFonts w:hint="eastAsia"/>
              </w:rPr>
              <w:t>”进行处理，处理后定期更换产生废活性炭。本项目使用活性炭为蜂窝活性炭，活性炭吸附能力为0.6t有机废气/t活性炭，本项目活性炭吸附有机废气量为</w:t>
            </w:r>
            <w:r>
              <w:rPr>
                <w:rFonts w:hint="eastAsia"/>
                <w:lang w:val="en-US" w:eastAsia="zh-CN"/>
              </w:rPr>
              <w:t>0.0786</w:t>
            </w:r>
            <w:r>
              <w:t>t/a</w:t>
            </w:r>
            <w:r>
              <w:rPr>
                <w:rFonts w:hint="eastAsia"/>
              </w:rPr>
              <w:t>，则本项目废活性炭产生量为</w:t>
            </w:r>
            <w:r>
              <w:rPr>
                <w:rFonts w:hint="eastAsia"/>
                <w:lang w:val="en-US" w:eastAsia="zh-CN"/>
              </w:rPr>
              <w:t>0.131</w:t>
            </w:r>
            <w:r>
              <w:t>t/a</w:t>
            </w:r>
            <w:r>
              <w:rPr>
                <w:rFonts w:hint="eastAsia"/>
              </w:rPr>
              <w:t>。活性炭每3个月更换一次，</w:t>
            </w:r>
            <w:r>
              <w:rPr>
                <w:rFonts w:hint="eastAsia"/>
                <w:lang w:val="en-US" w:eastAsia="zh-CN"/>
              </w:rPr>
              <w:t>暂存于危废暂存间，定期委托有相应危险废物处理资质的单位进行处置。</w:t>
            </w:r>
          </w:p>
          <w:p>
            <w:pPr>
              <w:spacing w:line="360" w:lineRule="auto"/>
              <w:ind w:firstLine="480" w:firstLineChars="200"/>
            </w:pPr>
            <w:r>
              <w:t>固体废物产排情况及相关参数见表4-</w:t>
            </w:r>
            <w:r>
              <w:rPr>
                <w:rFonts w:hint="eastAsia"/>
                <w:lang w:val="en-US" w:eastAsia="zh-CN"/>
              </w:rPr>
              <w:t>9</w:t>
            </w:r>
            <w:r>
              <w:t>。</w:t>
            </w:r>
          </w:p>
          <w:p>
            <w:pPr>
              <w:pStyle w:val="12"/>
              <w:widowControl w:val="0"/>
              <w:bidi w:val="0"/>
            </w:pPr>
            <w:r>
              <w:t>表4-</w:t>
            </w:r>
            <w:r>
              <w:rPr>
                <w:rFonts w:hint="eastAsia"/>
                <w:lang w:val="en-US" w:eastAsia="zh-CN"/>
              </w:rPr>
              <w:t>9</w:t>
            </w:r>
            <w:r>
              <w:t xml:space="preserve">   固体废物产排情况及相关参数一览表</w:t>
            </w:r>
          </w:p>
          <w:tbl>
            <w:tblPr>
              <w:tblStyle w:val="8"/>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398"/>
              <w:gridCol w:w="724"/>
              <w:gridCol w:w="739"/>
              <w:gridCol w:w="613"/>
              <w:gridCol w:w="1004"/>
              <w:gridCol w:w="1170"/>
              <w:gridCol w:w="645"/>
              <w:gridCol w:w="548"/>
              <w:gridCol w:w="692"/>
              <w:gridCol w:w="692"/>
              <w:gridCol w:w="10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398" w:type="dxa"/>
                  <w:vMerge w:val="restart"/>
                  <w:vAlign w:val="center"/>
                </w:tcPr>
                <w:p>
                  <w:pPr>
                    <w:pStyle w:val="11"/>
                    <w:bidi w:val="0"/>
                  </w:pPr>
                  <w:r>
                    <w:t>序号</w:t>
                  </w:r>
                </w:p>
              </w:tc>
              <w:tc>
                <w:tcPr>
                  <w:tcW w:w="724" w:type="dxa"/>
                  <w:vMerge w:val="restart"/>
                  <w:vAlign w:val="center"/>
                </w:tcPr>
                <w:p>
                  <w:pPr>
                    <w:pStyle w:val="11"/>
                    <w:bidi w:val="0"/>
                  </w:pPr>
                  <w:r>
                    <w:t>产生环节</w:t>
                  </w:r>
                </w:p>
              </w:tc>
              <w:tc>
                <w:tcPr>
                  <w:tcW w:w="739" w:type="dxa"/>
                  <w:vMerge w:val="restart"/>
                  <w:vAlign w:val="center"/>
                </w:tcPr>
                <w:p>
                  <w:pPr>
                    <w:pStyle w:val="11"/>
                    <w:bidi w:val="0"/>
                  </w:pPr>
                  <w:r>
                    <w:t>固废名称</w:t>
                  </w:r>
                </w:p>
              </w:tc>
              <w:tc>
                <w:tcPr>
                  <w:tcW w:w="613" w:type="dxa"/>
                  <w:vMerge w:val="restart"/>
                  <w:vAlign w:val="center"/>
                </w:tcPr>
                <w:p>
                  <w:pPr>
                    <w:pStyle w:val="11"/>
                    <w:bidi w:val="0"/>
                  </w:pPr>
                  <w:r>
                    <w:t>固废属性</w:t>
                  </w:r>
                </w:p>
              </w:tc>
              <w:tc>
                <w:tcPr>
                  <w:tcW w:w="1004" w:type="dxa"/>
                  <w:vMerge w:val="restart"/>
                  <w:vAlign w:val="center"/>
                </w:tcPr>
                <w:p>
                  <w:pPr>
                    <w:pStyle w:val="11"/>
                    <w:bidi w:val="0"/>
                  </w:pPr>
                  <w:r>
                    <w:t>有毒有害物质名称</w:t>
                  </w:r>
                </w:p>
              </w:tc>
              <w:tc>
                <w:tcPr>
                  <w:tcW w:w="1170" w:type="dxa"/>
                  <w:vMerge w:val="restart"/>
                  <w:vAlign w:val="center"/>
                </w:tcPr>
                <w:p>
                  <w:pPr>
                    <w:pStyle w:val="11"/>
                    <w:bidi w:val="0"/>
                  </w:pPr>
                  <w:r>
                    <w:t>项目代码</w:t>
                  </w:r>
                </w:p>
              </w:tc>
              <w:tc>
                <w:tcPr>
                  <w:tcW w:w="645" w:type="dxa"/>
                  <w:vMerge w:val="restart"/>
                  <w:vAlign w:val="center"/>
                </w:tcPr>
                <w:p>
                  <w:pPr>
                    <w:pStyle w:val="11"/>
                    <w:bidi w:val="0"/>
                  </w:pPr>
                  <w:r>
                    <w:t>物理性状</w:t>
                  </w:r>
                </w:p>
              </w:tc>
              <w:tc>
                <w:tcPr>
                  <w:tcW w:w="548" w:type="dxa"/>
                  <w:vMerge w:val="restart"/>
                  <w:vAlign w:val="center"/>
                </w:tcPr>
                <w:p>
                  <w:pPr>
                    <w:pStyle w:val="11"/>
                    <w:bidi w:val="0"/>
                  </w:pPr>
                  <w:r>
                    <w:t>环境危险特性</w:t>
                  </w:r>
                </w:p>
              </w:tc>
              <w:tc>
                <w:tcPr>
                  <w:tcW w:w="692" w:type="dxa"/>
                  <w:vAlign w:val="center"/>
                </w:tcPr>
                <w:p>
                  <w:pPr>
                    <w:pStyle w:val="11"/>
                    <w:bidi w:val="0"/>
                  </w:pPr>
                  <w:r>
                    <w:t>产生量</w:t>
                  </w:r>
                </w:p>
              </w:tc>
              <w:tc>
                <w:tcPr>
                  <w:tcW w:w="692" w:type="dxa"/>
                  <w:vAlign w:val="center"/>
                </w:tcPr>
                <w:p>
                  <w:pPr>
                    <w:pStyle w:val="11"/>
                    <w:bidi w:val="0"/>
                  </w:pPr>
                  <w:r>
                    <w:t>处置量</w:t>
                  </w:r>
                </w:p>
              </w:tc>
              <w:tc>
                <w:tcPr>
                  <w:tcW w:w="1045" w:type="dxa"/>
                  <w:vMerge w:val="restart"/>
                  <w:vAlign w:val="center"/>
                </w:tcPr>
                <w:p>
                  <w:pPr>
                    <w:pStyle w:val="11"/>
                    <w:bidi w:val="0"/>
                  </w:pPr>
                  <w:r>
                    <w:t>最终去向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398" w:type="dxa"/>
                  <w:vMerge w:val="continue"/>
                  <w:vAlign w:val="center"/>
                </w:tcPr>
                <w:p>
                  <w:pPr>
                    <w:pStyle w:val="11"/>
                    <w:bidi w:val="0"/>
                  </w:pPr>
                </w:p>
              </w:tc>
              <w:tc>
                <w:tcPr>
                  <w:tcW w:w="724" w:type="dxa"/>
                  <w:vMerge w:val="continue"/>
                  <w:vAlign w:val="center"/>
                </w:tcPr>
                <w:p>
                  <w:pPr>
                    <w:pStyle w:val="11"/>
                    <w:bidi w:val="0"/>
                  </w:pPr>
                </w:p>
              </w:tc>
              <w:tc>
                <w:tcPr>
                  <w:tcW w:w="739" w:type="dxa"/>
                  <w:vMerge w:val="continue"/>
                  <w:vAlign w:val="center"/>
                </w:tcPr>
                <w:p>
                  <w:pPr>
                    <w:pStyle w:val="11"/>
                    <w:bidi w:val="0"/>
                  </w:pPr>
                </w:p>
              </w:tc>
              <w:tc>
                <w:tcPr>
                  <w:tcW w:w="613" w:type="dxa"/>
                  <w:vMerge w:val="continue"/>
                  <w:vAlign w:val="center"/>
                </w:tcPr>
                <w:p>
                  <w:pPr>
                    <w:pStyle w:val="11"/>
                    <w:bidi w:val="0"/>
                  </w:pPr>
                </w:p>
              </w:tc>
              <w:tc>
                <w:tcPr>
                  <w:tcW w:w="1004" w:type="dxa"/>
                  <w:vMerge w:val="continue"/>
                  <w:vAlign w:val="center"/>
                </w:tcPr>
                <w:p>
                  <w:pPr>
                    <w:pStyle w:val="11"/>
                    <w:bidi w:val="0"/>
                  </w:pPr>
                </w:p>
              </w:tc>
              <w:tc>
                <w:tcPr>
                  <w:tcW w:w="1170" w:type="dxa"/>
                  <w:vMerge w:val="continue"/>
                  <w:vAlign w:val="center"/>
                </w:tcPr>
                <w:p>
                  <w:pPr>
                    <w:pStyle w:val="11"/>
                    <w:bidi w:val="0"/>
                  </w:pPr>
                </w:p>
              </w:tc>
              <w:tc>
                <w:tcPr>
                  <w:tcW w:w="645" w:type="dxa"/>
                  <w:vMerge w:val="continue"/>
                  <w:vAlign w:val="center"/>
                </w:tcPr>
                <w:p>
                  <w:pPr>
                    <w:pStyle w:val="11"/>
                    <w:bidi w:val="0"/>
                  </w:pPr>
                </w:p>
              </w:tc>
              <w:tc>
                <w:tcPr>
                  <w:tcW w:w="548" w:type="dxa"/>
                  <w:vMerge w:val="continue"/>
                  <w:vAlign w:val="center"/>
                </w:tcPr>
                <w:p>
                  <w:pPr>
                    <w:pStyle w:val="11"/>
                    <w:bidi w:val="0"/>
                  </w:pPr>
                </w:p>
              </w:tc>
              <w:tc>
                <w:tcPr>
                  <w:tcW w:w="692" w:type="dxa"/>
                  <w:vAlign w:val="center"/>
                </w:tcPr>
                <w:p>
                  <w:pPr>
                    <w:pStyle w:val="11"/>
                    <w:bidi w:val="0"/>
                  </w:pPr>
                  <w:r>
                    <w:t>t/a</w:t>
                  </w:r>
                </w:p>
              </w:tc>
              <w:tc>
                <w:tcPr>
                  <w:tcW w:w="692" w:type="dxa"/>
                  <w:vAlign w:val="center"/>
                </w:tcPr>
                <w:p>
                  <w:pPr>
                    <w:pStyle w:val="11"/>
                    <w:bidi w:val="0"/>
                  </w:pPr>
                  <w:r>
                    <w:t>t/a</w:t>
                  </w:r>
                </w:p>
              </w:tc>
              <w:tc>
                <w:tcPr>
                  <w:tcW w:w="1045" w:type="dxa"/>
                  <w:vMerge w:val="continue"/>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398" w:type="dxa"/>
                  <w:vAlign w:val="center"/>
                </w:tcPr>
                <w:p>
                  <w:pPr>
                    <w:pStyle w:val="11"/>
                    <w:bidi w:val="0"/>
                  </w:pPr>
                  <w:r>
                    <w:t>1</w:t>
                  </w:r>
                </w:p>
              </w:tc>
              <w:tc>
                <w:tcPr>
                  <w:tcW w:w="724" w:type="dxa"/>
                  <w:vAlign w:val="center"/>
                </w:tcPr>
                <w:p>
                  <w:pPr>
                    <w:pStyle w:val="11"/>
                    <w:bidi w:val="0"/>
                    <w:rPr>
                      <w:rFonts w:hint="eastAsia"/>
                      <w:lang w:val="en-US" w:eastAsia="zh-CN"/>
                    </w:rPr>
                  </w:pPr>
                  <w:r>
                    <w:rPr>
                      <w:rFonts w:hint="eastAsia"/>
                      <w:lang w:val="en-US" w:eastAsia="zh-CN"/>
                    </w:rPr>
                    <w:t>粉尘收集</w:t>
                  </w:r>
                </w:p>
              </w:tc>
              <w:tc>
                <w:tcPr>
                  <w:tcW w:w="739" w:type="dxa"/>
                  <w:vAlign w:val="center"/>
                </w:tcPr>
                <w:p>
                  <w:pPr>
                    <w:pStyle w:val="11"/>
                    <w:bidi w:val="0"/>
                  </w:pPr>
                  <w:r>
                    <w:rPr>
                      <w:rFonts w:hint="eastAsia"/>
                      <w:lang w:val="en-US" w:eastAsia="zh-CN"/>
                    </w:rPr>
                    <w:t>除尘卸灰</w:t>
                  </w:r>
                </w:p>
              </w:tc>
              <w:tc>
                <w:tcPr>
                  <w:tcW w:w="613" w:type="dxa"/>
                  <w:vAlign w:val="center"/>
                </w:tcPr>
                <w:p>
                  <w:pPr>
                    <w:pStyle w:val="11"/>
                    <w:bidi w:val="0"/>
                  </w:pPr>
                  <w:r>
                    <w:t>一般固废</w:t>
                  </w:r>
                </w:p>
              </w:tc>
              <w:tc>
                <w:tcPr>
                  <w:tcW w:w="1004" w:type="dxa"/>
                  <w:vAlign w:val="center"/>
                </w:tcPr>
                <w:p>
                  <w:pPr>
                    <w:pStyle w:val="11"/>
                    <w:bidi w:val="0"/>
                  </w:pPr>
                  <w:r>
                    <w:t>/</w:t>
                  </w:r>
                </w:p>
              </w:tc>
              <w:tc>
                <w:tcPr>
                  <w:tcW w:w="1170" w:type="dxa"/>
                  <w:vAlign w:val="center"/>
                </w:tcPr>
                <w:p>
                  <w:pPr>
                    <w:pStyle w:val="11"/>
                    <w:bidi w:val="0"/>
                    <w:rPr>
                      <w:rFonts w:hint="eastAsia"/>
                      <w:lang w:val="en-US" w:eastAsia="zh-CN"/>
                    </w:rPr>
                  </w:pPr>
                  <w:r>
                    <w:rPr>
                      <w:rFonts w:hint="eastAsia"/>
                      <w:lang w:val="en-US" w:eastAsia="zh-CN"/>
                    </w:rPr>
                    <w:t>383</w:t>
                  </w:r>
                  <w:r>
                    <w:rPr>
                      <w:rFonts w:hint="default"/>
                      <w:lang w:val="en-US"/>
                    </w:rPr>
                    <w:t>-999-6</w:t>
                  </w:r>
                  <w:r>
                    <w:rPr>
                      <w:rFonts w:hint="eastAsia"/>
                      <w:lang w:val="en-US" w:eastAsia="zh-CN"/>
                    </w:rPr>
                    <w:t>6</w:t>
                  </w:r>
                </w:p>
              </w:tc>
              <w:tc>
                <w:tcPr>
                  <w:tcW w:w="645" w:type="dxa"/>
                  <w:vAlign w:val="center"/>
                </w:tcPr>
                <w:p>
                  <w:pPr>
                    <w:pStyle w:val="11"/>
                    <w:bidi w:val="0"/>
                  </w:pPr>
                  <w:r>
                    <w:t>固态</w:t>
                  </w:r>
                </w:p>
              </w:tc>
              <w:tc>
                <w:tcPr>
                  <w:tcW w:w="548" w:type="dxa"/>
                  <w:vAlign w:val="center"/>
                </w:tcPr>
                <w:p>
                  <w:pPr>
                    <w:pStyle w:val="11"/>
                    <w:bidi w:val="0"/>
                  </w:pPr>
                  <w:r>
                    <w:t>/</w:t>
                  </w:r>
                </w:p>
              </w:tc>
              <w:tc>
                <w:tcPr>
                  <w:tcW w:w="692" w:type="dxa"/>
                  <w:vAlign w:val="center"/>
                </w:tcPr>
                <w:p>
                  <w:pPr>
                    <w:pStyle w:val="11"/>
                    <w:bidi w:val="0"/>
                  </w:pPr>
                  <w:r>
                    <w:rPr>
                      <w:rFonts w:hint="eastAsia"/>
                    </w:rPr>
                    <w:t>0.0172</w:t>
                  </w:r>
                </w:p>
              </w:tc>
              <w:tc>
                <w:tcPr>
                  <w:tcW w:w="692" w:type="dxa"/>
                  <w:vAlign w:val="center"/>
                </w:tcPr>
                <w:p>
                  <w:pPr>
                    <w:pStyle w:val="11"/>
                    <w:bidi w:val="0"/>
                    <w:ind w:firstLine="0" w:firstLineChars="0"/>
                    <w:rPr>
                      <w:lang w:val="en-US" w:eastAsia="zh-CN"/>
                    </w:rPr>
                  </w:pPr>
                  <w:r>
                    <w:rPr>
                      <w:rFonts w:hint="eastAsia"/>
                    </w:rPr>
                    <w:t>0.0172</w:t>
                  </w:r>
                </w:p>
              </w:tc>
              <w:tc>
                <w:tcPr>
                  <w:tcW w:w="1045" w:type="dxa"/>
                  <w:vAlign w:val="center"/>
                </w:tcPr>
                <w:p>
                  <w:pPr>
                    <w:pStyle w:val="11"/>
                    <w:bidi w:val="0"/>
                  </w:pPr>
                  <w:r>
                    <w:t>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42" w:hRule="atLeast"/>
                <w:jc w:val="center"/>
              </w:trPr>
              <w:tc>
                <w:tcPr>
                  <w:tcW w:w="398" w:type="dxa"/>
                  <w:vAlign w:val="center"/>
                </w:tcPr>
                <w:p>
                  <w:pPr>
                    <w:pStyle w:val="11"/>
                    <w:bidi w:val="0"/>
                  </w:pPr>
                  <w:r>
                    <w:t>2</w:t>
                  </w:r>
                </w:p>
              </w:tc>
              <w:tc>
                <w:tcPr>
                  <w:tcW w:w="724" w:type="dxa"/>
                  <w:vAlign w:val="center"/>
                </w:tcPr>
                <w:p>
                  <w:pPr>
                    <w:pStyle w:val="11"/>
                    <w:bidi w:val="0"/>
                    <w:rPr>
                      <w:rFonts w:hint="eastAsia"/>
                      <w:lang w:eastAsia="zh-CN"/>
                    </w:rPr>
                  </w:pPr>
                  <w:r>
                    <w:rPr>
                      <w:rFonts w:hint="eastAsia"/>
                      <w:lang w:val="en-US" w:eastAsia="zh-CN"/>
                    </w:rPr>
                    <w:t>金工切边</w:t>
                  </w:r>
                </w:p>
              </w:tc>
              <w:tc>
                <w:tcPr>
                  <w:tcW w:w="739" w:type="dxa"/>
                  <w:vAlign w:val="center"/>
                </w:tcPr>
                <w:p>
                  <w:pPr>
                    <w:pStyle w:val="11"/>
                    <w:bidi w:val="0"/>
                    <w:ind w:firstLine="0" w:firstLineChars="0"/>
                    <w:jc w:val="center"/>
                    <w:rPr>
                      <w:rFonts w:hint="default"/>
                      <w:lang w:val="en-US" w:eastAsia="zh-CN"/>
                    </w:rPr>
                  </w:pPr>
                  <w:r>
                    <w:rPr>
                      <w:rFonts w:hint="eastAsia"/>
                      <w:lang w:val="en-US" w:eastAsia="zh-CN"/>
                    </w:rPr>
                    <w:t>金属废料</w:t>
                  </w:r>
                </w:p>
              </w:tc>
              <w:tc>
                <w:tcPr>
                  <w:tcW w:w="613" w:type="dxa"/>
                  <w:vAlign w:val="center"/>
                </w:tcPr>
                <w:p>
                  <w:pPr>
                    <w:pStyle w:val="11"/>
                    <w:bidi w:val="0"/>
                  </w:pPr>
                  <w:r>
                    <w:t>一般固废</w:t>
                  </w:r>
                </w:p>
              </w:tc>
              <w:tc>
                <w:tcPr>
                  <w:tcW w:w="1004" w:type="dxa"/>
                  <w:vAlign w:val="center"/>
                </w:tcPr>
                <w:p>
                  <w:pPr>
                    <w:pStyle w:val="11"/>
                    <w:bidi w:val="0"/>
                  </w:pPr>
                  <w:r>
                    <w:t>/</w:t>
                  </w:r>
                </w:p>
              </w:tc>
              <w:tc>
                <w:tcPr>
                  <w:tcW w:w="1170" w:type="dxa"/>
                  <w:vAlign w:val="center"/>
                </w:tcPr>
                <w:p>
                  <w:pPr>
                    <w:pStyle w:val="11"/>
                    <w:bidi w:val="0"/>
                    <w:rPr>
                      <w:rFonts w:hint="default"/>
                      <w:lang w:val="en-US" w:eastAsia="zh-CN"/>
                    </w:rPr>
                  </w:pPr>
                  <w:r>
                    <w:rPr>
                      <w:rFonts w:hint="eastAsia"/>
                      <w:lang w:val="en-US" w:eastAsia="zh-CN"/>
                    </w:rPr>
                    <w:t>383-999-09</w:t>
                  </w:r>
                </w:p>
              </w:tc>
              <w:tc>
                <w:tcPr>
                  <w:tcW w:w="645" w:type="dxa"/>
                  <w:vAlign w:val="center"/>
                </w:tcPr>
                <w:p>
                  <w:pPr>
                    <w:pStyle w:val="11"/>
                    <w:bidi w:val="0"/>
                  </w:pPr>
                  <w:r>
                    <w:t>固态</w:t>
                  </w:r>
                </w:p>
              </w:tc>
              <w:tc>
                <w:tcPr>
                  <w:tcW w:w="548" w:type="dxa"/>
                  <w:vAlign w:val="center"/>
                </w:tcPr>
                <w:p>
                  <w:pPr>
                    <w:pStyle w:val="11"/>
                    <w:bidi w:val="0"/>
                  </w:pPr>
                  <w:r>
                    <w:t>/</w:t>
                  </w:r>
                </w:p>
              </w:tc>
              <w:tc>
                <w:tcPr>
                  <w:tcW w:w="692" w:type="dxa"/>
                  <w:vAlign w:val="center"/>
                </w:tcPr>
                <w:p>
                  <w:pPr>
                    <w:pStyle w:val="11"/>
                    <w:bidi w:val="0"/>
                  </w:pPr>
                  <w:r>
                    <w:rPr>
                      <w:rFonts w:hint="eastAsia"/>
                    </w:rPr>
                    <w:t>75</w:t>
                  </w:r>
                </w:p>
              </w:tc>
              <w:tc>
                <w:tcPr>
                  <w:tcW w:w="692" w:type="dxa"/>
                  <w:vAlign w:val="center"/>
                </w:tcPr>
                <w:p>
                  <w:pPr>
                    <w:pStyle w:val="11"/>
                    <w:bidi w:val="0"/>
                    <w:ind w:firstLine="0" w:firstLineChars="0"/>
                    <w:rPr>
                      <w:lang w:val="en-US" w:eastAsia="zh-CN"/>
                    </w:rPr>
                  </w:pPr>
                  <w:r>
                    <w:rPr>
                      <w:rFonts w:hint="eastAsia"/>
                    </w:rPr>
                    <w:t>75</w:t>
                  </w:r>
                </w:p>
              </w:tc>
              <w:tc>
                <w:tcPr>
                  <w:tcW w:w="1045" w:type="dxa"/>
                  <w:vMerge w:val="restart"/>
                  <w:vAlign w:val="center"/>
                </w:tcPr>
                <w:p>
                  <w:pPr>
                    <w:pStyle w:val="11"/>
                    <w:bidi w:val="0"/>
                  </w:pPr>
                  <w:r>
                    <w:t>外售资源回收企业综合利用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398" w:type="dxa"/>
                  <w:vAlign w:val="center"/>
                </w:tcPr>
                <w:p>
                  <w:pPr>
                    <w:pStyle w:val="11"/>
                    <w:bidi w:val="0"/>
                  </w:pPr>
                  <w:r>
                    <w:t>3</w:t>
                  </w:r>
                </w:p>
              </w:tc>
              <w:tc>
                <w:tcPr>
                  <w:tcW w:w="724" w:type="dxa"/>
                  <w:vAlign w:val="center"/>
                </w:tcPr>
                <w:p>
                  <w:pPr>
                    <w:pStyle w:val="11"/>
                    <w:bidi w:val="0"/>
                    <w:rPr>
                      <w:rFonts w:hint="eastAsia"/>
                      <w:lang w:eastAsia="zh-CN"/>
                    </w:rPr>
                  </w:pPr>
                  <w:r>
                    <w:rPr>
                      <w:rFonts w:hint="eastAsia"/>
                      <w:lang w:val="en-US" w:eastAsia="zh-CN"/>
                    </w:rPr>
                    <w:t>混胶修边</w:t>
                  </w:r>
                </w:p>
              </w:tc>
              <w:tc>
                <w:tcPr>
                  <w:tcW w:w="739" w:type="dxa"/>
                  <w:vAlign w:val="center"/>
                </w:tcPr>
                <w:p>
                  <w:pPr>
                    <w:pStyle w:val="11"/>
                    <w:bidi w:val="0"/>
                    <w:ind w:firstLine="0" w:firstLineChars="0"/>
                    <w:jc w:val="center"/>
                    <w:rPr>
                      <w:rFonts w:hint="default"/>
                      <w:lang w:val="en-US" w:eastAsia="zh-CN"/>
                    </w:rPr>
                  </w:pPr>
                  <w:r>
                    <w:rPr>
                      <w:rFonts w:hint="eastAsia"/>
                      <w:lang w:val="en-US" w:eastAsia="zh-CN"/>
                    </w:rPr>
                    <w:t>橡胶废料</w:t>
                  </w:r>
                </w:p>
              </w:tc>
              <w:tc>
                <w:tcPr>
                  <w:tcW w:w="613" w:type="dxa"/>
                  <w:vAlign w:val="center"/>
                </w:tcPr>
                <w:p>
                  <w:pPr>
                    <w:pStyle w:val="11"/>
                    <w:bidi w:val="0"/>
                  </w:pPr>
                  <w:r>
                    <w:t>一般固废</w:t>
                  </w:r>
                </w:p>
              </w:tc>
              <w:tc>
                <w:tcPr>
                  <w:tcW w:w="1004" w:type="dxa"/>
                  <w:vAlign w:val="center"/>
                </w:tcPr>
                <w:p>
                  <w:pPr>
                    <w:pStyle w:val="11"/>
                    <w:bidi w:val="0"/>
                  </w:pPr>
                  <w:r>
                    <w:t>/</w:t>
                  </w:r>
                </w:p>
              </w:tc>
              <w:tc>
                <w:tcPr>
                  <w:tcW w:w="1170" w:type="dxa"/>
                  <w:vAlign w:val="center"/>
                </w:tcPr>
                <w:p>
                  <w:pPr>
                    <w:pStyle w:val="11"/>
                    <w:bidi w:val="0"/>
                  </w:pPr>
                  <w:r>
                    <w:rPr>
                      <w:rFonts w:hint="eastAsia"/>
                      <w:lang w:val="en-US" w:eastAsia="zh-CN"/>
                    </w:rPr>
                    <w:t>383-999-05</w:t>
                  </w:r>
                </w:p>
              </w:tc>
              <w:tc>
                <w:tcPr>
                  <w:tcW w:w="645" w:type="dxa"/>
                  <w:vAlign w:val="center"/>
                </w:tcPr>
                <w:p>
                  <w:pPr>
                    <w:pStyle w:val="11"/>
                    <w:bidi w:val="0"/>
                  </w:pPr>
                  <w:r>
                    <w:t>固态</w:t>
                  </w:r>
                </w:p>
              </w:tc>
              <w:tc>
                <w:tcPr>
                  <w:tcW w:w="548" w:type="dxa"/>
                  <w:vAlign w:val="center"/>
                </w:tcPr>
                <w:p>
                  <w:pPr>
                    <w:pStyle w:val="11"/>
                    <w:bidi w:val="0"/>
                  </w:pPr>
                  <w:r>
                    <w:t>/</w:t>
                  </w:r>
                </w:p>
              </w:tc>
              <w:tc>
                <w:tcPr>
                  <w:tcW w:w="692" w:type="dxa"/>
                  <w:vAlign w:val="center"/>
                </w:tcPr>
                <w:p>
                  <w:pPr>
                    <w:pStyle w:val="11"/>
                    <w:bidi w:val="0"/>
                  </w:pPr>
                  <w:r>
                    <w:t>0.5</w:t>
                  </w:r>
                </w:p>
              </w:tc>
              <w:tc>
                <w:tcPr>
                  <w:tcW w:w="692" w:type="dxa"/>
                  <w:vAlign w:val="center"/>
                </w:tcPr>
                <w:p>
                  <w:pPr>
                    <w:pStyle w:val="11"/>
                    <w:bidi w:val="0"/>
                    <w:ind w:firstLine="0" w:firstLineChars="0"/>
                    <w:rPr>
                      <w:lang w:val="en-US" w:eastAsia="zh-CN"/>
                    </w:rPr>
                  </w:pPr>
                  <w:r>
                    <w:t>0.5</w:t>
                  </w:r>
                </w:p>
              </w:tc>
              <w:tc>
                <w:tcPr>
                  <w:tcW w:w="1045" w:type="dxa"/>
                  <w:vMerge w:val="continue"/>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398" w:type="dxa"/>
                  <w:vAlign w:val="center"/>
                </w:tcPr>
                <w:p>
                  <w:pPr>
                    <w:pStyle w:val="11"/>
                    <w:bidi w:val="0"/>
                    <w:ind w:firstLine="0" w:firstLineChars="0"/>
                    <w:rPr>
                      <w:lang w:val="en-US" w:eastAsia="zh-CN"/>
                    </w:rPr>
                  </w:pPr>
                  <w:r>
                    <w:t>4</w:t>
                  </w:r>
                </w:p>
              </w:tc>
              <w:tc>
                <w:tcPr>
                  <w:tcW w:w="724" w:type="dxa"/>
                  <w:vAlign w:val="center"/>
                </w:tcPr>
                <w:p>
                  <w:pPr>
                    <w:pStyle w:val="11"/>
                    <w:bidi w:val="0"/>
                    <w:rPr>
                      <w:rFonts w:hint="default"/>
                      <w:lang w:val="en-US" w:eastAsia="zh-CN"/>
                    </w:rPr>
                  </w:pPr>
                  <w:r>
                    <w:rPr>
                      <w:rFonts w:hint="eastAsia"/>
                      <w:lang w:val="en-US" w:eastAsia="zh-CN"/>
                    </w:rPr>
                    <w:t>拆封包装</w:t>
                  </w:r>
                </w:p>
              </w:tc>
              <w:tc>
                <w:tcPr>
                  <w:tcW w:w="739" w:type="dxa"/>
                  <w:vAlign w:val="center"/>
                </w:tcPr>
                <w:p>
                  <w:pPr>
                    <w:pStyle w:val="11"/>
                    <w:bidi w:val="0"/>
                    <w:ind w:firstLine="0" w:firstLineChars="0"/>
                    <w:jc w:val="center"/>
                    <w:rPr>
                      <w:rFonts w:hint="default"/>
                      <w:lang w:val="en-US" w:eastAsia="zh-CN"/>
                    </w:rPr>
                  </w:pPr>
                  <w:r>
                    <w:rPr>
                      <w:rFonts w:hint="eastAsia"/>
                      <w:lang w:val="en-US" w:eastAsia="zh-CN"/>
                    </w:rPr>
                    <w:t>包装废料</w:t>
                  </w:r>
                </w:p>
              </w:tc>
              <w:tc>
                <w:tcPr>
                  <w:tcW w:w="613" w:type="dxa"/>
                  <w:vAlign w:val="center"/>
                </w:tcPr>
                <w:p>
                  <w:pPr>
                    <w:pStyle w:val="11"/>
                    <w:bidi w:val="0"/>
                  </w:pPr>
                  <w:r>
                    <w:t>一般固废</w:t>
                  </w:r>
                </w:p>
              </w:tc>
              <w:tc>
                <w:tcPr>
                  <w:tcW w:w="1004" w:type="dxa"/>
                  <w:vAlign w:val="center"/>
                </w:tcPr>
                <w:p>
                  <w:pPr>
                    <w:pStyle w:val="11"/>
                    <w:bidi w:val="0"/>
                    <w:ind w:firstLine="0" w:firstLineChars="0"/>
                    <w:rPr>
                      <w:lang w:val="en-US" w:eastAsia="zh-CN"/>
                    </w:rPr>
                  </w:pPr>
                  <w:r>
                    <w:t>/</w:t>
                  </w:r>
                </w:p>
              </w:tc>
              <w:tc>
                <w:tcPr>
                  <w:tcW w:w="1170" w:type="dxa"/>
                  <w:vAlign w:val="center"/>
                </w:tcPr>
                <w:p>
                  <w:pPr>
                    <w:pStyle w:val="11"/>
                    <w:bidi w:val="0"/>
                    <w:ind w:firstLine="0" w:firstLineChars="0"/>
                    <w:rPr>
                      <w:rFonts w:hint="default"/>
                      <w:lang w:val="en-US" w:eastAsia="zh-CN"/>
                    </w:rPr>
                  </w:pPr>
                  <w:r>
                    <w:rPr>
                      <w:rFonts w:hint="eastAsia"/>
                      <w:lang w:val="en-US" w:eastAsia="zh-CN"/>
                    </w:rPr>
                    <w:t>383-999-07</w:t>
                  </w:r>
                </w:p>
              </w:tc>
              <w:tc>
                <w:tcPr>
                  <w:tcW w:w="645" w:type="dxa"/>
                  <w:vAlign w:val="center"/>
                </w:tcPr>
                <w:p>
                  <w:pPr>
                    <w:pStyle w:val="11"/>
                    <w:bidi w:val="0"/>
                    <w:ind w:firstLine="0" w:firstLineChars="0"/>
                    <w:rPr>
                      <w:lang w:val="en-US" w:eastAsia="zh-CN"/>
                    </w:rPr>
                  </w:pPr>
                  <w:r>
                    <w:t>固态</w:t>
                  </w:r>
                </w:p>
              </w:tc>
              <w:tc>
                <w:tcPr>
                  <w:tcW w:w="548" w:type="dxa"/>
                  <w:vAlign w:val="center"/>
                </w:tcPr>
                <w:p>
                  <w:pPr>
                    <w:pStyle w:val="11"/>
                    <w:bidi w:val="0"/>
                    <w:ind w:firstLine="0" w:firstLineChars="0"/>
                    <w:rPr>
                      <w:lang w:val="en-US" w:eastAsia="zh-CN"/>
                    </w:rPr>
                  </w:pPr>
                  <w:r>
                    <w:t>/</w:t>
                  </w:r>
                </w:p>
              </w:tc>
              <w:tc>
                <w:tcPr>
                  <w:tcW w:w="692" w:type="dxa"/>
                  <w:vAlign w:val="center"/>
                </w:tcPr>
                <w:p>
                  <w:pPr>
                    <w:pStyle w:val="11"/>
                    <w:bidi w:val="0"/>
                    <w:rPr>
                      <w:rFonts w:hint="default"/>
                      <w:lang w:val="en-US" w:eastAsia="zh-CN"/>
                    </w:rPr>
                  </w:pPr>
                  <w:r>
                    <w:rPr>
                      <w:rFonts w:hint="eastAsia"/>
                      <w:lang w:val="en-US" w:eastAsia="zh-CN"/>
                    </w:rPr>
                    <w:t>3.5</w:t>
                  </w:r>
                </w:p>
              </w:tc>
              <w:tc>
                <w:tcPr>
                  <w:tcW w:w="692" w:type="dxa"/>
                  <w:vAlign w:val="center"/>
                </w:tcPr>
                <w:p>
                  <w:pPr>
                    <w:pStyle w:val="11"/>
                    <w:bidi w:val="0"/>
                    <w:ind w:firstLine="0" w:firstLineChars="0"/>
                    <w:rPr>
                      <w:rFonts w:hint="default"/>
                      <w:lang w:val="en-US" w:eastAsia="zh-CN"/>
                    </w:rPr>
                  </w:pPr>
                  <w:r>
                    <w:rPr>
                      <w:rFonts w:hint="eastAsia"/>
                      <w:lang w:val="en-US" w:eastAsia="zh-CN"/>
                    </w:rPr>
                    <w:t>3.5</w:t>
                  </w:r>
                </w:p>
              </w:tc>
              <w:tc>
                <w:tcPr>
                  <w:tcW w:w="1045" w:type="dxa"/>
                  <w:vMerge w:val="continue"/>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398" w:type="dxa"/>
                  <w:vAlign w:val="center"/>
                </w:tcPr>
                <w:p>
                  <w:pPr>
                    <w:pStyle w:val="11"/>
                    <w:bidi w:val="0"/>
                    <w:ind w:firstLine="0" w:firstLineChars="0"/>
                    <w:rPr>
                      <w:lang w:val="en-US" w:eastAsia="zh-CN"/>
                    </w:rPr>
                  </w:pPr>
                  <w:r>
                    <w:t>5</w:t>
                  </w:r>
                </w:p>
              </w:tc>
              <w:tc>
                <w:tcPr>
                  <w:tcW w:w="724" w:type="dxa"/>
                  <w:vAlign w:val="center"/>
                </w:tcPr>
                <w:p>
                  <w:pPr>
                    <w:pStyle w:val="11"/>
                    <w:bidi w:val="0"/>
                  </w:pPr>
                  <w:r>
                    <w:t>废气治理</w:t>
                  </w:r>
                </w:p>
              </w:tc>
              <w:tc>
                <w:tcPr>
                  <w:tcW w:w="739" w:type="dxa"/>
                  <w:vAlign w:val="center"/>
                </w:tcPr>
                <w:p>
                  <w:pPr>
                    <w:pStyle w:val="11"/>
                    <w:bidi w:val="0"/>
                  </w:pPr>
                  <w:r>
                    <w:t>废UV灯管</w:t>
                  </w:r>
                </w:p>
              </w:tc>
              <w:tc>
                <w:tcPr>
                  <w:tcW w:w="613" w:type="dxa"/>
                  <w:vAlign w:val="center"/>
                </w:tcPr>
                <w:p>
                  <w:pPr>
                    <w:pStyle w:val="11"/>
                    <w:bidi w:val="0"/>
                  </w:pPr>
                  <w:r>
                    <w:t>一般固废</w:t>
                  </w:r>
                </w:p>
              </w:tc>
              <w:tc>
                <w:tcPr>
                  <w:tcW w:w="1004" w:type="dxa"/>
                  <w:vAlign w:val="center"/>
                </w:tcPr>
                <w:p>
                  <w:pPr>
                    <w:pStyle w:val="11"/>
                    <w:bidi w:val="0"/>
                  </w:pPr>
                  <w:r>
                    <w:t>/</w:t>
                  </w:r>
                </w:p>
              </w:tc>
              <w:tc>
                <w:tcPr>
                  <w:tcW w:w="1170" w:type="dxa"/>
                  <w:vAlign w:val="center"/>
                </w:tcPr>
                <w:p>
                  <w:pPr>
                    <w:pStyle w:val="11"/>
                    <w:bidi w:val="0"/>
                    <w:rPr>
                      <w:rFonts w:hint="default"/>
                      <w:lang w:val="en-US"/>
                    </w:rPr>
                  </w:pPr>
                  <w:r>
                    <w:rPr>
                      <w:rFonts w:hint="eastAsia"/>
                      <w:lang w:val="en-US" w:eastAsia="zh-CN"/>
                    </w:rPr>
                    <w:t>383-999-14</w:t>
                  </w:r>
                </w:p>
              </w:tc>
              <w:tc>
                <w:tcPr>
                  <w:tcW w:w="645" w:type="dxa"/>
                  <w:vAlign w:val="center"/>
                </w:tcPr>
                <w:p>
                  <w:pPr>
                    <w:pStyle w:val="11"/>
                    <w:bidi w:val="0"/>
                  </w:pPr>
                  <w:r>
                    <w:t>固态</w:t>
                  </w:r>
                </w:p>
              </w:tc>
              <w:tc>
                <w:tcPr>
                  <w:tcW w:w="548" w:type="dxa"/>
                  <w:vAlign w:val="center"/>
                </w:tcPr>
                <w:p>
                  <w:pPr>
                    <w:pStyle w:val="11"/>
                    <w:bidi w:val="0"/>
                  </w:pPr>
                  <w:r>
                    <w:t>/</w:t>
                  </w:r>
                </w:p>
              </w:tc>
              <w:tc>
                <w:tcPr>
                  <w:tcW w:w="692" w:type="dxa"/>
                  <w:vAlign w:val="center"/>
                </w:tcPr>
                <w:p>
                  <w:pPr>
                    <w:pStyle w:val="11"/>
                    <w:bidi w:val="0"/>
                  </w:pPr>
                  <w:r>
                    <w:t>0.0</w:t>
                  </w:r>
                  <w:r>
                    <w:rPr>
                      <w:rFonts w:hint="eastAsia"/>
                      <w:lang w:val="en-US" w:eastAsia="zh-CN"/>
                    </w:rPr>
                    <w:t>0</w:t>
                  </w:r>
                  <w:r>
                    <w:t>4</w:t>
                  </w:r>
                </w:p>
              </w:tc>
              <w:tc>
                <w:tcPr>
                  <w:tcW w:w="692" w:type="dxa"/>
                  <w:vAlign w:val="center"/>
                </w:tcPr>
                <w:p>
                  <w:pPr>
                    <w:pStyle w:val="11"/>
                    <w:bidi w:val="0"/>
                    <w:ind w:firstLine="0" w:firstLineChars="0"/>
                    <w:rPr>
                      <w:lang w:val="en-US" w:eastAsia="zh-CN"/>
                    </w:rPr>
                  </w:pPr>
                  <w:r>
                    <w:t>0.0</w:t>
                  </w:r>
                  <w:r>
                    <w:rPr>
                      <w:rFonts w:hint="eastAsia"/>
                      <w:lang w:val="en-US" w:eastAsia="zh-CN"/>
                    </w:rPr>
                    <w:t>0</w:t>
                  </w:r>
                  <w:r>
                    <w:t>4</w:t>
                  </w:r>
                </w:p>
              </w:tc>
              <w:tc>
                <w:tcPr>
                  <w:tcW w:w="1045" w:type="dxa"/>
                  <w:vAlign w:val="center"/>
                </w:tcPr>
                <w:p>
                  <w:pPr>
                    <w:pStyle w:val="11"/>
                    <w:bidi w:val="0"/>
                  </w:pPr>
                  <w:r>
                    <w:t>由设备厂家回收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398" w:type="dxa"/>
                  <w:vAlign w:val="center"/>
                </w:tcPr>
                <w:p>
                  <w:pPr>
                    <w:pStyle w:val="11"/>
                    <w:bidi w:val="0"/>
                    <w:ind w:firstLine="0" w:firstLineChars="0"/>
                    <w:rPr>
                      <w:lang w:val="en-US" w:eastAsia="zh-CN"/>
                    </w:rPr>
                  </w:pPr>
                  <w:r>
                    <w:t>6</w:t>
                  </w:r>
                </w:p>
              </w:tc>
              <w:tc>
                <w:tcPr>
                  <w:tcW w:w="724" w:type="dxa"/>
                  <w:vAlign w:val="center"/>
                </w:tcPr>
                <w:p>
                  <w:pPr>
                    <w:pStyle w:val="11"/>
                    <w:bidi w:val="0"/>
                    <w:ind w:firstLine="0" w:firstLineChars="0"/>
                    <w:rPr>
                      <w:rFonts w:hint="default"/>
                      <w:lang w:val="en-US" w:eastAsia="zh-CN"/>
                    </w:rPr>
                  </w:pPr>
                  <w:r>
                    <w:rPr>
                      <w:rFonts w:hint="eastAsia"/>
                      <w:lang w:val="en-US" w:eastAsia="zh-CN"/>
                    </w:rPr>
                    <w:t>设备维护</w:t>
                  </w:r>
                </w:p>
              </w:tc>
              <w:tc>
                <w:tcPr>
                  <w:tcW w:w="739" w:type="dxa"/>
                  <w:vAlign w:val="center"/>
                </w:tcPr>
                <w:p>
                  <w:pPr>
                    <w:pStyle w:val="11"/>
                    <w:bidi w:val="0"/>
                    <w:ind w:firstLine="0" w:firstLineChars="0"/>
                    <w:rPr>
                      <w:rFonts w:hint="default"/>
                      <w:lang w:val="en-US" w:eastAsia="zh-CN"/>
                    </w:rPr>
                  </w:pPr>
                  <w:r>
                    <w:rPr>
                      <w:rFonts w:hint="eastAsia"/>
                      <w:lang w:val="en-US" w:eastAsia="zh-CN"/>
                    </w:rPr>
                    <w:t>废液压油</w:t>
                  </w:r>
                </w:p>
              </w:tc>
              <w:tc>
                <w:tcPr>
                  <w:tcW w:w="613" w:type="dxa"/>
                  <w:vAlign w:val="center"/>
                </w:tcPr>
                <w:p>
                  <w:pPr>
                    <w:pStyle w:val="11"/>
                    <w:bidi w:val="0"/>
                    <w:ind w:firstLine="0" w:firstLineChars="0"/>
                    <w:rPr>
                      <w:lang w:val="en-US" w:eastAsia="zh-CN"/>
                    </w:rPr>
                  </w:pPr>
                  <w:r>
                    <w:t>危险废物</w:t>
                  </w:r>
                </w:p>
              </w:tc>
              <w:tc>
                <w:tcPr>
                  <w:tcW w:w="1004" w:type="dxa"/>
                  <w:vAlign w:val="center"/>
                </w:tcPr>
                <w:p>
                  <w:pPr>
                    <w:pStyle w:val="11"/>
                    <w:bidi w:val="0"/>
                    <w:ind w:firstLine="0" w:firstLineChars="0"/>
                    <w:rPr>
                      <w:rFonts w:hint="default"/>
                      <w:lang w:val="en-US" w:eastAsia="zh-CN"/>
                    </w:rPr>
                  </w:pPr>
                  <w:r>
                    <w:rPr>
                      <w:rFonts w:hint="eastAsia"/>
                      <w:lang w:val="en-US" w:eastAsia="zh-CN"/>
                    </w:rPr>
                    <w:t>矿物油</w:t>
                  </w:r>
                </w:p>
              </w:tc>
              <w:tc>
                <w:tcPr>
                  <w:tcW w:w="1170" w:type="dxa"/>
                  <w:vAlign w:val="center"/>
                </w:tcPr>
                <w:p>
                  <w:pPr>
                    <w:pStyle w:val="11"/>
                    <w:bidi w:val="0"/>
                    <w:rPr>
                      <w:rFonts w:hint="default"/>
                      <w:lang w:val="en-US" w:eastAsia="zh-CN"/>
                    </w:rPr>
                  </w:pPr>
                  <w:r>
                    <w:t>HW</w:t>
                  </w:r>
                  <w:r>
                    <w:rPr>
                      <w:rFonts w:hint="eastAsia"/>
                      <w:lang w:val="en-US" w:eastAsia="zh-CN"/>
                    </w:rPr>
                    <w:t>08</w:t>
                  </w:r>
                </w:p>
                <w:p>
                  <w:pPr>
                    <w:pStyle w:val="11"/>
                    <w:bidi w:val="0"/>
                    <w:ind w:firstLine="0" w:firstLineChars="0"/>
                    <w:rPr>
                      <w:rFonts w:hint="default"/>
                      <w:lang w:val="en-US" w:eastAsia="zh-CN"/>
                    </w:rPr>
                  </w:pPr>
                  <w:r>
                    <w:t>900-</w:t>
                  </w:r>
                  <w:r>
                    <w:rPr>
                      <w:rFonts w:hint="eastAsia"/>
                      <w:lang w:val="en-US" w:eastAsia="zh-CN"/>
                    </w:rPr>
                    <w:t>217-08</w:t>
                  </w:r>
                </w:p>
              </w:tc>
              <w:tc>
                <w:tcPr>
                  <w:tcW w:w="645" w:type="dxa"/>
                  <w:vAlign w:val="center"/>
                </w:tcPr>
                <w:p>
                  <w:pPr>
                    <w:pStyle w:val="11"/>
                    <w:bidi w:val="0"/>
                    <w:ind w:firstLine="0" w:firstLineChars="0"/>
                    <w:rPr>
                      <w:rFonts w:hint="default"/>
                      <w:lang w:val="en-US" w:eastAsia="zh-CN"/>
                    </w:rPr>
                  </w:pPr>
                  <w:r>
                    <w:rPr>
                      <w:rFonts w:hint="eastAsia"/>
                      <w:lang w:val="en-US" w:eastAsia="zh-CN"/>
                    </w:rPr>
                    <w:t>液态</w:t>
                  </w:r>
                </w:p>
              </w:tc>
              <w:tc>
                <w:tcPr>
                  <w:tcW w:w="548" w:type="dxa"/>
                  <w:vAlign w:val="center"/>
                </w:tcPr>
                <w:p>
                  <w:pPr>
                    <w:pStyle w:val="11"/>
                    <w:bidi w:val="0"/>
                    <w:ind w:firstLine="0" w:firstLineChars="0"/>
                    <w:rPr>
                      <w:lang w:val="en-US" w:eastAsia="zh-CN"/>
                    </w:rPr>
                  </w:pPr>
                  <w:r>
                    <w:t>T，I</w:t>
                  </w:r>
                </w:p>
              </w:tc>
              <w:tc>
                <w:tcPr>
                  <w:tcW w:w="692" w:type="dxa"/>
                  <w:vAlign w:val="center"/>
                </w:tcPr>
                <w:p>
                  <w:pPr>
                    <w:pStyle w:val="11"/>
                    <w:bidi w:val="0"/>
                    <w:ind w:firstLine="0" w:firstLineChars="0"/>
                    <w:rPr>
                      <w:rFonts w:hint="default"/>
                      <w:lang w:val="en-US" w:eastAsia="zh-CN"/>
                    </w:rPr>
                  </w:pPr>
                  <w:r>
                    <w:rPr>
                      <w:rFonts w:hint="eastAsia"/>
                      <w:lang w:val="en-US" w:eastAsia="zh-CN"/>
                    </w:rPr>
                    <w:t>0.05</w:t>
                  </w:r>
                </w:p>
              </w:tc>
              <w:tc>
                <w:tcPr>
                  <w:tcW w:w="692" w:type="dxa"/>
                  <w:vAlign w:val="center"/>
                </w:tcPr>
                <w:p>
                  <w:pPr>
                    <w:pStyle w:val="11"/>
                    <w:bidi w:val="0"/>
                    <w:ind w:firstLine="0" w:firstLineChars="0"/>
                    <w:rPr>
                      <w:rFonts w:hint="default"/>
                      <w:lang w:val="en-US" w:eastAsia="zh-CN"/>
                    </w:rPr>
                  </w:pPr>
                  <w:r>
                    <w:rPr>
                      <w:rFonts w:hint="eastAsia"/>
                      <w:lang w:val="en-US" w:eastAsia="zh-CN"/>
                    </w:rPr>
                    <w:t>0.05</w:t>
                  </w:r>
                </w:p>
              </w:tc>
              <w:tc>
                <w:tcPr>
                  <w:tcW w:w="1045" w:type="dxa"/>
                  <w:vMerge w:val="restart"/>
                  <w:vAlign w:val="center"/>
                </w:tcPr>
                <w:p>
                  <w:pPr>
                    <w:pStyle w:val="11"/>
                    <w:bidi w:val="0"/>
                  </w:pPr>
                  <w:r>
                    <w:t>危废暂存间暂存，委托有资质单位定期处置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398" w:type="dxa"/>
                  <w:vAlign w:val="center"/>
                </w:tcPr>
                <w:p>
                  <w:pPr>
                    <w:pStyle w:val="11"/>
                    <w:bidi w:val="0"/>
                    <w:ind w:firstLine="0" w:firstLineChars="0"/>
                    <w:rPr>
                      <w:lang w:val="en-US" w:eastAsia="zh-CN"/>
                    </w:rPr>
                  </w:pPr>
                  <w:r>
                    <w:t>7</w:t>
                  </w:r>
                </w:p>
              </w:tc>
              <w:tc>
                <w:tcPr>
                  <w:tcW w:w="724" w:type="dxa"/>
                  <w:vAlign w:val="center"/>
                </w:tcPr>
                <w:p>
                  <w:pPr>
                    <w:pStyle w:val="11"/>
                    <w:bidi w:val="0"/>
                    <w:ind w:firstLine="0" w:firstLineChars="0"/>
                    <w:rPr>
                      <w:rFonts w:hint="eastAsia" w:ascii="Times New Roman" w:hAnsi="Times New Roman" w:eastAsia="宋体" w:cs="Times New Roman"/>
                      <w:kern w:val="44"/>
                      <w:sz w:val="21"/>
                      <w:szCs w:val="22"/>
                      <w:lang w:val="en-US" w:eastAsia="zh-CN" w:bidi="ar-SA"/>
                    </w:rPr>
                  </w:pPr>
                  <w:r>
                    <w:t>废气治理</w:t>
                  </w:r>
                </w:p>
              </w:tc>
              <w:tc>
                <w:tcPr>
                  <w:tcW w:w="739" w:type="dxa"/>
                  <w:vAlign w:val="center"/>
                </w:tcPr>
                <w:p>
                  <w:pPr>
                    <w:pStyle w:val="11"/>
                    <w:bidi w:val="0"/>
                    <w:ind w:firstLine="0" w:firstLineChars="0"/>
                    <w:rPr>
                      <w:rFonts w:hint="eastAsia" w:ascii="Times New Roman" w:hAnsi="Times New Roman" w:eastAsia="宋体" w:cs="Times New Roman"/>
                      <w:kern w:val="44"/>
                      <w:sz w:val="21"/>
                      <w:szCs w:val="22"/>
                      <w:lang w:val="en-US" w:eastAsia="zh-CN" w:bidi="ar-SA"/>
                    </w:rPr>
                  </w:pPr>
                  <w:r>
                    <w:t>废活性炭</w:t>
                  </w:r>
                </w:p>
              </w:tc>
              <w:tc>
                <w:tcPr>
                  <w:tcW w:w="613" w:type="dxa"/>
                  <w:vAlign w:val="center"/>
                </w:tcPr>
                <w:p>
                  <w:pPr>
                    <w:pStyle w:val="11"/>
                    <w:bidi w:val="0"/>
                    <w:ind w:firstLine="0" w:firstLineChars="0"/>
                    <w:rPr>
                      <w:rFonts w:ascii="Times New Roman" w:hAnsi="Times New Roman" w:eastAsia="宋体" w:cs="Times New Roman"/>
                      <w:kern w:val="44"/>
                      <w:sz w:val="21"/>
                      <w:szCs w:val="22"/>
                      <w:lang w:val="en-US" w:eastAsia="zh-CN" w:bidi="ar-SA"/>
                    </w:rPr>
                  </w:pPr>
                  <w:r>
                    <w:t>危险废物</w:t>
                  </w:r>
                </w:p>
              </w:tc>
              <w:tc>
                <w:tcPr>
                  <w:tcW w:w="1004" w:type="dxa"/>
                  <w:vAlign w:val="center"/>
                </w:tcPr>
                <w:p>
                  <w:pPr>
                    <w:pStyle w:val="11"/>
                    <w:bidi w:val="0"/>
                    <w:ind w:firstLine="0" w:firstLineChars="0"/>
                    <w:rPr>
                      <w:rFonts w:ascii="Times New Roman" w:hAnsi="Times New Roman" w:eastAsia="宋体" w:cs="Times New Roman"/>
                      <w:kern w:val="44"/>
                      <w:sz w:val="21"/>
                      <w:szCs w:val="22"/>
                      <w:lang w:val="en-US" w:eastAsia="zh-CN" w:bidi="ar-SA"/>
                    </w:rPr>
                  </w:pPr>
                  <w:r>
                    <w:t>有机废气</w:t>
                  </w:r>
                </w:p>
              </w:tc>
              <w:tc>
                <w:tcPr>
                  <w:tcW w:w="1170" w:type="dxa"/>
                  <w:vAlign w:val="center"/>
                </w:tcPr>
                <w:p>
                  <w:pPr>
                    <w:pStyle w:val="11"/>
                    <w:bidi w:val="0"/>
                  </w:pPr>
                  <w:r>
                    <w:t>HW49</w:t>
                  </w:r>
                </w:p>
                <w:p>
                  <w:pPr>
                    <w:pStyle w:val="11"/>
                    <w:bidi w:val="0"/>
                    <w:ind w:firstLine="0" w:firstLineChars="0"/>
                    <w:rPr>
                      <w:rFonts w:ascii="Times New Roman" w:hAnsi="Times New Roman" w:eastAsia="宋体" w:cs="Times New Roman"/>
                      <w:kern w:val="44"/>
                      <w:sz w:val="21"/>
                      <w:szCs w:val="22"/>
                      <w:lang w:val="en-US" w:eastAsia="zh-CN" w:bidi="ar-SA"/>
                    </w:rPr>
                  </w:pPr>
                  <w:r>
                    <w:t>900-0</w:t>
                  </w:r>
                  <w:r>
                    <w:rPr>
                      <w:rFonts w:hint="eastAsia"/>
                      <w:lang w:val="en-US" w:eastAsia="zh-CN"/>
                    </w:rPr>
                    <w:t>39</w:t>
                  </w:r>
                  <w:r>
                    <w:t>-49</w:t>
                  </w:r>
                </w:p>
              </w:tc>
              <w:tc>
                <w:tcPr>
                  <w:tcW w:w="645" w:type="dxa"/>
                  <w:vAlign w:val="center"/>
                </w:tcPr>
                <w:p>
                  <w:pPr>
                    <w:pStyle w:val="11"/>
                    <w:bidi w:val="0"/>
                    <w:ind w:firstLine="0" w:firstLineChars="0"/>
                    <w:rPr>
                      <w:rFonts w:ascii="Times New Roman" w:hAnsi="Times New Roman" w:eastAsia="宋体" w:cs="Times New Roman"/>
                      <w:kern w:val="44"/>
                      <w:sz w:val="21"/>
                      <w:szCs w:val="22"/>
                      <w:lang w:val="en-US" w:eastAsia="zh-CN" w:bidi="ar-SA"/>
                    </w:rPr>
                  </w:pPr>
                  <w:r>
                    <w:t>固态</w:t>
                  </w:r>
                </w:p>
              </w:tc>
              <w:tc>
                <w:tcPr>
                  <w:tcW w:w="548" w:type="dxa"/>
                  <w:vAlign w:val="center"/>
                </w:tcPr>
                <w:p>
                  <w:pPr>
                    <w:pStyle w:val="11"/>
                    <w:bidi w:val="0"/>
                    <w:ind w:firstLine="0" w:firstLineChars="0"/>
                    <w:rPr>
                      <w:rFonts w:ascii="Times New Roman" w:hAnsi="Times New Roman" w:eastAsia="宋体" w:cs="Times New Roman"/>
                      <w:kern w:val="44"/>
                      <w:sz w:val="21"/>
                      <w:szCs w:val="22"/>
                      <w:lang w:val="en-US" w:eastAsia="zh-CN" w:bidi="ar-SA"/>
                    </w:rPr>
                  </w:pPr>
                  <w:r>
                    <w:t>T，I</w:t>
                  </w:r>
                </w:p>
              </w:tc>
              <w:tc>
                <w:tcPr>
                  <w:tcW w:w="692" w:type="dxa"/>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0.131</w:t>
                  </w:r>
                </w:p>
              </w:tc>
              <w:tc>
                <w:tcPr>
                  <w:tcW w:w="692" w:type="dxa"/>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0.131</w:t>
                  </w:r>
                </w:p>
              </w:tc>
              <w:tc>
                <w:tcPr>
                  <w:tcW w:w="1045" w:type="dxa"/>
                  <w:vMerge w:val="continue"/>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8270" w:type="dxa"/>
                  <w:gridSpan w:val="11"/>
                  <w:vAlign w:val="center"/>
                </w:tcPr>
                <w:p>
                  <w:pPr>
                    <w:pStyle w:val="11"/>
                    <w:bidi w:val="0"/>
                  </w:pPr>
                  <w:r>
                    <w:t>备注：危险特性中T：毒性；I：易燃性；In：感染性；R：反应性；C：腐蚀性</w:t>
                  </w:r>
                </w:p>
              </w:tc>
            </w:tr>
          </w:tbl>
          <w:p>
            <w:pPr>
              <w:spacing w:line="360" w:lineRule="auto"/>
              <w:ind w:firstLine="482" w:firstLineChars="200"/>
              <w:rPr>
                <w:b/>
                <w:bCs/>
              </w:rPr>
            </w:pPr>
            <w:r>
              <w:rPr>
                <w:b/>
                <w:bCs/>
              </w:rPr>
              <w:t>4.2 危险废物管理要求</w:t>
            </w:r>
          </w:p>
          <w:p>
            <w:pPr>
              <w:spacing w:line="360" w:lineRule="auto"/>
              <w:ind w:firstLine="480" w:firstLineChars="200"/>
            </w:pPr>
            <w:r>
              <w:t>根据《危险废物贮存污染控制标准》（GB18597-2001）、《危险废物收集、贮存、运输技术规范》（HJ2025-2012）和《河南省环境保护厅关于印发河南省危险废物规范化管理工作指南（试行）的通知》（豫环文</w:t>
            </w:r>
            <w:r>
              <w:rPr>
                <w:rFonts w:hint="eastAsia"/>
                <w:lang w:val="en-US" w:eastAsia="zh-CN"/>
              </w:rPr>
              <w:t>〔</w:t>
            </w:r>
            <w:r>
              <w:t>2012</w:t>
            </w:r>
            <w:r>
              <w:rPr>
                <w:rFonts w:hint="eastAsia"/>
                <w:lang w:val="en-US" w:eastAsia="zh-CN"/>
              </w:rPr>
              <w:t>〕</w:t>
            </w:r>
            <w:r>
              <w:t>18号）要求，本项目危险废物的贮存、运输设计要求如下：</w:t>
            </w:r>
          </w:p>
          <w:p>
            <w:pPr>
              <w:spacing w:line="360" w:lineRule="auto"/>
              <w:ind w:firstLine="480" w:firstLineChars="200"/>
            </w:pPr>
            <w:r>
              <w:t>（1）厂区应建设一座占地</w:t>
            </w:r>
            <w:r>
              <w:rPr>
                <w:rFonts w:hint="eastAsia"/>
                <w:lang w:val="en-US" w:eastAsia="zh-CN"/>
              </w:rPr>
              <w:t>2</w:t>
            </w:r>
            <w:r>
              <w:t>0m</w:t>
            </w:r>
            <w:r>
              <w:rPr>
                <w:vertAlign w:val="superscript"/>
              </w:rPr>
              <w:t>2</w:t>
            </w:r>
            <w:r>
              <w:t>的危险废物暂存间，用于暂存危废。暂存间应具有“三防”（防扬散、防流失、防渗透）功能，暂存间地面及内墙采取防渗、防腐措施，贮存场所要防风、防雨、防晒，避开易燃、易爆危险品仓库、高压输电线路防护区域。地面与裙角要用坚固、防渗的材料建造；必须有泄漏液体收集装置；用以存放装有废物容器的地方，必须有耐腐蚀的硬化地面，且表面无裂缝；设计堵截泄漏的裙角。基础必须防渗，防渗层为至少1m厚粘土层（渗透系数≤10</w:t>
            </w:r>
            <w:r>
              <w:rPr>
                <w:vertAlign w:val="superscript"/>
              </w:rPr>
              <w:t>-7</w:t>
            </w:r>
            <w:r>
              <w:t>cm/s），或2mm厚高密度聚乙烯，或至少2mm厚的其他人工材料，渗透系数≤10</w:t>
            </w:r>
            <w:r>
              <w:rPr>
                <w:vertAlign w:val="superscript"/>
              </w:rPr>
              <w:t>-10</w:t>
            </w:r>
            <w:r>
              <w:t>cm/s。除此之外，暂存间内还应设安全照明设施，并设置干粉灭火器，房外设置危废警示标志。</w:t>
            </w:r>
          </w:p>
          <w:p>
            <w:pPr>
              <w:spacing w:line="360" w:lineRule="auto"/>
              <w:ind w:firstLine="480" w:firstLineChars="200"/>
            </w:pPr>
            <w:r>
              <w:t>（2）危险废物的转移，必须按照国家有关规定填写危险废物转移联单，并向危险废物移出地和接收地的县级以上地方人民政府生态环境行政主管部门报告，运输危险废物，必须采取防止污染环境的措施，并遵守国家有关危险废物运输管理的规定，杜绝运输途中危废的外撒和跑冒滴漏。</w:t>
            </w:r>
          </w:p>
          <w:p>
            <w:pPr>
              <w:spacing w:line="360" w:lineRule="auto"/>
              <w:ind w:firstLine="480" w:firstLineChars="200"/>
            </w:pPr>
            <w:r>
              <w:t>（3）根据国家环保总局和河南省环保厅对排污口规范化整治的要求，建设单位按照《环境保护图形标志—固体废物贮存（处置）场》（GB15562.2-1995）、《建设项目危险废物环境影响评价指南》2017年第43号设置固体废物堆放场的环境保护图形标志，具体要求见表4</w:t>
            </w:r>
            <w:r>
              <w:rPr>
                <w:rFonts w:hint="eastAsia"/>
                <w:lang w:val="en-US" w:eastAsia="zh-CN"/>
              </w:rPr>
              <w:t>-10</w:t>
            </w:r>
            <w:r>
              <w:t>。</w:t>
            </w:r>
          </w:p>
          <w:p>
            <w:pPr>
              <w:pStyle w:val="12"/>
              <w:widowControl w:val="0"/>
              <w:bidi w:val="0"/>
            </w:pPr>
            <w:r>
              <w:t>表4</w:t>
            </w:r>
            <w:r>
              <w:rPr>
                <w:rFonts w:hint="eastAsia"/>
                <w:lang w:val="en-US" w:eastAsia="zh-CN"/>
              </w:rPr>
              <w:t>-10</w:t>
            </w:r>
            <w:r>
              <w:t xml:space="preserve">  </w:t>
            </w:r>
            <w:r>
              <w:rPr>
                <w:rFonts w:hint="eastAsia"/>
                <w:lang w:val="en-US" w:eastAsia="zh-CN"/>
              </w:rPr>
              <w:t xml:space="preserve"> </w:t>
            </w:r>
            <w:r>
              <w:t>固废暂存场所环境保护图形标志一览表</w:t>
            </w:r>
          </w:p>
          <w:tbl>
            <w:tblPr>
              <w:tblStyle w:val="8"/>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95"/>
              <w:gridCol w:w="1059"/>
              <w:gridCol w:w="1267"/>
              <w:gridCol w:w="1196"/>
              <w:gridCol w:w="1168"/>
              <w:gridCol w:w="17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85" w:type="pct"/>
                  <w:noWrap w:val="0"/>
                  <w:vAlign w:val="center"/>
                </w:tcPr>
                <w:p>
                  <w:pPr>
                    <w:pStyle w:val="11"/>
                    <w:rPr>
                      <w:rFonts w:hint="default"/>
                    </w:rPr>
                  </w:pPr>
                  <w:r>
                    <w:t>暂存场所</w:t>
                  </w:r>
                  <w:r>
                    <w:rPr>
                      <w:rFonts w:hint="default"/>
                    </w:rPr>
                    <w:t>名称</w:t>
                  </w:r>
                </w:p>
              </w:tc>
              <w:tc>
                <w:tcPr>
                  <w:tcW w:w="640" w:type="pct"/>
                  <w:noWrap w:val="0"/>
                  <w:vAlign w:val="center"/>
                </w:tcPr>
                <w:p>
                  <w:pPr>
                    <w:pStyle w:val="11"/>
                    <w:rPr>
                      <w:rFonts w:hint="default"/>
                    </w:rPr>
                  </w:pPr>
                  <w:r>
                    <w:rPr>
                      <w:rFonts w:hint="default"/>
                    </w:rPr>
                    <w:t>图形标志</w:t>
                  </w:r>
                </w:p>
              </w:tc>
              <w:tc>
                <w:tcPr>
                  <w:tcW w:w="766" w:type="pct"/>
                  <w:noWrap w:val="0"/>
                  <w:vAlign w:val="center"/>
                </w:tcPr>
                <w:p>
                  <w:pPr>
                    <w:pStyle w:val="11"/>
                    <w:rPr>
                      <w:rFonts w:hint="default"/>
                    </w:rPr>
                  </w:pPr>
                  <w:r>
                    <w:rPr>
                      <w:rFonts w:hint="default"/>
                    </w:rPr>
                    <w:t>形状</w:t>
                  </w:r>
                </w:p>
              </w:tc>
              <w:tc>
                <w:tcPr>
                  <w:tcW w:w="723" w:type="pct"/>
                  <w:noWrap w:val="0"/>
                  <w:vAlign w:val="center"/>
                </w:tcPr>
                <w:p>
                  <w:pPr>
                    <w:pStyle w:val="11"/>
                    <w:rPr>
                      <w:rFonts w:hint="default"/>
                    </w:rPr>
                  </w:pPr>
                  <w:r>
                    <w:rPr>
                      <w:rFonts w:hint="default"/>
                    </w:rPr>
                    <w:t>背景颜色</w:t>
                  </w:r>
                </w:p>
              </w:tc>
              <w:tc>
                <w:tcPr>
                  <w:tcW w:w="706" w:type="pct"/>
                  <w:noWrap w:val="0"/>
                  <w:vAlign w:val="center"/>
                </w:tcPr>
                <w:p>
                  <w:pPr>
                    <w:pStyle w:val="11"/>
                    <w:rPr>
                      <w:rFonts w:hint="default"/>
                    </w:rPr>
                  </w:pPr>
                  <w:r>
                    <w:rPr>
                      <w:rFonts w:hint="default"/>
                    </w:rPr>
                    <w:t>图形颜色</w:t>
                  </w:r>
                </w:p>
              </w:tc>
              <w:tc>
                <w:tcPr>
                  <w:tcW w:w="1077" w:type="pct"/>
                  <w:noWrap w:val="0"/>
                  <w:vAlign w:val="center"/>
                </w:tcPr>
                <w:p>
                  <w:pPr>
                    <w:pStyle w:val="11"/>
                    <w:rPr>
                      <w:rFonts w:hint="default"/>
                    </w:rPr>
                  </w:pPr>
                  <w:r>
                    <w:rPr>
                      <w:rFonts w:hint="default"/>
                    </w:rPr>
                    <w:t>提示图形符号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1085" w:type="pct"/>
                  <w:noWrap w:val="0"/>
                  <w:vAlign w:val="center"/>
                </w:tcPr>
                <w:p>
                  <w:pPr>
                    <w:pStyle w:val="11"/>
                    <w:bidi w:val="0"/>
                    <w:rPr>
                      <w:rFonts w:hint="default"/>
                      <w:lang w:val="en-US" w:eastAsia="zh-CN"/>
                    </w:rPr>
                  </w:pPr>
                  <w:r>
                    <w:t>一般固废暂存间</w:t>
                  </w:r>
                </w:p>
              </w:tc>
              <w:tc>
                <w:tcPr>
                  <w:tcW w:w="640" w:type="pct"/>
                  <w:noWrap w:val="0"/>
                  <w:vAlign w:val="center"/>
                </w:tcPr>
                <w:p>
                  <w:pPr>
                    <w:pStyle w:val="11"/>
                    <w:rPr>
                      <w:rFonts w:hint="default"/>
                    </w:rPr>
                  </w:pPr>
                  <w:r>
                    <w:rPr>
                      <w:rFonts w:hint="default"/>
                    </w:rPr>
                    <w:t>提示标志</w:t>
                  </w:r>
                </w:p>
              </w:tc>
              <w:tc>
                <w:tcPr>
                  <w:tcW w:w="766" w:type="pct"/>
                  <w:noWrap w:val="0"/>
                  <w:vAlign w:val="center"/>
                </w:tcPr>
                <w:p>
                  <w:pPr>
                    <w:pStyle w:val="11"/>
                    <w:rPr>
                      <w:rFonts w:hint="default"/>
                    </w:rPr>
                  </w:pPr>
                  <w:r>
                    <w:rPr>
                      <w:rFonts w:hint="default"/>
                    </w:rPr>
                    <w:t>正方形边框</w:t>
                  </w:r>
                </w:p>
              </w:tc>
              <w:tc>
                <w:tcPr>
                  <w:tcW w:w="723" w:type="pct"/>
                  <w:noWrap w:val="0"/>
                  <w:vAlign w:val="center"/>
                </w:tcPr>
                <w:p>
                  <w:pPr>
                    <w:pStyle w:val="11"/>
                    <w:rPr>
                      <w:rFonts w:hint="default"/>
                    </w:rPr>
                  </w:pPr>
                  <w:r>
                    <w:rPr>
                      <w:rFonts w:hint="default"/>
                    </w:rPr>
                    <w:t>绿色</w:t>
                  </w:r>
                </w:p>
              </w:tc>
              <w:tc>
                <w:tcPr>
                  <w:tcW w:w="706" w:type="pct"/>
                  <w:noWrap w:val="0"/>
                  <w:vAlign w:val="center"/>
                </w:tcPr>
                <w:p>
                  <w:pPr>
                    <w:pStyle w:val="11"/>
                    <w:rPr>
                      <w:rFonts w:hint="default"/>
                    </w:rPr>
                  </w:pPr>
                  <w:r>
                    <w:rPr>
                      <w:rFonts w:hint="default"/>
                    </w:rPr>
                    <w:t>白色</w:t>
                  </w:r>
                </w:p>
              </w:tc>
              <w:tc>
                <w:tcPr>
                  <w:tcW w:w="1077" w:type="pct"/>
                  <w:noWrap w:val="0"/>
                  <w:vAlign w:val="center"/>
                </w:tcPr>
                <w:p>
                  <w:pPr>
                    <w:pStyle w:val="11"/>
                    <w:jc w:val="both"/>
                    <w:rPr>
                      <w:rFonts w:hint="default"/>
                    </w:rPr>
                  </w:pPr>
                  <w:r>
                    <w:rPr>
                      <w:rFonts w:hint="default"/>
                    </w:rPr>
                    <w:drawing>
                      <wp:anchor distT="0" distB="0" distL="114300" distR="114300" simplePos="0" relativeHeight="251661312" behindDoc="0" locked="0" layoutInCell="1" allowOverlap="1">
                        <wp:simplePos x="0" y="0"/>
                        <wp:positionH relativeFrom="column">
                          <wp:posOffset>74295</wp:posOffset>
                        </wp:positionH>
                        <wp:positionV relativeFrom="paragraph">
                          <wp:posOffset>57785</wp:posOffset>
                        </wp:positionV>
                        <wp:extent cx="848995" cy="768985"/>
                        <wp:effectExtent l="0" t="0" r="8255" b="12065"/>
                        <wp:wrapNone/>
                        <wp:docPr id="7" name="图片 2"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timg"/>
                                <pic:cNvPicPr>
                                  <a:picLocks noChangeAspect="1"/>
                                </pic:cNvPicPr>
                              </pic:nvPicPr>
                              <pic:blipFill>
                                <a:blip r:embed="rId13"/>
                                <a:srcRect l="26401" t="15720" r="26602" b="41718"/>
                                <a:stretch>
                                  <a:fillRect/>
                                </a:stretch>
                              </pic:blipFill>
                              <pic:spPr>
                                <a:xfrm>
                                  <a:off x="0" y="0"/>
                                  <a:ext cx="848995" cy="768985"/>
                                </a:xfrm>
                                <a:prstGeom prst="rect">
                                  <a:avLst/>
                                </a:prstGeom>
                                <a:noFill/>
                                <a:ln>
                                  <a:noFill/>
                                </a:ln>
                              </pic:spPr>
                            </pic:pic>
                          </a:graphicData>
                        </a:graphic>
                      </wp:anchor>
                    </w:drawing>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1085" w:type="pct"/>
                  <w:noWrap w:val="0"/>
                  <w:vAlign w:val="center"/>
                </w:tcPr>
                <w:p>
                  <w:pPr>
                    <w:pStyle w:val="11"/>
                    <w:bidi w:val="0"/>
                    <w:rPr>
                      <w:rFonts w:hint="default"/>
                      <w:lang w:val="en-US" w:eastAsia="zh-CN"/>
                    </w:rPr>
                  </w:pPr>
                  <w:r>
                    <w:t>危废暂存间</w:t>
                  </w:r>
                </w:p>
              </w:tc>
              <w:tc>
                <w:tcPr>
                  <w:tcW w:w="640" w:type="pct"/>
                  <w:noWrap w:val="0"/>
                  <w:vAlign w:val="center"/>
                </w:tcPr>
                <w:p>
                  <w:pPr>
                    <w:pStyle w:val="11"/>
                    <w:rPr>
                      <w:rFonts w:hint="default"/>
                    </w:rPr>
                  </w:pPr>
                  <w:r>
                    <w:rPr>
                      <w:rFonts w:hint="default"/>
                    </w:rPr>
                    <w:t>警告标志</w:t>
                  </w:r>
                </w:p>
              </w:tc>
              <w:tc>
                <w:tcPr>
                  <w:tcW w:w="766" w:type="pct"/>
                  <w:noWrap w:val="0"/>
                  <w:vAlign w:val="center"/>
                </w:tcPr>
                <w:p>
                  <w:pPr>
                    <w:pStyle w:val="11"/>
                    <w:rPr>
                      <w:rFonts w:hint="default"/>
                    </w:rPr>
                  </w:pPr>
                  <w:r>
                    <w:rPr>
                      <w:rFonts w:hint="default"/>
                    </w:rPr>
                    <w:t>三角形边框</w:t>
                  </w:r>
                </w:p>
              </w:tc>
              <w:tc>
                <w:tcPr>
                  <w:tcW w:w="723" w:type="pct"/>
                  <w:noWrap w:val="0"/>
                  <w:vAlign w:val="center"/>
                </w:tcPr>
                <w:p>
                  <w:pPr>
                    <w:pStyle w:val="11"/>
                    <w:rPr>
                      <w:rFonts w:hint="default"/>
                    </w:rPr>
                  </w:pPr>
                  <w:r>
                    <w:rPr>
                      <w:rFonts w:hint="default"/>
                    </w:rPr>
                    <w:t>黄色</w:t>
                  </w:r>
                </w:p>
              </w:tc>
              <w:tc>
                <w:tcPr>
                  <w:tcW w:w="706" w:type="pct"/>
                  <w:noWrap w:val="0"/>
                  <w:vAlign w:val="center"/>
                </w:tcPr>
                <w:p>
                  <w:pPr>
                    <w:pStyle w:val="11"/>
                    <w:rPr>
                      <w:rFonts w:hint="default"/>
                    </w:rPr>
                  </w:pPr>
                  <w:r>
                    <w:rPr>
                      <w:rFonts w:hint="default"/>
                    </w:rPr>
                    <w:t>黑色</w:t>
                  </w:r>
                </w:p>
              </w:tc>
              <w:tc>
                <w:tcPr>
                  <w:tcW w:w="1077" w:type="pct"/>
                  <w:noWrap w:val="0"/>
                  <w:vAlign w:val="center"/>
                </w:tcPr>
                <w:p>
                  <w:pPr>
                    <w:pStyle w:val="11"/>
                    <w:jc w:val="both"/>
                    <w:rPr>
                      <w:rFonts w:hint="eastAsia"/>
                      <w:lang w:eastAsia="zh-CN"/>
                    </w:rPr>
                  </w:pPr>
                  <w:r>
                    <w:rPr>
                      <w:rFonts w:hint="eastAsia"/>
                      <w:lang w:eastAsia="zh-CN"/>
                    </w:rPr>
                    <w:drawing>
                      <wp:anchor distT="0" distB="0" distL="114300" distR="114300" simplePos="0" relativeHeight="251662336" behindDoc="0" locked="0" layoutInCell="1" allowOverlap="1">
                        <wp:simplePos x="0" y="0"/>
                        <wp:positionH relativeFrom="column">
                          <wp:posOffset>99060</wp:posOffset>
                        </wp:positionH>
                        <wp:positionV relativeFrom="paragraph">
                          <wp:posOffset>76835</wp:posOffset>
                        </wp:positionV>
                        <wp:extent cx="806450" cy="916305"/>
                        <wp:effectExtent l="0" t="0" r="12700" b="17145"/>
                        <wp:wrapNone/>
                        <wp:docPr id="4" name="图片 3" descr="t0149b311693823cb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t0149b311693823cb4a"/>
                                <pic:cNvPicPr>
                                  <a:picLocks noChangeAspect="1"/>
                                </pic:cNvPicPr>
                              </pic:nvPicPr>
                              <pic:blipFill>
                                <a:blip r:embed="rId14"/>
                                <a:stretch>
                                  <a:fillRect/>
                                </a:stretch>
                              </pic:blipFill>
                              <pic:spPr>
                                <a:xfrm>
                                  <a:off x="0" y="0"/>
                                  <a:ext cx="806450" cy="916305"/>
                                </a:xfrm>
                                <a:prstGeom prst="rect">
                                  <a:avLst/>
                                </a:prstGeom>
                                <a:noFill/>
                                <a:ln>
                                  <a:noFill/>
                                </a:ln>
                              </pic:spPr>
                            </pic:pic>
                          </a:graphicData>
                        </a:graphic>
                      </wp:anchor>
                    </w:drawing>
                  </w:r>
                </w:p>
                <w:p>
                  <w:pPr>
                    <w:pStyle w:val="11"/>
                    <w:jc w:val="both"/>
                    <w:rPr>
                      <w:rFonts w:hint="default"/>
                    </w:rPr>
                  </w:pPr>
                </w:p>
                <w:p>
                  <w:pPr>
                    <w:pStyle w:val="11"/>
                    <w:jc w:val="both"/>
                    <w:rPr>
                      <w:rFonts w:hint="default"/>
                    </w:rPr>
                  </w:pPr>
                </w:p>
                <w:p>
                  <w:pPr>
                    <w:pStyle w:val="11"/>
                    <w:jc w:val="both"/>
                    <w:rPr>
                      <w:rFonts w:hint="default"/>
                    </w:rPr>
                  </w:pPr>
                </w:p>
              </w:tc>
            </w:tr>
          </w:tbl>
          <w:p>
            <w:pPr>
              <w:bidi w:val="0"/>
            </w:pPr>
            <w:r>
              <w:t>（4）企业应当按照国家有关规定制定危险废物管理计划；建立危险废物管理台账，如实记录有关信息，并通过国家危险废物信息管理系统向所在地生态环境主管部门申报危险废物的种类、产生量、流向、贮存、处置等有关资料。</w:t>
            </w:r>
          </w:p>
          <w:p>
            <w:pPr>
              <w:bidi w:val="0"/>
            </w:pPr>
            <w:r>
              <w:t>危险废物管理计划应当包括减少危险废物产生量和降低危险废物危害性的措施以及危险废物贮存、利用、处置措施。企业应按照规定定期将危废管理计划报至许昌市生态环境局备案。</w:t>
            </w:r>
          </w:p>
          <w:p>
            <w:pPr>
              <w:bidi w:val="0"/>
            </w:pPr>
            <w:r>
              <w:t>采取以上措施后，本项目营运期产生的固体废物全部能够得到安全处置，在按照相关处置要求进行处理情况下，对人体健康不会造成危害，不会对周围环境造成二次污染，对周围环境影响较小。</w:t>
            </w:r>
          </w:p>
          <w:p>
            <w:pPr>
              <w:pStyle w:val="4"/>
              <w:bidi w:val="0"/>
            </w:pPr>
            <w:r>
              <w:t>5</w:t>
            </w:r>
            <w:r>
              <w:rPr>
                <w:rFonts w:hint="eastAsia"/>
                <w:lang w:eastAsia="zh-CN"/>
              </w:rPr>
              <w:t>、</w:t>
            </w:r>
            <w:r>
              <w:t>地下水、土壤</w:t>
            </w:r>
          </w:p>
          <w:p>
            <w:pPr>
              <w:spacing w:line="360" w:lineRule="auto"/>
              <w:ind w:firstLine="480" w:firstLineChars="200"/>
            </w:pPr>
            <w:r>
              <w:t>根据《环境影响评价技术导则 地下水环境》（HJ610-2016）附录A，本项目地下水环境影响评价项目类别为IV类项目，可不开展地下水环境影响评价；根据《环境影响评价技术导则 土壤环境（试行）》（HJ964-2018）附录A，本项目属于Ⅳ类建设项目，可不开展土壤环境影响评价工作，仅进行简单分析。</w:t>
            </w:r>
          </w:p>
          <w:p>
            <w:pPr>
              <w:spacing w:line="360" w:lineRule="auto"/>
              <w:ind w:firstLine="482" w:firstLineChars="200"/>
              <w:rPr>
                <w:b/>
                <w:bCs/>
              </w:rPr>
            </w:pPr>
            <w:r>
              <w:rPr>
                <w:b/>
                <w:bCs/>
              </w:rPr>
              <w:t>5.1</w:t>
            </w:r>
            <w:r>
              <w:rPr>
                <w:rFonts w:hint="eastAsia"/>
                <w:b/>
                <w:bCs/>
                <w:lang w:val="en-US" w:eastAsia="zh-CN"/>
              </w:rPr>
              <w:t xml:space="preserve"> </w:t>
            </w:r>
            <w:r>
              <w:rPr>
                <w:b/>
                <w:bCs/>
              </w:rPr>
              <w:t>地下水</w:t>
            </w:r>
          </w:p>
          <w:p>
            <w:pPr>
              <w:spacing w:line="360" w:lineRule="auto"/>
              <w:ind w:firstLine="480" w:firstLineChars="200"/>
            </w:pPr>
            <w:r>
              <w:t>项目运营期各功能区均采取“源头控制”、“分区防控”的防渗措施，可以有效保证污染物不会进入地下水环境。经对照《环境影响评价技术导则 地下水环境》（HJ610-2016）中地下水污染防渗分区参照表，本项目区域均为简单防渗区，车间及厂区应做好地面硬化，危废间、化粪池及污水管道仍应采取严格的防渗措施，杜绝渗漏。</w:t>
            </w:r>
          </w:p>
          <w:p>
            <w:pPr>
              <w:spacing w:line="360" w:lineRule="auto"/>
              <w:ind w:firstLine="482" w:firstLineChars="200"/>
              <w:rPr>
                <w:b/>
                <w:bCs/>
              </w:rPr>
            </w:pPr>
            <w:r>
              <w:rPr>
                <w:b/>
                <w:bCs/>
              </w:rPr>
              <w:t>5.2</w:t>
            </w:r>
            <w:r>
              <w:rPr>
                <w:rFonts w:hint="eastAsia"/>
                <w:b/>
                <w:bCs/>
                <w:lang w:val="en-US" w:eastAsia="zh-CN"/>
              </w:rPr>
              <w:t xml:space="preserve"> </w:t>
            </w:r>
            <w:r>
              <w:rPr>
                <w:b/>
                <w:bCs/>
              </w:rPr>
              <w:t>土壤</w:t>
            </w:r>
          </w:p>
          <w:p>
            <w:pPr>
              <w:spacing w:line="360" w:lineRule="auto"/>
              <w:ind w:firstLine="480" w:firstLineChars="200"/>
            </w:pPr>
            <w:r>
              <w:t>土壤是复杂的三相共存体系，其污染物质主要通过被污染大气的沉降、工业废水的漫流和入渗、以及固体废物通过大气迁移、扩散、沉降或降水淋溶、地表径流等而进入土壤环境。</w:t>
            </w:r>
          </w:p>
          <w:p>
            <w:pPr>
              <w:spacing w:line="360" w:lineRule="auto"/>
              <w:ind w:firstLine="480" w:firstLineChars="200"/>
            </w:pPr>
            <w:r>
              <w:t>项目运营期各功能区均采取“源头控制”、“分区防控”的防渗措施，可以有效保证污染物不会进入土壤环境，防止污染土壤。项目产生的生活污水</w:t>
            </w:r>
            <w:r>
              <w:rPr>
                <w:rFonts w:hint="eastAsia"/>
              </w:rPr>
              <w:t>依托园区化粪池处理后，用于周边农田施肥，远期管网环通后经市政污水管网进入许昌市城乡一体化示范区中原电气谷污水处理厂进行深度处理</w:t>
            </w:r>
            <w:r>
              <w:t>；</w:t>
            </w:r>
            <w:r>
              <w:rPr>
                <w:rFonts w:hint="eastAsia"/>
                <w:lang w:val="en-US" w:eastAsia="zh-CN"/>
              </w:rPr>
              <w:t>混胶、成型</w:t>
            </w:r>
            <w:r>
              <w:t>产生的有机废气经一套UV光氧+活性炭吸附装置处理后排放，各环节废气经处理后均可达标排放；生活垃圾均集中收集于带盖的垃圾桶内，</w:t>
            </w:r>
            <w:r>
              <w:rPr>
                <w:rFonts w:hint="eastAsia"/>
                <w:lang w:val="en-US" w:eastAsia="zh-CN"/>
              </w:rPr>
              <w:t>金属废料、橡胶废料、包装废料</w:t>
            </w:r>
            <w:r>
              <w:t>定期集中外售，项目采用碳弧光紫外灯，灯管不含汞，废UV灯管暂存于一般固废区，由设备厂家回收；危险废物收集后暂存于危废暂存间内，交由有危险废物处理资质的单位处理。且暂存间具有防扬散、防流失、防渗透功能，对土壤环境不会造成影响。</w:t>
            </w:r>
          </w:p>
          <w:p>
            <w:pPr>
              <w:spacing w:line="360" w:lineRule="auto"/>
              <w:ind w:firstLine="480" w:firstLineChars="200"/>
            </w:pPr>
            <w:r>
              <w:t>综上，运营期产生的废水、废气和固体废物等污染物均得到妥善的处理，处置措施严格执行各项环保措施，运营期各功能区采取“源头控制”、“分区防控”的防渗措施后，各项污染物不会对地下水、土壤环境造成影响。</w:t>
            </w:r>
          </w:p>
          <w:p>
            <w:pPr>
              <w:pStyle w:val="4"/>
              <w:bidi w:val="0"/>
            </w:pPr>
            <w:r>
              <w:t>6</w:t>
            </w:r>
            <w:r>
              <w:rPr>
                <w:rFonts w:hint="eastAsia"/>
                <w:lang w:eastAsia="zh-CN"/>
              </w:rPr>
              <w:t>、</w:t>
            </w:r>
            <w:r>
              <w:t>生态环境</w:t>
            </w:r>
          </w:p>
          <w:p>
            <w:pPr>
              <w:spacing w:line="360" w:lineRule="auto"/>
              <w:ind w:firstLine="480" w:firstLineChars="200"/>
            </w:pPr>
            <w:r>
              <w:t>本项目位于</w:t>
            </w:r>
            <w:r>
              <w:rPr>
                <w:rFonts w:hint="eastAsia"/>
                <w:lang w:val="en-US" w:eastAsia="zh-CN"/>
              </w:rPr>
              <w:t>许昌市城乡一体化示范区高新技术产业园东北角</w:t>
            </w:r>
            <w:r>
              <w:t>，项目用地为已规划工业用地。根据现场踏勘，厂区内地势平坦，属适宜建筑地带，厂址及周边500m范围内不属于自然保护区、风景名胜区、森林公园、水土流失重点防治区、生态敏感与脆弱区、重点文物保护单位、生态功能保护区范围，无国家规定保护的珍稀动植物。</w:t>
            </w:r>
          </w:p>
          <w:p>
            <w:pPr>
              <w:spacing w:line="360" w:lineRule="auto"/>
              <w:ind w:firstLine="480" w:firstLineChars="200"/>
            </w:pPr>
            <w:r>
              <w:t>因此，本项目建成后不会对生态环境造成明显影响。</w:t>
            </w:r>
          </w:p>
          <w:p>
            <w:pPr>
              <w:pStyle w:val="4"/>
              <w:bidi w:val="0"/>
            </w:pPr>
            <w:r>
              <w:t>7</w:t>
            </w:r>
            <w:r>
              <w:rPr>
                <w:rFonts w:hint="eastAsia"/>
                <w:lang w:eastAsia="zh-CN"/>
              </w:rPr>
              <w:t>、</w:t>
            </w:r>
            <w:r>
              <w:t>环境管理要求和监测计划</w:t>
            </w:r>
          </w:p>
          <w:p>
            <w:pPr>
              <w:spacing w:line="360" w:lineRule="auto"/>
              <w:ind w:firstLine="482" w:firstLineChars="200"/>
              <w:rPr>
                <w:b/>
                <w:bCs/>
              </w:rPr>
            </w:pPr>
            <w:r>
              <w:rPr>
                <w:b/>
                <w:bCs/>
              </w:rPr>
              <w:t>7.1</w:t>
            </w:r>
            <w:r>
              <w:rPr>
                <w:rFonts w:hint="eastAsia"/>
                <w:b/>
                <w:bCs/>
                <w:lang w:val="en-US" w:eastAsia="zh-CN"/>
              </w:rPr>
              <w:t xml:space="preserve"> </w:t>
            </w:r>
            <w:r>
              <w:rPr>
                <w:b/>
                <w:bCs/>
              </w:rPr>
              <w:t>环境管理要求</w:t>
            </w:r>
          </w:p>
          <w:p>
            <w:pPr>
              <w:spacing w:line="360" w:lineRule="auto"/>
              <w:ind w:firstLine="480" w:firstLineChars="200"/>
            </w:pPr>
            <w:r>
              <w:t>根据拟建工程的污染物排放特征，其产生的废气污染物存在一定的污染隐患，一旦管理不善将可能出现污染事故，从而影响周围环境，因此，营运期的环境管理也十分重要。营运期应做好以下工作：</w:t>
            </w:r>
          </w:p>
          <w:p>
            <w:pPr>
              <w:spacing w:line="360" w:lineRule="auto"/>
              <w:ind w:firstLine="480" w:firstLineChars="200"/>
            </w:pPr>
            <w:r>
              <w:rPr>
                <w:rFonts w:hint="eastAsia"/>
              </w:rPr>
              <w:t>①</w:t>
            </w:r>
            <w:r>
              <w:t>制定污染治理操作规程，记录污染治理设施运行及检修情况，确保治理设施常年正常运行。</w:t>
            </w:r>
          </w:p>
          <w:p>
            <w:pPr>
              <w:spacing w:line="360" w:lineRule="auto"/>
              <w:ind w:firstLine="480" w:firstLineChars="200"/>
            </w:pPr>
            <w:r>
              <w:rPr>
                <w:rFonts w:hint="eastAsia"/>
              </w:rPr>
              <w:t>②</w:t>
            </w:r>
            <w:r>
              <w:t>环保机构除执行各项有关环境保护工作的指令外，还应接受当地环境保护局的检查监督，组织环保监测及统计工作，配合上级部门对本企业环保项目进行检查验收，定期与不定期地上报各项管理工作的执行情况以及各项有关环境参数、污染源排放指标，建立污染源及厂区周围环境质量监测数据档案，定期编写环保简报，制定全厂环保年度计划和长远规划，为区域整体环境控制服务。</w:t>
            </w:r>
          </w:p>
          <w:p>
            <w:pPr>
              <w:spacing w:line="360" w:lineRule="auto"/>
              <w:ind w:firstLine="480" w:firstLineChars="200"/>
            </w:pPr>
            <w:r>
              <w:rPr>
                <w:rFonts w:hint="eastAsia"/>
              </w:rPr>
              <w:t>③</w:t>
            </w:r>
            <w:r>
              <w:t>确保污染治理措施执行“三同时”，检查、监督全厂环保设施的正常高效运行，使各项治理设施达到设计要求。</w:t>
            </w:r>
          </w:p>
          <w:p>
            <w:pPr>
              <w:spacing w:line="360" w:lineRule="auto"/>
              <w:ind w:firstLine="480" w:firstLineChars="200"/>
            </w:pPr>
            <w:r>
              <w:rPr>
                <w:rFonts w:hint="eastAsia"/>
              </w:rPr>
              <w:t>④</w:t>
            </w:r>
            <w:r>
              <w:t>拟建工程对废气采取了技术可行的治理措施，满足达标排放；各种固体废物外售或由厂家回收，严格对堆场进行管理。</w:t>
            </w:r>
          </w:p>
          <w:p>
            <w:pPr>
              <w:spacing w:line="360" w:lineRule="auto"/>
              <w:ind w:firstLine="480" w:firstLineChars="200"/>
            </w:pPr>
            <w:r>
              <w:rPr>
                <w:rFonts w:hint="eastAsia"/>
              </w:rPr>
              <w:t>⑤</w:t>
            </w:r>
            <w:r>
              <w:t>加强环保知识宣传教育，提高职工环境意识，把环境意识贯彻到企业各车间班组及每个职工的日常生产、生活中；推广治理方面的先进技术。</w:t>
            </w:r>
          </w:p>
          <w:p>
            <w:pPr>
              <w:spacing w:line="360" w:lineRule="auto"/>
              <w:ind w:firstLine="482" w:firstLineChars="200"/>
              <w:rPr>
                <w:b/>
                <w:bCs/>
              </w:rPr>
            </w:pPr>
            <w:r>
              <w:rPr>
                <w:b/>
                <w:bCs/>
              </w:rPr>
              <w:t>7.2</w:t>
            </w:r>
            <w:r>
              <w:rPr>
                <w:rFonts w:hint="eastAsia"/>
                <w:b/>
                <w:bCs/>
                <w:lang w:val="en-US" w:eastAsia="zh-CN"/>
              </w:rPr>
              <w:t xml:space="preserve"> </w:t>
            </w:r>
            <w:r>
              <w:rPr>
                <w:b/>
                <w:bCs/>
              </w:rPr>
              <w:t>环境监测及监控计划</w:t>
            </w:r>
          </w:p>
          <w:p>
            <w:pPr>
              <w:spacing w:line="360" w:lineRule="auto"/>
              <w:ind w:firstLine="480" w:firstLineChars="200"/>
            </w:pPr>
            <w:r>
              <w:t>环境监测（包括污染源监测）是企业环境保护组成部分，通过环境监测和污染源监测，掌握环境质量现状和污染源基础数据，为企业污染源治理和清洁生产提供理论依据，并为环境保护行政主管部门对企业进行监督管理，进行区域环境规划等提供科学依据。</w:t>
            </w:r>
          </w:p>
          <w:p>
            <w:pPr>
              <w:spacing w:line="360" w:lineRule="auto"/>
              <w:ind w:firstLine="480" w:firstLineChars="200"/>
            </w:pPr>
            <w:r>
              <w:t>本项目监测计划依据《排污单位自行监测技术指南 总则》（HJ 819-2017）和《</w:t>
            </w:r>
            <w:r>
              <w:rPr>
                <w:rFonts w:hint="eastAsia"/>
              </w:rPr>
              <w:t>排污许可证申请与核发技术规范 橡胶和塑料制品工业</w:t>
            </w:r>
            <w:r>
              <w:t>》</w:t>
            </w:r>
            <w:r>
              <w:rPr>
                <w:rFonts w:hint="eastAsia"/>
              </w:rPr>
              <w:t>（HJ1122</w:t>
            </w:r>
            <w:r>
              <w:rPr>
                <w:rFonts w:hint="eastAsia"/>
                <w:lang w:val="en-US" w:eastAsia="zh-CN"/>
              </w:rPr>
              <w:t>-</w:t>
            </w:r>
            <w:r>
              <w:rPr>
                <w:rFonts w:hint="eastAsia"/>
              </w:rPr>
              <w:t>2020）</w:t>
            </w:r>
            <w:r>
              <w:t>中排污单位自行监测管理要求制定，企业应委托有资质的环境监测单位进行企业污染源定期监测，并切实搞好监测质量保证工作。本项目生活污水间接排放口不做监测频次要求，废气具体监测计划见表4-</w:t>
            </w:r>
            <w:r>
              <w:rPr>
                <w:rFonts w:hint="eastAsia"/>
                <w:lang w:val="en-US" w:eastAsia="zh-CN"/>
              </w:rPr>
              <w:t>11</w:t>
            </w:r>
            <w:r>
              <w:t>，噪声具体监测计划见表4-1</w:t>
            </w:r>
            <w:r>
              <w:rPr>
                <w:rFonts w:hint="eastAsia"/>
                <w:lang w:val="en-US" w:eastAsia="zh-CN"/>
              </w:rPr>
              <w:t>2</w:t>
            </w:r>
            <w:r>
              <w:t>。</w:t>
            </w:r>
          </w:p>
          <w:p>
            <w:pPr>
              <w:pStyle w:val="12"/>
              <w:widowControl w:val="0"/>
              <w:bidi w:val="0"/>
            </w:pPr>
            <w:r>
              <w:t>表4-</w:t>
            </w:r>
            <w:r>
              <w:rPr>
                <w:rFonts w:hint="eastAsia"/>
                <w:lang w:val="en-US" w:eastAsia="zh-CN"/>
              </w:rPr>
              <w:t>11</w:t>
            </w:r>
            <w:r>
              <w:t xml:space="preserve"> </w:t>
            </w:r>
            <w:r>
              <w:rPr>
                <w:rFonts w:hint="eastAsia"/>
                <w:lang w:val="en-US" w:eastAsia="zh-CN"/>
              </w:rPr>
              <w:t xml:space="preserve"> </w:t>
            </w:r>
            <w:r>
              <w:t xml:space="preserve"> 项目废气例行监测方案</w:t>
            </w:r>
          </w:p>
          <w:tbl>
            <w:tblPr>
              <w:tblStyle w:val="9"/>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1" w:type="dxa"/>
                <w:bottom w:w="0" w:type="dxa"/>
                <w:right w:w="51" w:type="dxa"/>
              </w:tblCellMar>
            </w:tblPr>
            <w:tblGrid>
              <w:gridCol w:w="773"/>
              <w:gridCol w:w="1604"/>
              <w:gridCol w:w="1230"/>
              <w:gridCol w:w="810"/>
              <w:gridCol w:w="38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430" w:hRule="atLeast"/>
              </w:trPr>
              <w:tc>
                <w:tcPr>
                  <w:tcW w:w="773" w:type="dxa"/>
                  <w:vAlign w:val="center"/>
                </w:tcPr>
                <w:p>
                  <w:pPr>
                    <w:pStyle w:val="11"/>
                    <w:bidi w:val="0"/>
                  </w:pPr>
                  <w:r>
                    <w:t>排放</w:t>
                  </w:r>
                </w:p>
                <w:p>
                  <w:pPr>
                    <w:pStyle w:val="11"/>
                    <w:bidi w:val="0"/>
                  </w:pPr>
                  <w:r>
                    <w:t>类别</w:t>
                  </w:r>
                </w:p>
              </w:tc>
              <w:tc>
                <w:tcPr>
                  <w:tcW w:w="1604" w:type="dxa"/>
                  <w:vAlign w:val="center"/>
                </w:tcPr>
                <w:p>
                  <w:pPr>
                    <w:pStyle w:val="11"/>
                    <w:bidi w:val="0"/>
                  </w:pPr>
                  <w:r>
                    <w:t>监测点位</w:t>
                  </w:r>
                </w:p>
              </w:tc>
              <w:tc>
                <w:tcPr>
                  <w:tcW w:w="1230" w:type="dxa"/>
                  <w:vAlign w:val="center"/>
                </w:tcPr>
                <w:p>
                  <w:pPr>
                    <w:pStyle w:val="11"/>
                    <w:bidi w:val="0"/>
                  </w:pPr>
                  <w:r>
                    <w:t>监测污染</w:t>
                  </w:r>
                </w:p>
                <w:p>
                  <w:pPr>
                    <w:pStyle w:val="11"/>
                    <w:bidi w:val="0"/>
                  </w:pPr>
                  <w:r>
                    <w:t>因子</w:t>
                  </w:r>
                </w:p>
              </w:tc>
              <w:tc>
                <w:tcPr>
                  <w:tcW w:w="810" w:type="dxa"/>
                  <w:vAlign w:val="center"/>
                </w:tcPr>
                <w:p>
                  <w:pPr>
                    <w:pStyle w:val="11"/>
                    <w:bidi w:val="0"/>
                  </w:pPr>
                  <w:r>
                    <w:t>监测</w:t>
                  </w:r>
                </w:p>
                <w:p>
                  <w:pPr>
                    <w:pStyle w:val="11"/>
                    <w:bidi w:val="0"/>
                  </w:pPr>
                  <w:r>
                    <w:t>频次</w:t>
                  </w:r>
                </w:p>
              </w:tc>
              <w:tc>
                <w:tcPr>
                  <w:tcW w:w="3848" w:type="dxa"/>
                  <w:vAlign w:val="center"/>
                </w:tcPr>
                <w:p>
                  <w:pPr>
                    <w:pStyle w:val="11"/>
                    <w:bidi w:val="0"/>
                  </w:pPr>
                  <w: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1360" w:hRule="atLeast"/>
              </w:trPr>
              <w:tc>
                <w:tcPr>
                  <w:tcW w:w="773" w:type="dxa"/>
                  <w:vAlign w:val="center"/>
                </w:tcPr>
                <w:p>
                  <w:pPr>
                    <w:pStyle w:val="11"/>
                    <w:bidi w:val="0"/>
                  </w:pPr>
                  <w:r>
                    <w:t>有组织</w:t>
                  </w:r>
                </w:p>
                <w:p>
                  <w:pPr>
                    <w:pStyle w:val="11"/>
                    <w:bidi w:val="0"/>
                  </w:pPr>
                  <w:r>
                    <w:t>排放</w:t>
                  </w:r>
                </w:p>
              </w:tc>
              <w:tc>
                <w:tcPr>
                  <w:tcW w:w="1604" w:type="dxa"/>
                  <w:vAlign w:val="center"/>
                </w:tcPr>
                <w:p>
                  <w:pPr>
                    <w:pStyle w:val="11"/>
                    <w:bidi w:val="0"/>
                  </w:pPr>
                  <w:r>
                    <w:t>DA001</w:t>
                  </w:r>
                </w:p>
                <w:p>
                  <w:pPr>
                    <w:pStyle w:val="11"/>
                    <w:bidi w:val="0"/>
                  </w:pPr>
                  <w:r>
                    <w:t>1#排气筒</w:t>
                  </w:r>
                </w:p>
              </w:tc>
              <w:tc>
                <w:tcPr>
                  <w:tcW w:w="1230" w:type="dxa"/>
                  <w:vAlign w:val="center"/>
                </w:tcPr>
                <w:p>
                  <w:pPr>
                    <w:pStyle w:val="11"/>
                    <w:bidi w:val="0"/>
                    <w:rPr>
                      <w:rFonts w:hint="eastAsia"/>
                      <w:lang w:val="en-US" w:eastAsia="zh-CN"/>
                    </w:rPr>
                  </w:pPr>
                  <w:r>
                    <w:rPr>
                      <w:rFonts w:hint="eastAsia"/>
                      <w:lang w:val="en-US" w:eastAsia="zh-CN"/>
                    </w:rPr>
                    <w:t>废气流量</w:t>
                  </w:r>
                </w:p>
                <w:p>
                  <w:pPr>
                    <w:pStyle w:val="11"/>
                    <w:bidi w:val="0"/>
                    <w:rPr>
                      <w:rFonts w:hint="eastAsia"/>
                      <w:lang w:val="en-US" w:eastAsia="zh-CN"/>
                    </w:rPr>
                  </w:pPr>
                  <w:r>
                    <w:rPr>
                      <w:rFonts w:hint="eastAsia"/>
                      <w:lang w:val="en-US" w:eastAsia="zh-CN"/>
                    </w:rPr>
                    <w:t>颗粒物</w:t>
                  </w:r>
                </w:p>
                <w:p>
                  <w:pPr>
                    <w:pStyle w:val="11"/>
                    <w:bidi w:val="0"/>
                    <w:rPr>
                      <w:rFonts w:hint="eastAsia"/>
                      <w:lang w:val="en-US" w:eastAsia="zh-CN"/>
                    </w:rPr>
                  </w:pPr>
                  <w:r>
                    <w:rPr>
                      <w:rFonts w:hint="eastAsia"/>
                      <w:lang w:val="en-US" w:eastAsia="zh-CN"/>
                    </w:rPr>
                    <w:t>硫化氢</w:t>
                  </w:r>
                </w:p>
                <w:p>
                  <w:pPr>
                    <w:pStyle w:val="11"/>
                    <w:bidi w:val="0"/>
                  </w:pPr>
                  <w:r>
                    <w:t>非甲烷总烃</w:t>
                  </w:r>
                </w:p>
              </w:tc>
              <w:tc>
                <w:tcPr>
                  <w:tcW w:w="810" w:type="dxa"/>
                  <w:vAlign w:val="center"/>
                </w:tcPr>
                <w:p>
                  <w:pPr>
                    <w:pStyle w:val="11"/>
                    <w:bidi w:val="0"/>
                  </w:pPr>
                  <w:r>
                    <w:t>1次/年</w:t>
                  </w:r>
                </w:p>
              </w:tc>
              <w:tc>
                <w:tcPr>
                  <w:tcW w:w="3848" w:type="dxa"/>
                  <w:vMerge w:val="restart"/>
                  <w:vAlign w:val="center"/>
                </w:tcPr>
                <w:p>
                  <w:pPr>
                    <w:pStyle w:val="11"/>
                    <w:bidi w:val="0"/>
                  </w:pPr>
                  <w:r>
                    <w:t>1、</w:t>
                  </w:r>
                  <w:r>
                    <w:rPr>
                      <w:rFonts w:hint="eastAsia"/>
                    </w:rPr>
                    <w:t>《橡胶制品工业污染物排放标准》（GB 27632-2011）</w:t>
                  </w:r>
                  <w:r>
                    <w:rPr>
                      <w:rFonts w:hint="eastAsia"/>
                      <w:lang w:val="en-US" w:eastAsia="zh-CN"/>
                    </w:rPr>
                    <w:t>表5</w:t>
                  </w:r>
                </w:p>
                <w:p>
                  <w:pPr>
                    <w:pStyle w:val="11"/>
                    <w:bidi w:val="0"/>
                    <w:rPr>
                      <w:rFonts w:hint="eastAsia"/>
                    </w:rPr>
                  </w:pPr>
                  <w:r>
                    <w:t>2、</w:t>
                  </w:r>
                  <w:r>
                    <w:rPr>
                      <w:rFonts w:hint="eastAsia"/>
                    </w:rPr>
                    <w:t>《恶臭污染物排放标准》</w:t>
                  </w:r>
                </w:p>
                <w:p>
                  <w:pPr>
                    <w:pStyle w:val="11"/>
                    <w:bidi w:val="0"/>
                  </w:pPr>
                  <w:r>
                    <w:rPr>
                      <w:rFonts w:hint="eastAsia"/>
                    </w:rPr>
                    <w:t>（GB14554-93）</w:t>
                  </w:r>
                </w:p>
                <w:p>
                  <w:pPr>
                    <w:pStyle w:val="11"/>
                    <w:bidi w:val="0"/>
                  </w:pPr>
                  <w:r>
                    <w:t>3、《关于全省开展工业企业挥发性有机物专项治理工作中排放建议值的通知》（豫环攻坚办〔2017〕162号）建议值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773" w:type="dxa"/>
                  <w:vMerge w:val="restart"/>
                  <w:vAlign w:val="center"/>
                </w:tcPr>
                <w:p>
                  <w:pPr>
                    <w:pStyle w:val="11"/>
                    <w:bidi w:val="0"/>
                  </w:pPr>
                  <w:r>
                    <w:t>无组织</w:t>
                  </w:r>
                </w:p>
                <w:p>
                  <w:pPr>
                    <w:pStyle w:val="11"/>
                    <w:bidi w:val="0"/>
                  </w:pPr>
                  <w:r>
                    <w:t>排放</w:t>
                  </w:r>
                </w:p>
              </w:tc>
              <w:tc>
                <w:tcPr>
                  <w:tcW w:w="1604" w:type="dxa"/>
                  <w:vAlign w:val="center"/>
                </w:tcPr>
                <w:p>
                  <w:pPr>
                    <w:pStyle w:val="11"/>
                    <w:bidi w:val="0"/>
                  </w:pPr>
                  <w:r>
                    <w:t>厂界上风向1个参照点，下风向3各监控点</w:t>
                  </w:r>
                </w:p>
              </w:tc>
              <w:tc>
                <w:tcPr>
                  <w:tcW w:w="1230" w:type="dxa"/>
                  <w:vAlign w:val="center"/>
                </w:tcPr>
                <w:p>
                  <w:pPr>
                    <w:pStyle w:val="11"/>
                    <w:bidi w:val="0"/>
                    <w:rPr>
                      <w:rFonts w:hint="eastAsia"/>
                      <w:lang w:val="en-US" w:eastAsia="zh-CN"/>
                    </w:rPr>
                  </w:pPr>
                  <w:r>
                    <w:rPr>
                      <w:rFonts w:hint="eastAsia"/>
                      <w:lang w:val="en-US" w:eastAsia="zh-CN"/>
                    </w:rPr>
                    <w:t>颗粒物</w:t>
                  </w:r>
                </w:p>
                <w:p>
                  <w:pPr>
                    <w:pStyle w:val="11"/>
                    <w:bidi w:val="0"/>
                    <w:rPr>
                      <w:rFonts w:hint="eastAsia"/>
                      <w:lang w:val="en-US" w:eastAsia="zh-CN"/>
                    </w:rPr>
                  </w:pPr>
                  <w:r>
                    <w:rPr>
                      <w:rFonts w:hint="eastAsia"/>
                      <w:lang w:val="en-US" w:eastAsia="zh-CN"/>
                    </w:rPr>
                    <w:t>硫化氢</w:t>
                  </w:r>
                </w:p>
                <w:p>
                  <w:pPr>
                    <w:pStyle w:val="11"/>
                    <w:bidi w:val="0"/>
                    <w:rPr>
                      <w:rFonts w:hint="eastAsia"/>
                      <w:lang w:val="en-US" w:eastAsia="zh-CN"/>
                    </w:rPr>
                  </w:pPr>
                  <w:r>
                    <w:t>非甲烷总烃</w:t>
                  </w:r>
                </w:p>
              </w:tc>
              <w:tc>
                <w:tcPr>
                  <w:tcW w:w="810" w:type="dxa"/>
                  <w:vAlign w:val="center"/>
                </w:tcPr>
                <w:p>
                  <w:pPr>
                    <w:pStyle w:val="11"/>
                    <w:bidi w:val="0"/>
                  </w:pPr>
                  <w:r>
                    <w:t>1次/年</w:t>
                  </w:r>
                </w:p>
              </w:tc>
              <w:tc>
                <w:tcPr>
                  <w:tcW w:w="3848" w:type="dxa"/>
                  <w:vMerge w:val="continue"/>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773" w:type="dxa"/>
                  <w:vMerge w:val="continue"/>
                  <w:vAlign w:val="center"/>
                </w:tcPr>
                <w:p>
                  <w:pPr>
                    <w:pStyle w:val="11"/>
                    <w:bidi w:val="0"/>
                  </w:pPr>
                </w:p>
              </w:tc>
              <w:tc>
                <w:tcPr>
                  <w:tcW w:w="1604" w:type="dxa"/>
                  <w:vAlign w:val="center"/>
                </w:tcPr>
                <w:p>
                  <w:pPr>
                    <w:pStyle w:val="11"/>
                    <w:bidi w:val="0"/>
                  </w:pPr>
                  <w:r>
                    <w:t>厂区内任意监控点（建议车间门口或窗口外3m）</w:t>
                  </w:r>
                </w:p>
              </w:tc>
              <w:tc>
                <w:tcPr>
                  <w:tcW w:w="1230" w:type="dxa"/>
                  <w:vAlign w:val="center"/>
                </w:tcPr>
                <w:p>
                  <w:pPr>
                    <w:pStyle w:val="11"/>
                    <w:bidi w:val="0"/>
                  </w:pPr>
                  <w:r>
                    <w:t>非甲烷总烃</w:t>
                  </w:r>
                </w:p>
              </w:tc>
              <w:tc>
                <w:tcPr>
                  <w:tcW w:w="810" w:type="dxa"/>
                  <w:vAlign w:val="center"/>
                </w:tcPr>
                <w:p>
                  <w:pPr>
                    <w:pStyle w:val="11"/>
                    <w:bidi w:val="0"/>
                  </w:pPr>
                  <w:r>
                    <w:t>1次/年</w:t>
                  </w:r>
                </w:p>
              </w:tc>
              <w:tc>
                <w:tcPr>
                  <w:tcW w:w="3848" w:type="dxa"/>
                  <w:vAlign w:val="center"/>
                </w:tcPr>
                <w:p>
                  <w:pPr>
                    <w:pStyle w:val="11"/>
                    <w:bidi w:val="0"/>
                  </w:pPr>
                  <w:r>
                    <w:t>《挥发性有机物无组织排放控制标准》（GB37822-2019）</w:t>
                  </w:r>
                </w:p>
              </w:tc>
            </w:tr>
          </w:tbl>
          <w:p>
            <w:pPr>
              <w:pStyle w:val="12"/>
              <w:widowControl w:val="0"/>
              <w:bidi w:val="0"/>
            </w:pPr>
            <w:r>
              <w:t>表4-1</w:t>
            </w:r>
            <w:r>
              <w:rPr>
                <w:rFonts w:hint="eastAsia"/>
                <w:lang w:val="en-US" w:eastAsia="zh-CN"/>
              </w:rPr>
              <w:t>2</w:t>
            </w:r>
            <w:r>
              <w:t xml:space="preserve"> </w:t>
            </w:r>
            <w:r>
              <w:rPr>
                <w:rFonts w:hint="eastAsia"/>
                <w:lang w:val="en-US" w:eastAsia="zh-CN"/>
              </w:rPr>
              <w:t xml:space="preserve"> </w:t>
            </w:r>
            <w:r>
              <w:t xml:space="preserve"> 项目厂界噪声例行监测方案</w:t>
            </w:r>
          </w:p>
          <w:tbl>
            <w:tblPr>
              <w:tblStyle w:val="9"/>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46"/>
              <w:gridCol w:w="1517"/>
              <w:gridCol w:w="1496"/>
              <w:gridCol w:w="32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7" w:type="pct"/>
                  <w:vAlign w:val="center"/>
                </w:tcPr>
                <w:p>
                  <w:pPr>
                    <w:pStyle w:val="11"/>
                    <w:bidi w:val="0"/>
                  </w:pPr>
                  <w:r>
                    <w:t>监测点位</w:t>
                  </w:r>
                </w:p>
              </w:tc>
              <w:tc>
                <w:tcPr>
                  <w:tcW w:w="917" w:type="pct"/>
                  <w:vAlign w:val="center"/>
                </w:tcPr>
                <w:p>
                  <w:pPr>
                    <w:pStyle w:val="11"/>
                    <w:bidi w:val="0"/>
                  </w:pPr>
                  <w:r>
                    <w:t>监测内容</w:t>
                  </w:r>
                </w:p>
              </w:tc>
              <w:tc>
                <w:tcPr>
                  <w:tcW w:w="904" w:type="pct"/>
                  <w:vAlign w:val="center"/>
                </w:tcPr>
                <w:p>
                  <w:pPr>
                    <w:pStyle w:val="11"/>
                    <w:bidi w:val="0"/>
                  </w:pPr>
                  <w:r>
                    <w:t>监测频次</w:t>
                  </w:r>
                </w:p>
              </w:tc>
              <w:tc>
                <w:tcPr>
                  <w:tcW w:w="1941" w:type="pct"/>
                  <w:vAlign w:val="center"/>
                </w:tcPr>
                <w:p>
                  <w:pPr>
                    <w:pStyle w:val="11"/>
                    <w:bidi w:val="0"/>
                  </w:pPr>
                  <w: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237" w:type="pct"/>
                  <w:vAlign w:val="center"/>
                </w:tcPr>
                <w:p>
                  <w:pPr>
                    <w:pStyle w:val="11"/>
                    <w:bidi w:val="0"/>
                  </w:pPr>
                  <w:r>
                    <w:t>四厂界各一个点位</w:t>
                  </w:r>
                </w:p>
              </w:tc>
              <w:tc>
                <w:tcPr>
                  <w:tcW w:w="917" w:type="pct"/>
                  <w:vAlign w:val="center"/>
                </w:tcPr>
                <w:p>
                  <w:pPr>
                    <w:pStyle w:val="11"/>
                    <w:bidi w:val="0"/>
                  </w:pPr>
                  <w:r>
                    <w:t>噪声</w:t>
                  </w:r>
                </w:p>
              </w:tc>
              <w:tc>
                <w:tcPr>
                  <w:tcW w:w="904" w:type="pct"/>
                  <w:vAlign w:val="center"/>
                </w:tcPr>
                <w:p>
                  <w:pPr>
                    <w:pStyle w:val="11"/>
                    <w:bidi w:val="0"/>
                  </w:pPr>
                  <w:r>
                    <w:t>1次/季度</w:t>
                  </w:r>
                </w:p>
              </w:tc>
              <w:tc>
                <w:tcPr>
                  <w:tcW w:w="1941" w:type="pct"/>
                  <w:vAlign w:val="center"/>
                </w:tcPr>
                <w:p>
                  <w:pPr>
                    <w:pStyle w:val="11"/>
                    <w:bidi w:val="0"/>
                  </w:pPr>
                  <w:r>
                    <w:t>《工业企业厂界环境噪声排放标准》（GB12348-2008）2类标准</w:t>
                  </w:r>
                </w:p>
              </w:tc>
            </w:tr>
          </w:tbl>
          <w:p>
            <w:pPr>
              <w:bidi w:val="0"/>
              <w:rPr>
                <w:rFonts w:hint="eastAsia"/>
                <w:color w:val="auto"/>
              </w:rPr>
            </w:pPr>
            <w:bookmarkStart w:id="1" w:name="_GoBack"/>
            <w:r>
              <w:rPr>
                <w:rFonts w:hint="eastAsia"/>
                <w:color w:val="auto"/>
                <w:lang w:val="en-US" w:eastAsia="zh-CN"/>
              </w:rPr>
              <w:t>根据</w:t>
            </w:r>
            <w:r>
              <w:rPr>
                <w:rFonts w:hint="eastAsia"/>
                <w:color w:val="auto"/>
              </w:rPr>
              <w:t>《橡胶制品工业污染物排放标准》（GB 27632-2011）</w:t>
            </w:r>
            <w:r>
              <w:rPr>
                <w:rFonts w:hint="eastAsia"/>
                <w:color w:val="auto"/>
                <w:lang w:val="en-US" w:eastAsia="zh-CN"/>
              </w:rPr>
              <w:t>要求，有组织废气例行监测时应统计当天的</w:t>
            </w:r>
            <w:r>
              <w:rPr>
                <w:rFonts w:hint="eastAsia"/>
                <w:color w:val="auto"/>
              </w:rPr>
              <w:t>胶料消耗量和排气量</w:t>
            </w:r>
            <w:r>
              <w:rPr>
                <w:rFonts w:hint="eastAsia"/>
                <w:color w:val="auto"/>
                <w:lang w:eastAsia="zh-CN"/>
              </w:rPr>
              <w:t>，</w:t>
            </w:r>
            <w:r>
              <w:rPr>
                <w:rFonts w:hint="eastAsia"/>
                <w:color w:val="auto"/>
                <w:lang w:val="en-US" w:eastAsia="zh-CN"/>
              </w:rPr>
              <w:t>对比</w:t>
            </w:r>
            <w:r>
              <w:rPr>
                <w:rFonts w:hint="eastAsia"/>
                <w:color w:val="auto"/>
              </w:rPr>
              <w:t>基准排气量指标，若单位胶料实际排气量超过单位胶料基准排气量，须将实测大气污染物浓度换算为大气污染物基准气量排放浓度，并以大气污染物基准气量排放浓度作为判定排放是否达标的依据。</w:t>
            </w:r>
          </w:p>
          <w:bookmarkEnd w:id="1"/>
          <w:p>
            <w:pPr>
              <w:pStyle w:val="4"/>
              <w:bidi w:val="0"/>
            </w:pPr>
            <w:r>
              <w:rPr>
                <w:rFonts w:hint="eastAsia"/>
              </w:rPr>
              <w:t>8、环境风险分析</w:t>
            </w:r>
          </w:p>
          <w:p>
            <w:pPr>
              <w:bidi w:val="0"/>
            </w:pPr>
            <w:r>
              <w:rPr>
                <w:rFonts w:hint="eastAsia"/>
              </w:rPr>
              <w:t>环境风险评价（ERA）是指对人类的各种开发行为所引发的或面临的危害、对人体健康、社会经济发展、生态系统等所造成的风险可能带来的损失进行评估，并据此进行管理和决策的过程。工程项目在建设运行过程中往往伴有突发性事故，这些突发行事故具有偶然性，这种偶然性常会给人身健康和周围环境带来严重的影响。环境风险评价对于有效防范风险事故的发生，采取安全的应急措施起到非常重要的作用。</w:t>
            </w:r>
          </w:p>
          <w:p>
            <w:pPr>
              <w:bidi w:val="0"/>
              <w:rPr>
                <w:b/>
                <w:bCs/>
              </w:rPr>
            </w:pPr>
            <w:r>
              <w:rPr>
                <w:rFonts w:hint="eastAsia"/>
                <w:b/>
                <w:bCs/>
                <w:lang w:val="en-US" w:eastAsia="zh-CN"/>
              </w:rPr>
              <w:t xml:space="preserve">8.1 </w:t>
            </w:r>
            <w:r>
              <w:rPr>
                <w:rFonts w:hint="eastAsia"/>
                <w:b/>
                <w:bCs/>
              </w:rPr>
              <w:t>风险识别及等级判定</w:t>
            </w:r>
          </w:p>
          <w:p>
            <w:pPr>
              <w:bidi w:val="0"/>
            </w:pPr>
            <w:r>
              <w:rPr>
                <w:rFonts w:hint="eastAsia"/>
              </w:rPr>
              <w:t>①危险物质数量与临界量比值Q</w:t>
            </w:r>
          </w:p>
          <w:p>
            <w:pPr>
              <w:bidi w:val="0"/>
              <w:rPr>
                <w:rFonts w:hint="eastAsia"/>
              </w:rPr>
            </w:pPr>
            <w:r>
              <w:rPr>
                <w:rFonts w:hint="eastAsia"/>
              </w:rPr>
              <w:t>根据《建设项目环境风险评价技术导则》（H</w:t>
            </w:r>
            <w:r>
              <w:t>J169-2018</w:t>
            </w:r>
            <w:r>
              <w:rPr>
                <w:rFonts w:hint="eastAsia"/>
              </w:rPr>
              <w:t>）附录B，本项目涉及的危险物质主要为</w:t>
            </w:r>
            <w:r>
              <w:rPr>
                <w:rFonts w:hint="eastAsia"/>
                <w:lang w:eastAsia="zh-CN"/>
              </w:rPr>
              <w:t>废液压油</w:t>
            </w:r>
            <w:r>
              <w:rPr>
                <w:rFonts w:hint="eastAsia"/>
              </w:rPr>
              <w:t>，在危废暂存间液态形式储存。主要危险物质和风险源分布具体见表</w:t>
            </w:r>
            <w:r>
              <w:rPr>
                <w:rFonts w:hint="eastAsia"/>
                <w:lang w:val="en-US" w:eastAsia="zh-CN"/>
              </w:rPr>
              <w:t>4-13</w:t>
            </w:r>
            <w:r>
              <w:rPr>
                <w:rFonts w:hint="eastAsia"/>
              </w:rPr>
              <w:t>。</w:t>
            </w:r>
          </w:p>
          <w:p>
            <w:pPr>
              <w:pStyle w:val="12"/>
              <w:widowControl w:val="0"/>
              <w:bidi w:val="0"/>
              <w:rPr>
                <w:rFonts w:hint="default"/>
                <w:lang w:val="en-US" w:eastAsia="zh-CN"/>
              </w:rPr>
            </w:pPr>
            <w:r>
              <w:rPr>
                <w:rFonts w:hint="eastAsia"/>
                <w:lang w:val="en-US" w:eastAsia="zh-CN"/>
              </w:rPr>
              <w:t>表4-13   本项目主要危险物质和风险源分布一览表</w:t>
            </w:r>
          </w:p>
          <w:tbl>
            <w:tblPr>
              <w:tblStyle w:val="9"/>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1" w:type="dxa"/>
                <w:bottom w:w="0" w:type="dxa"/>
                <w:right w:w="51" w:type="dxa"/>
              </w:tblCellMar>
            </w:tblPr>
            <w:tblGrid>
              <w:gridCol w:w="534"/>
              <w:gridCol w:w="1180"/>
              <w:gridCol w:w="1210"/>
              <w:gridCol w:w="1032"/>
              <w:gridCol w:w="987"/>
              <w:gridCol w:w="1018"/>
              <w:gridCol w:w="779"/>
              <w:gridCol w:w="825"/>
              <w:gridCol w:w="7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535" w:type="dxa"/>
                  <w:vAlign w:val="center"/>
                </w:tcPr>
                <w:p>
                  <w:pPr>
                    <w:pStyle w:val="11"/>
                    <w:bidi w:val="0"/>
                    <w:jc w:val="center"/>
                    <w:rPr>
                      <w:rFonts w:hint="eastAsia"/>
                      <w:lang w:val="en-US" w:eastAsia="zh-CN"/>
                    </w:rPr>
                  </w:pPr>
                  <w:r>
                    <w:rPr>
                      <w:rFonts w:hint="eastAsia"/>
                      <w:lang w:val="en-US" w:eastAsia="zh-CN"/>
                    </w:rPr>
                    <w:t>序号</w:t>
                  </w:r>
                </w:p>
              </w:tc>
              <w:tc>
                <w:tcPr>
                  <w:tcW w:w="1185" w:type="dxa"/>
                  <w:vAlign w:val="center"/>
                </w:tcPr>
                <w:p>
                  <w:pPr>
                    <w:pStyle w:val="11"/>
                    <w:bidi w:val="0"/>
                    <w:jc w:val="center"/>
                    <w:rPr>
                      <w:rFonts w:hint="eastAsia"/>
                      <w:lang w:val="en-US" w:eastAsia="zh-CN"/>
                    </w:rPr>
                  </w:pPr>
                  <w:r>
                    <w:rPr>
                      <w:rFonts w:hint="eastAsia"/>
                      <w:lang w:val="en-US" w:eastAsia="zh-CN"/>
                    </w:rPr>
                    <w:t>危险物</w:t>
                  </w:r>
                </w:p>
                <w:p>
                  <w:pPr>
                    <w:pStyle w:val="11"/>
                    <w:bidi w:val="0"/>
                    <w:jc w:val="center"/>
                    <w:rPr>
                      <w:rFonts w:hint="eastAsia"/>
                      <w:lang w:val="en-US" w:eastAsia="zh-CN"/>
                    </w:rPr>
                  </w:pPr>
                  <w:r>
                    <w:rPr>
                      <w:rFonts w:hint="eastAsia"/>
                      <w:lang w:val="en-US" w:eastAsia="zh-CN"/>
                    </w:rPr>
                    <w:t>质名称</w:t>
                  </w:r>
                </w:p>
              </w:tc>
              <w:tc>
                <w:tcPr>
                  <w:tcW w:w="1215" w:type="dxa"/>
                  <w:vAlign w:val="center"/>
                </w:tcPr>
                <w:p>
                  <w:pPr>
                    <w:pStyle w:val="11"/>
                    <w:bidi w:val="0"/>
                    <w:jc w:val="center"/>
                    <w:rPr>
                      <w:rFonts w:hint="eastAsia"/>
                      <w:lang w:val="en-US" w:eastAsia="zh-CN"/>
                    </w:rPr>
                  </w:pPr>
                  <w:r>
                    <w:rPr>
                      <w:rFonts w:hint="eastAsia"/>
                      <w:lang w:val="en-US" w:eastAsia="zh-CN"/>
                    </w:rPr>
                    <w:t>分布情况</w:t>
                  </w:r>
                </w:p>
              </w:tc>
              <w:tc>
                <w:tcPr>
                  <w:tcW w:w="1035" w:type="dxa"/>
                  <w:vAlign w:val="center"/>
                </w:tcPr>
                <w:p>
                  <w:pPr>
                    <w:pStyle w:val="11"/>
                    <w:bidi w:val="0"/>
                    <w:jc w:val="center"/>
                    <w:rPr>
                      <w:rFonts w:hint="default"/>
                      <w:lang w:val="en-US" w:eastAsia="zh-CN"/>
                    </w:rPr>
                  </w:pPr>
                  <w:r>
                    <w:rPr>
                      <w:rFonts w:hint="eastAsia"/>
                      <w:lang w:val="en-US" w:eastAsia="zh-CN"/>
                    </w:rPr>
                    <w:t>CAS号</w:t>
                  </w:r>
                </w:p>
              </w:tc>
              <w:tc>
                <w:tcPr>
                  <w:tcW w:w="990" w:type="dxa"/>
                  <w:vAlign w:val="center"/>
                </w:tcPr>
                <w:p>
                  <w:pPr>
                    <w:pStyle w:val="11"/>
                    <w:bidi w:val="0"/>
                    <w:jc w:val="center"/>
                    <w:rPr>
                      <w:rFonts w:hint="eastAsia"/>
                      <w:lang w:val="en-US" w:eastAsia="zh-CN"/>
                    </w:rPr>
                  </w:pPr>
                  <w:r>
                    <w:rPr>
                      <w:rFonts w:hint="eastAsia"/>
                      <w:lang w:val="en-US" w:eastAsia="zh-CN"/>
                    </w:rPr>
                    <w:t>危险特性</w:t>
                  </w:r>
                </w:p>
              </w:tc>
              <w:tc>
                <w:tcPr>
                  <w:tcW w:w="1020" w:type="dxa"/>
                  <w:vAlign w:val="center"/>
                </w:tcPr>
                <w:p>
                  <w:pPr>
                    <w:pStyle w:val="11"/>
                    <w:bidi w:val="0"/>
                    <w:jc w:val="center"/>
                    <w:rPr>
                      <w:rFonts w:hint="eastAsia"/>
                      <w:lang w:val="en-US" w:eastAsia="zh-CN"/>
                    </w:rPr>
                  </w:pPr>
                  <w:r>
                    <w:rPr>
                      <w:rFonts w:hint="eastAsia"/>
                      <w:lang w:val="en-US" w:eastAsia="zh-CN"/>
                    </w:rPr>
                    <w:t>最大一次储存量（t）</w:t>
                  </w:r>
                </w:p>
              </w:tc>
              <w:tc>
                <w:tcPr>
                  <w:tcW w:w="780" w:type="dxa"/>
                  <w:vAlign w:val="center"/>
                </w:tcPr>
                <w:p>
                  <w:pPr>
                    <w:pStyle w:val="11"/>
                    <w:bidi w:val="0"/>
                    <w:jc w:val="center"/>
                    <w:rPr>
                      <w:rFonts w:hint="eastAsia"/>
                      <w:lang w:val="en-US" w:eastAsia="zh-CN"/>
                    </w:rPr>
                  </w:pPr>
                  <w:r>
                    <w:rPr>
                      <w:rFonts w:hint="eastAsia"/>
                      <w:lang w:val="en-US" w:eastAsia="zh-CN"/>
                    </w:rPr>
                    <w:t>临界量</w:t>
                  </w:r>
                </w:p>
                <w:p>
                  <w:pPr>
                    <w:pStyle w:val="11"/>
                    <w:bidi w:val="0"/>
                    <w:jc w:val="center"/>
                    <w:rPr>
                      <w:rFonts w:hint="eastAsia"/>
                      <w:lang w:val="en-US" w:eastAsia="zh-CN"/>
                    </w:rPr>
                  </w:pPr>
                  <w:r>
                    <w:rPr>
                      <w:rFonts w:hint="eastAsia"/>
                      <w:lang w:val="en-US" w:eastAsia="zh-CN"/>
                    </w:rPr>
                    <w:t>（t）</w:t>
                  </w:r>
                </w:p>
              </w:tc>
              <w:tc>
                <w:tcPr>
                  <w:tcW w:w="825" w:type="dxa"/>
                  <w:vAlign w:val="center"/>
                </w:tcPr>
                <w:p>
                  <w:pPr>
                    <w:pStyle w:val="11"/>
                    <w:bidi w:val="0"/>
                    <w:jc w:val="center"/>
                    <w:rPr>
                      <w:rFonts w:hint="eastAsia"/>
                      <w:lang w:eastAsia="zh-CN"/>
                    </w:rPr>
                  </w:pPr>
                  <w:r>
                    <w:rPr>
                      <w:rFonts w:hint="default"/>
                      <w:lang w:eastAsia="zh-CN"/>
                    </w:rPr>
                    <w:t>∑</w:t>
                  </w:r>
                  <w:r>
                    <w:rPr>
                      <w:rFonts w:hint="eastAsia"/>
                      <w:lang w:eastAsia="zh-CN"/>
                    </w:rPr>
                    <w:t>q</w:t>
                  </w:r>
                  <w:r>
                    <w:rPr>
                      <w:rFonts w:hint="eastAsia"/>
                      <w:vertAlign w:val="subscript"/>
                      <w:lang w:eastAsia="zh-CN"/>
                    </w:rPr>
                    <w:t>n</w:t>
                  </w:r>
                  <w:r>
                    <w:rPr>
                      <w:rFonts w:hint="eastAsia"/>
                      <w:lang w:eastAsia="zh-CN"/>
                    </w:rPr>
                    <w:t>/Q</w:t>
                  </w:r>
                  <w:r>
                    <w:rPr>
                      <w:rFonts w:hint="eastAsia"/>
                      <w:vertAlign w:val="subscript"/>
                      <w:lang w:eastAsia="zh-CN"/>
                    </w:rPr>
                    <w:t>n</w:t>
                  </w:r>
                </w:p>
              </w:tc>
              <w:tc>
                <w:tcPr>
                  <w:tcW w:w="702" w:type="dxa"/>
                  <w:vAlign w:val="center"/>
                </w:tcPr>
                <w:p>
                  <w:pPr>
                    <w:pStyle w:val="11"/>
                    <w:bidi w:val="0"/>
                    <w:jc w:val="center"/>
                    <w:rPr>
                      <w:rFonts w:hint="eastAsia"/>
                      <w:lang w:val="en-US" w:eastAsia="zh-CN"/>
                    </w:rPr>
                  </w:pPr>
                  <w:r>
                    <w:rPr>
                      <w:rFonts w:hint="eastAsia"/>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535" w:type="dxa"/>
                  <w:vAlign w:val="center"/>
                </w:tcPr>
                <w:p>
                  <w:pPr>
                    <w:pStyle w:val="11"/>
                    <w:bidi w:val="0"/>
                    <w:jc w:val="center"/>
                    <w:rPr>
                      <w:rFonts w:hint="eastAsia"/>
                      <w:lang w:val="en-US" w:eastAsia="zh-CN"/>
                    </w:rPr>
                  </w:pPr>
                  <w:r>
                    <w:rPr>
                      <w:rFonts w:hint="eastAsia"/>
                      <w:lang w:val="en-US" w:eastAsia="zh-CN"/>
                    </w:rPr>
                    <w:t>1</w:t>
                  </w:r>
                </w:p>
              </w:tc>
              <w:tc>
                <w:tcPr>
                  <w:tcW w:w="1185" w:type="dxa"/>
                  <w:vAlign w:val="center"/>
                </w:tcPr>
                <w:p>
                  <w:pPr>
                    <w:pStyle w:val="11"/>
                    <w:bidi w:val="0"/>
                    <w:jc w:val="center"/>
                    <w:rPr>
                      <w:rFonts w:hint="eastAsia"/>
                      <w:lang w:val="en-US" w:eastAsia="zh-CN"/>
                    </w:rPr>
                  </w:pPr>
                  <w:r>
                    <w:rPr>
                      <w:rFonts w:hint="eastAsia"/>
                      <w:lang w:val="en-US" w:eastAsia="zh-CN"/>
                    </w:rPr>
                    <w:t>废液压油</w:t>
                  </w:r>
                </w:p>
              </w:tc>
              <w:tc>
                <w:tcPr>
                  <w:tcW w:w="1215" w:type="dxa"/>
                  <w:vAlign w:val="center"/>
                </w:tcPr>
                <w:p>
                  <w:pPr>
                    <w:pStyle w:val="11"/>
                    <w:bidi w:val="0"/>
                    <w:jc w:val="center"/>
                    <w:rPr>
                      <w:rFonts w:hint="eastAsia"/>
                    </w:rPr>
                  </w:pPr>
                  <w:r>
                    <w:rPr>
                      <w:rFonts w:hint="eastAsia"/>
                    </w:rPr>
                    <w:t>危废暂存间</w:t>
                  </w:r>
                </w:p>
              </w:tc>
              <w:tc>
                <w:tcPr>
                  <w:tcW w:w="1035" w:type="dxa"/>
                  <w:vAlign w:val="center"/>
                </w:tcPr>
                <w:p>
                  <w:pPr>
                    <w:pStyle w:val="11"/>
                    <w:bidi w:val="0"/>
                    <w:jc w:val="center"/>
                    <w:rPr>
                      <w:rFonts w:hint="eastAsia"/>
                      <w:lang w:val="en-US" w:eastAsia="zh-CN"/>
                    </w:rPr>
                  </w:pPr>
                  <w:r>
                    <w:rPr>
                      <w:rFonts w:hint="eastAsia"/>
                      <w:lang w:val="en-US" w:eastAsia="zh-CN"/>
                    </w:rPr>
                    <w:t>/</w:t>
                  </w:r>
                </w:p>
              </w:tc>
              <w:tc>
                <w:tcPr>
                  <w:tcW w:w="990" w:type="dxa"/>
                  <w:vAlign w:val="center"/>
                </w:tcPr>
                <w:p>
                  <w:pPr>
                    <w:pStyle w:val="11"/>
                    <w:bidi w:val="0"/>
                    <w:jc w:val="center"/>
                    <w:rPr>
                      <w:rFonts w:hint="eastAsia"/>
                    </w:rPr>
                  </w:pPr>
                  <w:r>
                    <w:rPr>
                      <w:rFonts w:hint="eastAsia"/>
                    </w:rPr>
                    <w:t>遇明火、高热可燃</w:t>
                  </w:r>
                </w:p>
              </w:tc>
              <w:tc>
                <w:tcPr>
                  <w:tcW w:w="1020" w:type="dxa"/>
                  <w:vAlign w:val="center"/>
                </w:tcPr>
                <w:p>
                  <w:pPr>
                    <w:pStyle w:val="11"/>
                    <w:bidi w:val="0"/>
                    <w:jc w:val="center"/>
                    <w:rPr>
                      <w:rFonts w:hint="eastAsia"/>
                    </w:rPr>
                  </w:pPr>
                  <w:r>
                    <w:rPr>
                      <w:rFonts w:hint="eastAsia"/>
                      <w:lang w:val="en-US" w:eastAsia="zh-CN"/>
                    </w:rPr>
                    <w:t>0.05</w:t>
                  </w:r>
                </w:p>
              </w:tc>
              <w:tc>
                <w:tcPr>
                  <w:tcW w:w="780" w:type="dxa"/>
                  <w:vAlign w:val="center"/>
                </w:tcPr>
                <w:p>
                  <w:pPr>
                    <w:pStyle w:val="11"/>
                    <w:bidi w:val="0"/>
                    <w:jc w:val="center"/>
                    <w:rPr>
                      <w:rFonts w:hint="default"/>
                      <w:lang w:val="en-US" w:eastAsia="zh-CN"/>
                    </w:rPr>
                  </w:pPr>
                  <w:r>
                    <w:rPr>
                      <w:rFonts w:hint="eastAsia"/>
                      <w:lang w:val="en-US" w:eastAsia="zh-CN"/>
                    </w:rPr>
                    <w:t>2500</w:t>
                  </w:r>
                </w:p>
              </w:tc>
              <w:tc>
                <w:tcPr>
                  <w:tcW w:w="825" w:type="dxa"/>
                  <w:vAlign w:val="center"/>
                </w:tcPr>
                <w:p>
                  <w:pPr>
                    <w:pStyle w:val="11"/>
                    <w:bidi w:val="0"/>
                    <w:jc w:val="center"/>
                    <w:rPr>
                      <w:rFonts w:hint="default"/>
                      <w:lang w:val="en-US" w:eastAsia="zh-CN"/>
                    </w:rPr>
                  </w:pPr>
                  <w:r>
                    <w:rPr>
                      <w:rFonts w:hint="eastAsia"/>
                      <w:lang w:val="en-US" w:eastAsia="zh-CN"/>
                    </w:rPr>
                    <w:t>0.00002</w:t>
                  </w:r>
                </w:p>
              </w:tc>
              <w:tc>
                <w:tcPr>
                  <w:tcW w:w="702" w:type="dxa"/>
                  <w:vAlign w:val="center"/>
                </w:tcPr>
                <w:p>
                  <w:pPr>
                    <w:pStyle w:val="11"/>
                    <w:bidi w:val="0"/>
                    <w:jc w:val="center"/>
                    <w:rPr>
                      <w:rFonts w:hint="eastAsia"/>
                      <w:lang w:val="en-US" w:eastAsia="zh-CN"/>
                    </w:rPr>
                  </w:pPr>
                  <w:r>
                    <w:rPr>
                      <w:rFonts w:hint="eastAsia"/>
                      <w:lang w:val="en-US" w:eastAsia="zh-CN"/>
                    </w:rPr>
                    <w:t>危险废物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c>
                <w:tcPr>
                  <w:tcW w:w="8287" w:type="dxa"/>
                  <w:gridSpan w:val="9"/>
                  <w:vAlign w:val="center"/>
                </w:tcPr>
                <w:p>
                  <w:pPr>
                    <w:pStyle w:val="11"/>
                    <w:bidi w:val="0"/>
                    <w:ind w:firstLine="420" w:firstLineChars="200"/>
                    <w:jc w:val="both"/>
                    <w:rPr>
                      <w:rFonts w:hint="eastAsia"/>
                    </w:rPr>
                  </w:pPr>
                  <w:r>
                    <w:rPr>
                      <w:rFonts w:hint="eastAsia"/>
                    </w:rPr>
                    <w:t>本项目厂区危险物质数量与临界量的比值（Q）：</w:t>
                  </w:r>
                  <w:r>
                    <w:rPr>
                      <w:rFonts w:hint="default"/>
                    </w:rPr>
                    <w:t>∑</w:t>
                  </w:r>
                  <w:r>
                    <w:rPr>
                      <w:rFonts w:hint="eastAsia"/>
                    </w:rPr>
                    <w:t>q</w:t>
                  </w:r>
                  <w:r>
                    <w:rPr>
                      <w:rFonts w:hint="eastAsia"/>
                      <w:vertAlign w:val="subscript"/>
                    </w:rPr>
                    <w:t>n</w:t>
                  </w:r>
                  <w:r>
                    <w:rPr>
                      <w:rFonts w:hint="eastAsia"/>
                    </w:rPr>
                    <w:t>/Q</w:t>
                  </w:r>
                  <w:r>
                    <w:rPr>
                      <w:rFonts w:hint="eastAsia"/>
                      <w:vertAlign w:val="subscript"/>
                    </w:rPr>
                    <w:t>n</w:t>
                  </w:r>
                  <w:r>
                    <w:rPr>
                      <w:rFonts w:hint="eastAsia"/>
                    </w:rPr>
                    <w:t>=0.000</w:t>
                  </w:r>
                  <w:r>
                    <w:rPr>
                      <w:rFonts w:hint="eastAsia"/>
                      <w:lang w:val="en-US" w:eastAsia="zh-CN"/>
                    </w:rPr>
                    <w:t>02</w:t>
                  </w:r>
                  <w:r>
                    <w:rPr>
                      <w:rFonts w:hint="eastAsia"/>
                    </w:rPr>
                    <w:t>&lt;1，根据《建设项目环境风险评价技术导则》（HJ169-2018）附录C，环境风险潜势为I。</w:t>
                  </w:r>
                </w:p>
              </w:tc>
            </w:tr>
          </w:tbl>
          <w:p>
            <w:pPr>
              <w:bidi w:val="0"/>
            </w:pPr>
            <w:r>
              <w:rPr>
                <w:rFonts w:hint="eastAsia"/>
              </w:rPr>
              <w:t>②建设项目风险潜势</w:t>
            </w:r>
          </w:p>
          <w:p>
            <w:pPr>
              <w:bidi w:val="0"/>
              <w:rPr>
                <w:rFonts w:hint="eastAsia"/>
              </w:rPr>
            </w:pPr>
            <w:r>
              <w:rPr>
                <w:rFonts w:hint="eastAsia"/>
              </w:rPr>
              <w:t>根据《建设项目环境风险评价技术导则》（HJ169-2018），建设项目Q&lt;</w:t>
            </w:r>
            <w:r>
              <w:t>1</w:t>
            </w:r>
            <w:r>
              <w:rPr>
                <w:rFonts w:hint="eastAsia"/>
              </w:rPr>
              <w:t>，项目环境风险潜势为I级，可开展简单分析。</w:t>
            </w:r>
          </w:p>
          <w:p>
            <w:pPr>
              <w:bidi w:val="0"/>
              <w:rPr>
                <w:b/>
                <w:bCs/>
              </w:rPr>
            </w:pPr>
            <w:r>
              <w:rPr>
                <w:rFonts w:hint="eastAsia"/>
                <w:b/>
                <w:bCs/>
                <w:lang w:val="en-US" w:eastAsia="zh-CN"/>
              </w:rPr>
              <w:t xml:space="preserve">8.2 </w:t>
            </w:r>
            <w:r>
              <w:rPr>
                <w:rFonts w:hint="eastAsia"/>
                <w:b/>
                <w:bCs/>
              </w:rPr>
              <w:t>环境影响途径及危害后果</w:t>
            </w:r>
          </w:p>
          <w:p>
            <w:pPr>
              <w:bidi w:val="0"/>
              <w:rPr>
                <w:rFonts w:hint="eastAsia"/>
              </w:rPr>
            </w:pPr>
            <w:r>
              <w:rPr>
                <w:rFonts w:hint="eastAsia"/>
              </w:rPr>
              <w:t>本项目潜在事故类型主要为泄露、火灾、爆炸，本项目环境风险环境影响途径及危害后果见表</w:t>
            </w:r>
            <w:r>
              <w:rPr>
                <w:rFonts w:hint="eastAsia"/>
                <w:lang w:val="en-US" w:eastAsia="zh-CN"/>
              </w:rPr>
              <w:t>4-14</w:t>
            </w:r>
            <w:r>
              <w:rPr>
                <w:rFonts w:hint="eastAsia"/>
              </w:rPr>
              <w:t>。</w:t>
            </w:r>
          </w:p>
          <w:p>
            <w:pPr>
              <w:pStyle w:val="12"/>
              <w:widowControl w:val="0"/>
              <w:bidi w:val="0"/>
              <w:rPr>
                <w:rFonts w:hint="default"/>
                <w:lang w:val="en-US" w:eastAsia="zh-CN"/>
              </w:rPr>
            </w:pPr>
            <w:r>
              <w:rPr>
                <w:rFonts w:hint="eastAsia"/>
                <w:lang w:val="en-US" w:eastAsia="zh-CN"/>
              </w:rPr>
              <w:t>表4-14   环境风险环境影响途径及危害后果</w:t>
            </w:r>
          </w:p>
          <w:tbl>
            <w:tblPr>
              <w:tblStyle w:val="9"/>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1122"/>
              <w:gridCol w:w="1287"/>
              <w:gridCol w:w="1586"/>
              <w:gridCol w:w="1122"/>
              <w:gridCol w:w="20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pStyle w:val="11"/>
                    <w:bidi w:val="0"/>
                    <w:jc w:val="center"/>
                    <w:rPr>
                      <w:rFonts w:hint="eastAsia"/>
                    </w:rPr>
                  </w:pPr>
                  <w:r>
                    <w:rPr>
                      <w:rFonts w:hint="eastAsia"/>
                    </w:rPr>
                    <w:t>功能单元</w:t>
                  </w:r>
                </w:p>
              </w:tc>
              <w:tc>
                <w:tcPr>
                  <w:tcW w:w="1125" w:type="dxa"/>
                  <w:vAlign w:val="center"/>
                </w:tcPr>
                <w:p>
                  <w:pPr>
                    <w:pStyle w:val="11"/>
                    <w:bidi w:val="0"/>
                    <w:jc w:val="center"/>
                    <w:rPr>
                      <w:rFonts w:hint="eastAsia"/>
                    </w:rPr>
                  </w:pPr>
                  <w:r>
                    <w:rPr>
                      <w:rFonts w:hint="eastAsia"/>
                    </w:rPr>
                    <w:t>风险物质</w:t>
                  </w:r>
                </w:p>
              </w:tc>
              <w:tc>
                <w:tcPr>
                  <w:tcW w:w="1290" w:type="dxa"/>
                  <w:vAlign w:val="center"/>
                </w:tcPr>
                <w:p>
                  <w:pPr>
                    <w:pStyle w:val="11"/>
                    <w:bidi w:val="0"/>
                    <w:jc w:val="center"/>
                    <w:rPr>
                      <w:rFonts w:hint="eastAsia"/>
                    </w:rPr>
                  </w:pPr>
                  <w:r>
                    <w:rPr>
                      <w:rFonts w:hint="eastAsia"/>
                    </w:rPr>
                    <w:t>潜在事故</w:t>
                  </w:r>
                </w:p>
              </w:tc>
              <w:tc>
                <w:tcPr>
                  <w:tcW w:w="1590" w:type="dxa"/>
                  <w:vAlign w:val="center"/>
                </w:tcPr>
                <w:p>
                  <w:pPr>
                    <w:pStyle w:val="11"/>
                    <w:bidi w:val="0"/>
                    <w:jc w:val="center"/>
                    <w:rPr>
                      <w:rFonts w:hint="eastAsia"/>
                    </w:rPr>
                  </w:pPr>
                  <w:r>
                    <w:rPr>
                      <w:rFonts w:hint="eastAsia"/>
                    </w:rPr>
                    <w:t>发生的原因</w:t>
                  </w:r>
                </w:p>
              </w:tc>
              <w:tc>
                <w:tcPr>
                  <w:tcW w:w="1125" w:type="dxa"/>
                  <w:vAlign w:val="center"/>
                </w:tcPr>
                <w:p>
                  <w:pPr>
                    <w:pStyle w:val="11"/>
                    <w:bidi w:val="0"/>
                    <w:jc w:val="center"/>
                    <w:rPr>
                      <w:rFonts w:hint="eastAsia"/>
                    </w:rPr>
                  </w:pPr>
                  <w:r>
                    <w:rPr>
                      <w:rFonts w:hint="eastAsia"/>
                    </w:rPr>
                    <w:t>影响途径</w:t>
                  </w:r>
                </w:p>
              </w:tc>
              <w:tc>
                <w:tcPr>
                  <w:tcW w:w="2022" w:type="dxa"/>
                  <w:vAlign w:val="center"/>
                </w:tcPr>
                <w:p>
                  <w:pPr>
                    <w:pStyle w:val="11"/>
                    <w:bidi w:val="0"/>
                    <w:jc w:val="center"/>
                    <w:rPr>
                      <w:rFonts w:hint="eastAsia"/>
                    </w:rPr>
                  </w:pPr>
                  <w:r>
                    <w:rPr>
                      <w:rFonts w:hint="eastAsia"/>
                    </w:rPr>
                    <w:t>危害后果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pStyle w:val="11"/>
                    <w:bidi w:val="0"/>
                    <w:jc w:val="center"/>
                    <w:rPr>
                      <w:rFonts w:hint="eastAsia"/>
                    </w:rPr>
                  </w:pPr>
                  <w:r>
                    <w:rPr>
                      <w:rFonts w:hint="eastAsia"/>
                    </w:rPr>
                    <w:t>危废</w:t>
                  </w:r>
                </w:p>
                <w:p>
                  <w:pPr>
                    <w:pStyle w:val="11"/>
                    <w:bidi w:val="0"/>
                    <w:jc w:val="center"/>
                    <w:rPr>
                      <w:rFonts w:hint="eastAsia"/>
                    </w:rPr>
                  </w:pPr>
                  <w:r>
                    <w:rPr>
                      <w:rFonts w:hint="eastAsia"/>
                    </w:rPr>
                    <w:t>暂存间</w:t>
                  </w:r>
                </w:p>
              </w:tc>
              <w:tc>
                <w:tcPr>
                  <w:tcW w:w="1125" w:type="dxa"/>
                  <w:vAlign w:val="center"/>
                </w:tcPr>
                <w:p>
                  <w:pPr>
                    <w:pStyle w:val="11"/>
                    <w:bidi w:val="0"/>
                    <w:jc w:val="center"/>
                    <w:rPr>
                      <w:rFonts w:hint="eastAsia"/>
                      <w:lang w:val="en-US" w:eastAsia="zh-CN"/>
                    </w:rPr>
                  </w:pPr>
                  <w:r>
                    <w:rPr>
                      <w:rFonts w:hint="eastAsia"/>
                      <w:lang w:val="en-US" w:eastAsia="zh-CN"/>
                    </w:rPr>
                    <w:t>废液压油</w:t>
                  </w:r>
                </w:p>
              </w:tc>
              <w:tc>
                <w:tcPr>
                  <w:tcW w:w="1290" w:type="dxa"/>
                  <w:vAlign w:val="center"/>
                </w:tcPr>
                <w:p>
                  <w:pPr>
                    <w:pStyle w:val="11"/>
                    <w:bidi w:val="0"/>
                    <w:jc w:val="center"/>
                    <w:rPr>
                      <w:rFonts w:hint="eastAsia"/>
                    </w:rPr>
                  </w:pPr>
                  <w:r>
                    <w:rPr>
                      <w:rFonts w:hint="eastAsia"/>
                    </w:rPr>
                    <w:t>泄露、火灾</w:t>
                  </w:r>
                </w:p>
              </w:tc>
              <w:tc>
                <w:tcPr>
                  <w:tcW w:w="1590" w:type="dxa"/>
                  <w:vAlign w:val="center"/>
                </w:tcPr>
                <w:p>
                  <w:pPr>
                    <w:pStyle w:val="11"/>
                    <w:bidi w:val="0"/>
                    <w:jc w:val="center"/>
                    <w:rPr>
                      <w:rFonts w:hint="eastAsia"/>
                    </w:rPr>
                  </w:pPr>
                  <w:r>
                    <w:rPr>
                      <w:rFonts w:hint="eastAsia"/>
                    </w:rPr>
                    <w:t>储存管理不严，或由于操作不当或设备损害等因素</w:t>
                  </w:r>
                </w:p>
              </w:tc>
              <w:tc>
                <w:tcPr>
                  <w:tcW w:w="1125" w:type="dxa"/>
                  <w:vAlign w:val="center"/>
                </w:tcPr>
                <w:p>
                  <w:pPr>
                    <w:pStyle w:val="11"/>
                    <w:bidi w:val="0"/>
                    <w:jc w:val="center"/>
                    <w:rPr>
                      <w:rFonts w:hint="eastAsia"/>
                    </w:rPr>
                  </w:pPr>
                  <w:r>
                    <w:rPr>
                      <w:rFonts w:hint="eastAsia"/>
                    </w:rPr>
                    <w:t>大气</w:t>
                  </w:r>
                </w:p>
                <w:p>
                  <w:pPr>
                    <w:pStyle w:val="11"/>
                    <w:bidi w:val="0"/>
                    <w:jc w:val="center"/>
                    <w:rPr>
                      <w:rFonts w:hint="eastAsia"/>
                    </w:rPr>
                  </w:pPr>
                  <w:r>
                    <w:rPr>
                      <w:rFonts w:hint="eastAsia"/>
                    </w:rPr>
                    <w:t>地表水</w:t>
                  </w:r>
                </w:p>
                <w:p>
                  <w:pPr>
                    <w:pStyle w:val="11"/>
                    <w:bidi w:val="0"/>
                    <w:jc w:val="center"/>
                    <w:rPr>
                      <w:rFonts w:hint="eastAsia"/>
                    </w:rPr>
                  </w:pPr>
                  <w:r>
                    <w:rPr>
                      <w:rFonts w:hint="eastAsia"/>
                    </w:rPr>
                    <w:t>地下水</w:t>
                  </w:r>
                </w:p>
                <w:p>
                  <w:pPr>
                    <w:pStyle w:val="11"/>
                    <w:bidi w:val="0"/>
                    <w:jc w:val="center"/>
                    <w:rPr>
                      <w:rFonts w:hint="eastAsia"/>
                    </w:rPr>
                  </w:pPr>
                  <w:r>
                    <w:rPr>
                      <w:rFonts w:hint="eastAsia"/>
                    </w:rPr>
                    <w:t>土壤</w:t>
                  </w:r>
                </w:p>
              </w:tc>
              <w:tc>
                <w:tcPr>
                  <w:tcW w:w="2022" w:type="dxa"/>
                  <w:vAlign w:val="center"/>
                </w:tcPr>
                <w:p>
                  <w:pPr>
                    <w:pStyle w:val="11"/>
                    <w:bidi w:val="0"/>
                    <w:jc w:val="center"/>
                    <w:rPr>
                      <w:rFonts w:hint="eastAsia"/>
                    </w:rPr>
                  </w:pPr>
                  <w:r>
                    <w:rPr>
                      <w:rFonts w:hint="eastAsia"/>
                    </w:rPr>
                    <w:t>泄露通过土壤、地表下渗进而污染地下水，从而对土壤和地下水产生不良影响</w:t>
                  </w:r>
                </w:p>
              </w:tc>
            </w:tr>
          </w:tbl>
          <w:p>
            <w:pPr>
              <w:bidi w:val="0"/>
            </w:pPr>
            <w:r>
              <w:rPr>
                <w:rFonts w:hint="eastAsia"/>
                <w:b/>
                <w:bCs/>
                <w:lang w:val="en-US" w:eastAsia="zh-CN"/>
              </w:rPr>
              <w:t xml:space="preserve">8.3 </w:t>
            </w:r>
            <w:r>
              <w:rPr>
                <w:rFonts w:hint="eastAsia"/>
                <w:b/>
                <w:bCs/>
              </w:rPr>
              <w:t>火灾、爆炸事故风险分析</w:t>
            </w:r>
          </w:p>
          <w:p>
            <w:pPr>
              <w:bidi w:val="0"/>
              <w:rPr>
                <w:rFonts w:hint="default"/>
                <w:lang w:val="en-US" w:eastAsia="zh-CN"/>
              </w:rPr>
            </w:pPr>
            <w:r>
              <w:rPr>
                <w:rFonts w:hint="eastAsia"/>
                <w:lang w:val="en-US" w:eastAsia="zh-CN"/>
              </w:rPr>
              <w:t>本项目为绝缘制品和电力金具制造项目，原材料中的硅胶、硅油、包装纸箱均属于可燃物品，但由于燃点较高，在严格执行明火管制的情况下，</w:t>
            </w:r>
            <w:r>
              <w:rPr>
                <w:rFonts w:hint="eastAsia"/>
              </w:rPr>
              <w:t>贮存、转运过程中基本不会发生火灾、爆炸事故</w:t>
            </w:r>
            <w:r>
              <w:rPr>
                <w:rFonts w:hint="eastAsia"/>
                <w:lang w:eastAsia="zh-CN"/>
              </w:rPr>
              <w:t>。</w:t>
            </w:r>
            <w:r>
              <w:rPr>
                <w:rFonts w:hint="eastAsia"/>
                <w:lang w:val="en-US" w:eastAsia="zh-CN"/>
              </w:rPr>
              <w:t>项目工艺中最高使用温度为350℃，有引发火灾可能性。</w:t>
            </w:r>
          </w:p>
          <w:p>
            <w:pPr>
              <w:bidi w:val="0"/>
            </w:pPr>
            <w:r>
              <w:rPr>
                <w:rFonts w:hint="eastAsia"/>
              </w:rPr>
              <w:t>火灾、爆炸事故危害预测属于安全评价范围，事故主要发生在厂区之内，事故产生的危害主要有热辐射、冲击波、碎片冲击等，不仅会造成财产损失、停产等，而且有可能造成人员伤亡。火灾、爆炸事故引起的大气二次污染物主要为二氧化碳、二氧化硫和烟尘等，浓度范围在数十至数百毫克/立方米之间，对于下风向的环境空气质量在短时间内有较大影响，但长期影响不大。</w:t>
            </w:r>
          </w:p>
          <w:p>
            <w:pPr>
              <w:bidi w:val="0"/>
              <w:rPr>
                <w:b/>
                <w:bCs/>
              </w:rPr>
            </w:pPr>
            <w:r>
              <w:rPr>
                <w:rFonts w:hint="eastAsia"/>
                <w:b/>
                <w:bCs/>
                <w:lang w:val="en-US" w:eastAsia="zh-CN"/>
              </w:rPr>
              <w:t xml:space="preserve">8.4 </w:t>
            </w:r>
            <w:r>
              <w:rPr>
                <w:rFonts w:hint="eastAsia"/>
                <w:b/>
                <w:bCs/>
              </w:rPr>
              <w:t>风险防范措施</w:t>
            </w:r>
          </w:p>
          <w:p>
            <w:pPr>
              <w:bidi w:val="0"/>
            </w:pPr>
            <w:r>
              <w:rPr>
                <w:rFonts w:hint="eastAsia"/>
              </w:rPr>
              <w:t>针对本项目可能发生的环境风险事故，提出以下风险防范措施：</w:t>
            </w:r>
          </w:p>
          <w:p>
            <w:pPr>
              <w:bidi w:val="0"/>
            </w:pPr>
            <w:r>
              <w:rPr>
                <w:rFonts w:hint="eastAsia"/>
              </w:rPr>
              <w:t>①贮运工程风险防范措施</w:t>
            </w:r>
          </w:p>
          <w:p>
            <w:pPr>
              <w:bidi w:val="0"/>
              <w:rPr>
                <w:rFonts w:hint="eastAsia"/>
              </w:rPr>
            </w:pPr>
            <w:r>
              <w:rPr>
                <w:rFonts w:hint="eastAsia"/>
              </w:rPr>
              <w:t>a.原材料不得露天堆放，储存于阴凉通风仓间内，远离火种、热源，防止阳光直射，应与易燃或可燃物分开存放，搬运时轻装轻卸，防止原料袋破损或倾倒。</w:t>
            </w:r>
          </w:p>
          <w:p>
            <w:pPr>
              <w:bidi w:val="0"/>
            </w:pPr>
            <w:r>
              <w:rPr>
                <w:rFonts w:hint="eastAsia"/>
              </w:rPr>
              <w:t>b.划定禁火区，在明显地点设有警示标志，输配电线、灯具、火灾事故照明和疏散指示标志均应符合安全要求；严禁未安装灭火星装置的车辆出入生产装置区。</w:t>
            </w:r>
          </w:p>
          <w:p>
            <w:pPr>
              <w:bidi w:val="0"/>
            </w:pPr>
            <w:r>
              <w:rPr>
                <w:rFonts w:hint="eastAsia"/>
              </w:rPr>
              <w:t>c.本项目成品车间严禁堆放易燃物品。</w:t>
            </w:r>
          </w:p>
          <w:p>
            <w:pPr>
              <w:bidi w:val="0"/>
            </w:pPr>
            <w:r>
              <w:rPr>
                <w:rFonts w:hint="eastAsia"/>
              </w:rPr>
              <w:t>②废气事故排放防范措施</w:t>
            </w:r>
          </w:p>
          <w:p>
            <w:pPr>
              <w:bidi w:val="0"/>
            </w:pPr>
            <w:r>
              <w:rPr>
                <w:rFonts w:hint="eastAsia"/>
              </w:rPr>
              <w:t>发生事故的原因主要有以下几个内容：</w:t>
            </w:r>
          </w:p>
          <w:p>
            <w:pPr>
              <w:bidi w:val="0"/>
            </w:pPr>
            <w:r>
              <w:rPr>
                <w:rFonts w:hint="eastAsia"/>
              </w:rPr>
              <w:t>a.废气处理系统出现故障、设备开车、停车检修时废气直接排入大气环境中；</w:t>
            </w:r>
          </w:p>
          <w:p>
            <w:pPr>
              <w:bidi w:val="0"/>
              <w:rPr>
                <w:rFonts w:hint="eastAsia"/>
              </w:rPr>
            </w:pPr>
            <w:r>
              <w:rPr>
                <w:rFonts w:hint="eastAsia"/>
              </w:rPr>
              <w:t>b.生产过程中由于设备老化、腐蚀、实务操作等原因造成车间废气浓度超标；</w:t>
            </w:r>
          </w:p>
          <w:p>
            <w:pPr>
              <w:bidi w:val="0"/>
            </w:pPr>
            <w:r>
              <w:rPr>
                <w:rFonts w:hint="eastAsia"/>
              </w:rPr>
              <w:t>c.厂内突然停电、废气处理系统停止工作，致使废气不能得到及时处理；</w:t>
            </w:r>
          </w:p>
          <w:p>
            <w:pPr>
              <w:bidi w:val="0"/>
              <w:rPr>
                <w:rFonts w:hint="eastAsia"/>
              </w:rPr>
            </w:pPr>
            <w:r>
              <w:rPr>
                <w:rFonts w:hint="eastAsia"/>
              </w:rPr>
              <w:t>d.对废气治理措施疏于管理，使治理措施处理效率降低造成废气浓度超标；</w:t>
            </w:r>
          </w:p>
          <w:p>
            <w:pPr>
              <w:bidi w:val="0"/>
              <w:rPr>
                <w:rFonts w:hint="eastAsia"/>
              </w:rPr>
            </w:pPr>
            <w:r>
              <w:rPr>
                <w:rFonts w:hint="eastAsia"/>
              </w:rPr>
              <w:t>为杜绝事故性废气排放，建议采用以下措施确保废气达标排放：</w:t>
            </w:r>
          </w:p>
          <w:p>
            <w:pPr>
              <w:bidi w:val="0"/>
            </w:pPr>
            <w:r>
              <w:rPr>
                <w:rFonts w:hint="eastAsia"/>
              </w:rPr>
              <w:t>a.要求非甲烷总烃废气处理装置使用人员要认真执行相关的作业指导书；</w:t>
            </w:r>
          </w:p>
          <w:p>
            <w:pPr>
              <w:bidi w:val="0"/>
              <w:rPr>
                <w:rFonts w:hint="eastAsia"/>
              </w:rPr>
            </w:pPr>
            <w:r>
              <w:rPr>
                <w:rFonts w:hint="eastAsia"/>
              </w:rPr>
              <w:t>b.平时加强非甲烷总烃废气处置装置的维护保养，及时发现处理设备的隐患，并及时进行维修，确保废气处理系统正常运行；</w:t>
            </w:r>
          </w:p>
          <w:p>
            <w:pPr>
              <w:bidi w:val="0"/>
              <w:rPr>
                <w:rFonts w:hint="eastAsia"/>
              </w:rPr>
            </w:pPr>
            <w:r>
              <w:rPr>
                <w:rFonts w:hint="eastAsia"/>
              </w:rPr>
              <w:t>c.建立健全的环保机构，配置必要的监测仪器，对管理人员和技术人员进行岗位培训，对废气处理实行全过程跟踪控制；</w:t>
            </w:r>
          </w:p>
          <w:p>
            <w:pPr>
              <w:bidi w:val="0"/>
              <w:rPr>
                <w:rFonts w:hint="eastAsia"/>
              </w:rPr>
            </w:pPr>
            <w:r>
              <w:rPr>
                <w:rFonts w:hint="eastAsia"/>
              </w:rPr>
              <w:t>d.项目应设有备用电源和备用处理设备，以备停电或设备出现故障时保障废气全部进入处理系统进行处理以达标排放；</w:t>
            </w:r>
          </w:p>
          <w:p>
            <w:pPr>
              <w:bidi w:val="0"/>
              <w:rPr>
                <w:rFonts w:hint="eastAsia"/>
              </w:rPr>
            </w:pPr>
            <w:r>
              <w:rPr>
                <w:rFonts w:hint="eastAsia"/>
              </w:rPr>
              <w:t>e.项目对废气治理措施应设置备用的废气治理措施，在常用处理设施出现故障的情况下可采用备用处理设施进行处理，防止因此而造成废气的事故性排放。</w:t>
            </w:r>
          </w:p>
          <w:p>
            <w:pPr>
              <w:bidi w:val="0"/>
              <w:rPr>
                <w:rFonts w:hint="default"/>
                <w:lang w:val="en-US" w:eastAsia="zh-CN"/>
              </w:rPr>
            </w:pPr>
            <w:r>
              <w:rPr>
                <w:rFonts w:hint="eastAsia"/>
                <w:lang w:val="en-US" w:eastAsia="zh-CN"/>
              </w:rPr>
              <w:t>③危险废物泄漏事故防范措施</w:t>
            </w:r>
          </w:p>
          <w:p>
            <w:pPr>
              <w:bidi w:val="0"/>
              <w:rPr>
                <w:rFonts w:hint="eastAsia"/>
                <w:lang w:val="en-US" w:eastAsia="zh-CN"/>
              </w:rPr>
            </w:pPr>
            <w:r>
              <w:rPr>
                <w:rFonts w:hint="eastAsia"/>
                <w:lang w:val="en-US" w:eastAsia="zh-CN"/>
              </w:rPr>
              <w:t>危废暂存间根据《危险废物贮存污染控制标准》（GB18597/XG1-2013）相关规定进行防腐防渗，渗透系数</w:t>
            </w:r>
            <w:r>
              <w:rPr>
                <w:rFonts w:hint="default" w:ascii="Arial" w:hAnsi="Arial" w:cs="Arial"/>
                <w:lang w:val="en-US" w:eastAsia="zh-CN"/>
              </w:rPr>
              <w:t>≤</w:t>
            </w:r>
            <w:r>
              <w:rPr>
                <w:rFonts w:hint="eastAsia"/>
                <w:lang w:val="en-US" w:eastAsia="zh-CN"/>
              </w:rPr>
              <w:t>10</w:t>
            </w:r>
            <w:r>
              <w:rPr>
                <w:rFonts w:hint="eastAsia"/>
                <w:vertAlign w:val="superscript"/>
                <w:lang w:val="en-US" w:eastAsia="zh-CN"/>
              </w:rPr>
              <w:t>-10</w:t>
            </w:r>
            <w:r>
              <w:rPr>
                <w:rFonts w:hint="eastAsia"/>
                <w:lang w:val="en-US" w:eastAsia="zh-CN"/>
              </w:rPr>
              <w:t>cm/s。危废暂存间内设置围堰，围堰高度0.15m。各类危险废物分别由专用危废储存容器存放，并分类分区存放于暂存间内，存放时确保储存容器完好无损，并粘贴危废标签；临时贮存间地面与裙角需用防渗混凝土建造，表层无裂痕，存放区设堵截泄露危废裙角，以免危废容器破裂。</w:t>
            </w:r>
          </w:p>
          <w:p>
            <w:pPr>
              <w:bidi w:val="0"/>
            </w:pPr>
            <w:r>
              <w:rPr>
                <w:rFonts w:hint="eastAsia"/>
              </w:rPr>
              <w:t>综上，本项目环境风险较小、可控。</w:t>
            </w:r>
          </w:p>
          <w:p>
            <w:pPr>
              <w:pStyle w:val="4"/>
              <w:bidi w:val="0"/>
            </w:pPr>
            <w:r>
              <w:rPr>
                <w:rFonts w:hint="eastAsia"/>
                <w:lang w:val="en-US" w:eastAsia="zh-CN"/>
              </w:rPr>
              <w:t>9</w:t>
            </w:r>
            <w:r>
              <w:rPr>
                <w:rFonts w:hint="eastAsia"/>
                <w:lang w:eastAsia="zh-CN"/>
              </w:rPr>
              <w:t>、</w:t>
            </w:r>
            <w:r>
              <w:t>总量控制指标</w:t>
            </w:r>
          </w:p>
          <w:p>
            <w:pPr>
              <w:spacing w:line="360" w:lineRule="auto"/>
              <w:ind w:firstLine="480" w:firstLineChars="200"/>
            </w:pPr>
            <w:r>
              <w:t>项目营运期生活污水排放量为</w:t>
            </w:r>
            <w:r>
              <w:rPr>
                <w:rFonts w:hint="eastAsia"/>
                <w:lang w:val="en-US" w:eastAsia="zh-CN"/>
              </w:rPr>
              <w:t>249.6</w:t>
            </w:r>
            <w:r>
              <w:t>m</w:t>
            </w:r>
            <w:r>
              <w:rPr>
                <w:vertAlign w:val="superscript"/>
              </w:rPr>
              <w:t>3</w:t>
            </w:r>
            <w:r>
              <w:t>/a，建议总量控制出厂量为COD：0.</w:t>
            </w:r>
            <w:r>
              <w:rPr>
                <w:rFonts w:hint="eastAsia"/>
                <w:lang w:val="en-US" w:eastAsia="zh-CN"/>
              </w:rPr>
              <w:t>0615</w:t>
            </w:r>
            <w:r>
              <w:t>t/a、氨氮</w:t>
            </w:r>
            <w:r>
              <w:rPr>
                <w:rFonts w:hint="eastAsia"/>
                <w:lang w:val="en-US" w:eastAsia="zh-CN"/>
              </w:rPr>
              <w:t>0.0075</w:t>
            </w:r>
            <w:r>
              <w:t>t/a。</w:t>
            </w:r>
            <w:r>
              <w:rPr>
                <w:rFonts w:hint="eastAsia"/>
              </w:rPr>
              <w:t>生活污水依托园区化粪池处理后，用于周边农田施肥，远期管网环通后经市政污水管网进入许昌市城乡一体化示范区中原电气谷污水处理厂进行深度处理</w:t>
            </w:r>
            <w:r>
              <w:rPr>
                <w:rFonts w:hint="eastAsia"/>
                <w:lang w:val="en-US" w:eastAsia="zh-CN"/>
              </w:rPr>
              <w:t>后</w:t>
            </w:r>
            <w:r>
              <w:t>达标排放，入环境量按照</w:t>
            </w:r>
            <w:r>
              <w:rPr>
                <w:rFonts w:hint="eastAsia"/>
                <w:lang w:eastAsia="zh-CN"/>
              </w:rPr>
              <w:t>许昌市城乡一体化示范区中原电气谷污水处理厂</w:t>
            </w:r>
            <w:r>
              <w:t>出水指标（COD：30mg/L、氨氮：1.5mg/L）核算，入环境量控制指标为COD：0.0</w:t>
            </w:r>
            <w:r>
              <w:rPr>
                <w:rFonts w:hint="eastAsia"/>
                <w:lang w:val="en-US" w:eastAsia="zh-CN"/>
              </w:rPr>
              <w:t>075</w:t>
            </w:r>
            <w:r>
              <w:t>t/a、氨氮：0.00</w:t>
            </w:r>
            <w:r>
              <w:rPr>
                <w:rFonts w:hint="eastAsia"/>
                <w:lang w:val="en-US" w:eastAsia="zh-CN"/>
              </w:rPr>
              <w:t>037</w:t>
            </w:r>
            <w:r>
              <w:t>t/a。</w:t>
            </w:r>
          </w:p>
          <w:p>
            <w:pPr>
              <w:spacing w:line="360" w:lineRule="auto"/>
              <w:ind w:firstLine="480" w:firstLineChars="200"/>
            </w:pPr>
            <w:r>
              <w:rPr>
                <w:rFonts w:hint="eastAsia"/>
                <w:lang w:val="en-US" w:eastAsia="zh-CN"/>
              </w:rPr>
              <w:t>本项目属于搬迁项目，新项目建成后原有项目将不再生产。原有项目VOCs排放量为0.0576t/a，本次项目有机废气VOCs排放量为0.0441t/a，低于原有项目，因此本项目不新增VOCs污染物。</w:t>
            </w:r>
          </w:p>
          <w:p>
            <w:pPr>
              <w:spacing w:line="360" w:lineRule="auto"/>
              <w:ind w:firstLine="480" w:firstLineChars="200"/>
            </w:pPr>
            <w:r>
              <w:t>本项目建议总量控制指标为COD：0.0</w:t>
            </w:r>
            <w:r>
              <w:rPr>
                <w:rFonts w:hint="eastAsia"/>
                <w:lang w:val="en-US" w:eastAsia="zh-CN"/>
              </w:rPr>
              <w:t>075</w:t>
            </w:r>
            <w:r>
              <w:t>t/a，氨氮：0.00</w:t>
            </w:r>
            <w:r>
              <w:rPr>
                <w:rFonts w:hint="eastAsia"/>
                <w:lang w:val="en-US" w:eastAsia="zh-CN"/>
              </w:rPr>
              <w:t>037</w:t>
            </w:r>
            <w:r>
              <w:t>t/a。</w:t>
            </w:r>
          </w:p>
          <w:p>
            <w:pPr>
              <w:pStyle w:val="4"/>
              <w:bidi w:val="0"/>
            </w:pPr>
            <w:r>
              <w:rPr>
                <w:rFonts w:hint="eastAsia"/>
                <w:lang w:val="en-US" w:eastAsia="zh-CN"/>
              </w:rPr>
              <w:t>10</w:t>
            </w:r>
            <w:r>
              <w:rPr>
                <w:rFonts w:hint="eastAsia"/>
                <w:lang w:eastAsia="zh-CN"/>
              </w:rPr>
              <w:t>、</w:t>
            </w:r>
            <w:r>
              <w:t>全厂污染物排放情况“三本帐”</w:t>
            </w:r>
          </w:p>
          <w:p>
            <w:pPr>
              <w:widowControl/>
              <w:spacing w:line="360" w:lineRule="auto"/>
              <w:ind w:firstLine="480"/>
              <w:jc w:val="left"/>
            </w:pPr>
            <w:r>
              <w:t>根据以上工程分析，得出本项目</w:t>
            </w:r>
            <w:r>
              <w:rPr>
                <w:rFonts w:hint="eastAsia"/>
                <w:lang w:val="en-US" w:eastAsia="zh-CN"/>
              </w:rPr>
              <w:t>搬迁</w:t>
            </w:r>
            <w:r>
              <w:t>完成前后的全厂污染物排放情况，扩建前后污染物排放“三本帐”见表4-1</w:t>
            </w:r>
            <w:r>
              <w:rPr>
                <w:rFonts w:hint="eastAsia"/>
                <w:lang w:val="en-US" w:eastAsia="zh-CN"/>
              </w:rPr>
              <w:t>5</w:t>
            </w:r>
            <w:r>
              <w:t>。</w:t>
            </w:r>
          </w:p>
          <w:p>
            <w:pPr>
              <w:pStyle w:val="12"/>
              <w:widowControl w:val="0"/>
              <w:bidi w:val="0"/>
            </w:pPr>
            <w:r>
              <w:t>表4-1</w:t>
            </w:r>
            <w:r>
              <w:rPr>
                <w:rFonts w:hint="eastAsia"/>
                <w:lang w:val="en-US" w:eastAsia="zh-CN"/>
              </w:rPr>
              <w:t>5</w:t>
            </w:r>
            <w:r>
              <w:t xml:space="preserve">   全厂污染物排放情况“三本帐” 单位：t/a</w:t>
            </w:r>
          </w:p>
          <w:tbl>
            <w:tblPr>
              <w:tblStyle w:val="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7" w:type="dxa"/>
                <w:bottom w:w="0" w:type="dxa"/>
                <w:right w:w="28" w:type="dxa"/>
              </w:tblCellMar>
            </w:tblPr>
            <w:tblGrid>
              <w:gridCol w:w="1234"/>
              <w:gridCol w:w="1217"/>
              <w:gridCol w:w="1219"/>
              <w:gridCol w:w="1360"/>
              <w:gridCol w:w="1748"/>
              <w:gridCol w:w="14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28" w:type="dxa"/>
                </w:tblCellMar>
              </w:tblPrEx>
              <w:trPr>
                <w:trHeight w:val="23" w:hRule="atLeast"/>
                <w:jc w:val="center"/>
              </w:trPr>
              <w:tc>
                <w:tcPr>
                  <w:tcW w:w="746" w:type="pct"/>
                  <w:vMerge w:val="restart"/>
                  <w:vAlign w:val="center"/>
                </w:tcPr>
                <w:p>
                  <w:pPr>
                    <w:pStyle w:val="11"/>
                    <w:bidi w:val="0"/>
                  </w:pPr>
                  <w:r>
                    <w:t>污染物类别</w:t>
                  </w:r>
                </w:p>
              </w:tc>
              <w:tc>
                <w:tcPr>
                  <w:tcW w:w="736" w:type="pct"/>
                  <w:vMerge w:val="restart"/>
                  <w:vAlign w:val="center"/>
                </w:tcPr>
                <w:p>
                  <w:pPr>
                    <w:pStyle w:val="11"/>
                    <w:bidi w:val="0"/>
                  </w:pPr>
                  <w:r>
                    <w:t>污染因子</w:t>
                  </w:r>
                </w:p>
              </w:tc>
              <w:tc>
                <w:tcPr>
                  <w:tcW w:w="1559" w:type="pct"/>
                  <w:gridSpan w:val="2"/>
                  <w:vAlign w:val="center"/>
                </w:tcPr>
                <w:p>
                  <w:pPr>
                    <w:pStyle w:val="11"/>
                    <w:bidi w:val="0"/>
                  </w:pPr>
                  <w:r>
                    <w:t>污染物排放量</w:t>
                  </w:r>
                </w:p>
              </w:tc>
              <w:tc>
                <w:tcPr>
                  <w:tcW w:w="1057" w:type="pct"/>
                  <w:vMerge w:val="restart"/>
                  <w:vAlign w:val="center"/>
                </w:tcPr>
                <w:p>
                  <w:pPr>
                    <w:pStyle w:val="11"/>
                    <w:bidi w:val="0"/>
                  </w:pPr>
                  <w:r>
                    <w:t>“以新带老”</w:t>
                  </w:r>
                  <w:r>
                    <w:rPr>
                      <w:rFonts w:hint="eastAsia"/>
                      <w:lang w:val="en-US" w:eastAsia="zh-CN"/>
                    </w:rPr>
                    <w:t>削</w:t>
                  </w:r>
                  <w:r>
                    <w:t>减量</w:t>
                  </w:r>
                </w:p>
              </w:tc>
              <w:tc>
                <w:tcPr>
                  <w:tcW w:w="900" w:type="pct"/>
                  <w:vMerge w:val="restart"/>
                  <w:vAlign w:val="center"/>
                </w:tcPr>
                <w:p>
                  <w:pPr>
                    <w:pStyle w:val="11"/>
                    <w:bidi w:val="0"/>
                  </w:pPr>
                  <w:r>
                    <w:t>排放增减量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28" w:type="dxa"/>
                </w:tblCellMar>
              </w:tblPrEx>
              <w:trPr>
                <w:trHeight w:val="23" w:hRule="atLeast"/>
                <w:jc w:val="center"/>
              </w:trPr>
              <w:tc>
                <w:tcPr>
                  <w:tcW w:w="746" w:type="pct"/>
                  <w:vMerge w:val="continue"/>
                  <w:vAlign w:val="center"/>
                </w:tcPr>
                <w:p>
                  <w:pPr>
                    <w:pStyle w:val="11"/>
                    <w:bidi w:val="0"/>
                  </w:pPr>
                </w:p>
              </w:tc>
              <w:tc>
                <w:tcPr>
                  <w:tcW w:w="736" w:type="pct"/>
                  <w:vMerge w:val="continue"/>
                  <w:vAlign w:val="center"/>
                </w:tcPr>
                <w:p>
                  <w:pPr>
                    <w:pStyle w:val="11"/>
                    <w:bidi w:val="0"/>
                  </w:pPr>
                </w:p>
              </w:tc>
              <w:tc>
                <w:tcPr>
                  <w:tcW w:w="737" w:type="pct"/>
                  <w:vAlign w:val="center"/>
                </w:tcPr>
                <w:p>
                  <w:pPr>
                    <w:pStyle w:val="11"/>
                    <w:bidi w:val="0"/>
                    <w:rPr>
                      <w:rFonts w:hint="eastAsia"/>
                      <w:lang w:eastAsia="zh-CN"/>
                    </w:rPr>
                  </w:pPr>
                  <w:r>
                    <w:rPr>
                      <w:rFonts w:hint="eastAsia"/>
                      <w:lang w:val="en-US" w:eastAsia="zh-CN"/>
                    </w:rPr>
                    <w:t>原有项目</w:t>
                  </w:r>
                </w:p>
              </w:tc>
              <w:tc>
                <w:tcPr>
                  <w:tcW w:w="822" w:type="pct"/>
                  <w:vAlign w:val="center"/>
                </w:tcPr>
                <w:p>
                  <w:pPr>
                    <w:pStyle w:val="11"/>
                    <w:bidi w:val="0"/>
                    <w:rPr>
                      <w:rFonts w:hint="eastAsia"/>
                      <w:lang w:eastAsia="zh-CN"/>
                    </w:rPr>
                  </w:pPr>
                  <w:r>
                    <w:rPr>
                      <w:rFonts w:hint="eastAsia"/>
                      <w:lang w:val="en-US" w:eastAsia="zh-CN"/>
                    </w:rPr>
                    <w:t>本项目</w:t>
                  </w:r>
                </w:p>
              </w:tc>
              <w:tc>
                <w:tcPr>
                  <w:tcW w:w="1057" w:type="pct"/>
                  <w:vMerge w:val="continue"/>
                  <w:vAlign w:val="center"/>
                </w:tcPr>
                <w:p>
                  <w:pPr>
                    <w:pStyle w:val="11"/>
                    <w:bidi w:val="0"/>
                  </w:pPr>
                </w:p>
              </w:tc>
              <w:tc>
                <w:tcPr>
                  <w:tcW w:w="900" w:type="pct"/>
                  <w:vMerge w:val="continue"/>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28" w:type="dxa"/>
                </w:tblCellMar>
              </w:tblPrEx>
              <w:trPr>
                <w:trHeight w:val="23" w:hRule="atLeast"/>
                <w:jc w:val="center"/>
              </w:trPr>
              <w:tc>
                <w:tcPr>
                  <w:tcW w:w="746" w:type="pct"/>
                  <w:vMerge w:val="restart"/>
                  <w:vAlign w:val="center"/>
                </w:tcPr>
                <w:p>
                  <w:pPr>
                    <w:pStyle w:val="11"/>
                    <w:bidi w:val="0"/>
                  </w:pPr>
                  <w:r>
                    <w:t>废气</w:t>
                  </w:r>
                </w:p>
              </w:tc>
              <w:tc>
                <w:tcPr>
                  <w:tcW w:w="736" w:type="pct"/>
                  <w:vAlign w:val="center"/>
                </w:tcPr>
                <w:p>
                  <w:pPr>
                    <w:pStyle w:val="11"/>
                    <w:bidi w:val="0"/>
                  </w:pPr>
                  <w:r>
                    <w:t>颗粒物</w:t>
                  </w:r>
                </w:p>
              </w:tc>
              <w:tc>
                <w:tcPr>
                  <w:tcW w:w="737" w:type="pct"/>
                  <w:vAlign w:val="center"/>
                </w:tcPr>
                <w:p>
                  <w:pPr>
                    <w:pStyle w:val="11"/>
                    <w:bidi w:val="0"/>
                    <w:rPr>
                      <w:rFonts w:hint="eastAsia"/>
                      <w:lang w:eastAsia="zh-CN"/>
                    </w:rPr>
                  </w:pPr>
                  <w:r>
                    <w:rPr>
                      <w:rFonts w:hint="eastAsia"/>
                      <w:lang w:val="en-US" w:eastAsia="zh-CN"/>
                    </w:rPr>
                    <w:t>0</w:t>
                  </w:r>
                </w:p>
              </w:tc>
              <w:tc>
                <w:tcPr>
                  <w:tcW w:w="822" w:type="pct"/>
                  <w:vAlign w:val="center"/>
                </w:tcPr>
                <w:p>
                  <w:pPr>
                    <w:pStyle w:val="11"/>
                    <w:bidi w:val="0"/>
                    <w:rPr>
                      <w:rFonts w:hint="default"/>
                      <w:lang w:val="en-US" w:eastAsia="zh-CN"/>
                    </w:rPr>
                  </w:pPr>
                  <w:r>
                    <w:rPr>
                      <w:rFonts w:hint="eastAsia"/>
                      <w:lang w:val="en-US" w:eastAsia="zh-CN"/>
                    </w:rPr>
                    <w:t>0.0567</w:t>
                  </w:r>
                </w:p>
              </w:tc>
              <w:tc>
                <w:tcPr>
                  <w:tcW w:w="1057" w:type="pct"/>
                  <w:vAlign w:val="center"/>
                </w:tcPr>
                <w:p>
                  <w:pPr>
                    <w:pStyle w:val="11"/>
                    <w:bidi w:val="0"/>
                  </w:pPr>
                  <w:r>
                    <w:t>0</w:t>
                  </w:r>
                </w:p>
              </w:tc>
              <w:tc>
                <w:tcPr>
                  <w:tcW w:w="900" w:type="pct"/>
                  <w:vAlign w:val="center"/>
                </w:tcPr>
                <w:p>
                  <w:pPr>
                    <w:pStyle w:val="11"/>
                    <w:bidi w:val="0"/>
                  </w:pPr>
                  <w:r>
                    <w:t>+</w:t>
                  </w:r>
                  <w:r>
                    <w:rPr>
                      <w:rFonts w:hint="eastAsia"/>
                      <w:lang w:val="en-US" w:eastAsia="zh-CN"/>
                    </w:rPr>
                    <w:t>0.0567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28" w:type="dxa"/>
                </w:tblCellMar>
              </w:tblPrEx>
              <w:trPr>
                <w:trHeight w:val="23" w:hRule="atLeast"/>
                <w:jc w:val="center"/>
              </w:trPr>
              <w:tc>
                <w:tcPr>
                  <w:tcW w:w="746" w:type="pct"/>
                  <w:vMerge w:val="continue"/>
                  <w:vAlign w:val="center"/>
                </w:tcPr>
                <w:p>
                  <w:pPr>
                    <w:pStyle w:val="11"/>
                    <w:bidi w:val="0"/>
                  </w:pPr>
                </w:p>
              </w:tc>
              <w:tc>
                <w:tcPr>
                  <w:tcW w:w="736" w:type="pct"/>
                  <w:vAlign w:val="center"/>
                </w:tcPr>
                <w:p>
                  <w:pPr>
                    <w:pStyle w:val="11"/>
                    <w:bidi w:val="0"/>
                    <w:ind w:firstLine="0" w:firstLineChars="0"/>
                    <w:rPr>
                      <w:rFonts w:hint="eastAsia"/>
                      <w:lang w:val="en-US" w:eastAsia="zh-CN"/>
                    </w:rPr>
                  </w:pPr>
                  <w:r>
                    <w:rPr>
                      <w:rFonts w:hint="eastAsia"/>
                      <w:lang w:val="en-US" w:eastAsia="zh-CN"/>
                    </w:rPr>
                    <w:t>硫化氢</w:t>
                  </w:r>
                </w:p>
              </w:tc>
              <w:tc>
                <w:tcPr>
                  <w:tcW w:w="737" w:type="pct"/>
                  <w:vAlign w:val="center"/>
                </w:tcPr>
                <w:p>
                  <w:pPr>
                    <w:pStyle w:val="11"/>
                    <w:bidi w:val="0"/>
                    <w:ind w:firstLine="0" w:firstLineChars="0"/>
                    <w:rPr>
                      <w:lang w:val="en-US" w:eastAsia="zh-CN"/>
                    </w:rPr>
                  </w:pPr>
                  <w:r>
                    <w:t>0</w:t>
                  </w:r>
                </w:p>
              </w:tc>
              <w:tc>
                <w:tcPr>
                  <w:tcW w:w="822" w:type="pct"/>
                  <w:vAlign w:val="center"/>
                </w:tcPr>
                <w:p>
                  <w:pPr>
                    <w:pStyle w:val="11"/>
                    <w:bidi w:val="0"/>
                    <w:ind w:firstLine="0" w:firstLineChars="0"/>
                    <w:rPr>
                      <w:lang w:val="en-US" w:eastAsia="zh-CN"/>
                    </w:rPr>
                  </w:pPr>
                  <w:r>
                    <w:rPr>
                      <w:rFonts w:hint="eastAsia"/>
                      <w:lang w:val="en-US" w:eastAsia="zh-CN"/>
                    </w:rPr>
                    <w:t>2.268</w:t>
                  </w:r>
                  <w:r>
                    <w:rPr>
                      <w:rFonts w:hint="default"/>
                      <w:lang w:val="en-US" w:eastAsia="zh-CN"/>
                    </w:rPr>
                    <w:t>×10</w:t>
                  </w:r>
                  <w:r>
                    <w:rPr>
                      <w:rFonts w:hint="default"/>
                      <w:vertAlign w:val="superscript"/>
                      <w:lang w:val="en-US" w:eastAsia="zh-CN"/>
                    </w:rPr>
                    <w:t>-6</w:t>
                  </w:r>
                </w:p>
              </w:tc>
              <w:tc>
                <w:tcPr>
                  <w:tcW w:w="1057" w:type="pct"/>
                  <w:vAlign w:val="center"/>
                </w:tcPr>
                <w:p>
                  <w:pPr>
                    <w:pStyle w:val="11"/>
                    <w:bidi w:val="0"/>
                    <w:ind w:firstLine="0" w:firstLineChars="0"/>
                    <w:rPr>
                      <w:lang w:val="en-US" w:eastAsia="zh-CN"/>
                    </w:rPr>
                  </w:pPr>
                  <w:r>
                    <w:t>0</w:t>
                  </w:r>
                </w:p>
              </w:tc>
              <w:tc>
                <w:tcPr>
                  <w:tcW w:w="900" w:type="pct"/>
                  <w:vAlign w:val="center"/>
                </w:tcPr>
                <w:p>
                  <w:pPr>
                    <w:pStyle w:val="11"/>
                    <w:bidi w:val="0"/>
                    <w:ind w:firstLine="0" w:firstLineChars="0"/>
                    <w:rPr>
                      <w:lang w:val="en-US" w:eastAsia="zh-CN"/>
                    </w:rPr>
                  </w:pPr>
                  <w:r>
                    <w:t>+</w:t>
                  </w:r>
                  <w:r>
                    <w:rPr>
                      <w:rFonts w:hint="eastAsia"/>
                      <w:lang w:val="en-US" w:eastAsia="zh-CN"/>
                    </w:rPr>
                    <w:t>2.268</w:t>
                  </w:r>
                  <w:r>
                    <w:rPr>
                      <w:rFonts w:hint="default"/>
                      <w:lang w:val="en-US" w:eastAsia="zh-CN"/>
                    </w:rPr>
                    <w:t>×10</w:t>
                  </w:r>
                  <w:r>
                    <w:rPr>
                      <w:rFonts w:hint="default"/>
                      <w:vertAlign w:val="superscript"/>
                      <w:lang w:val="en-US" w:eastAsia="zh-CN"/>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28" w:type="dxa"/>
                </w:tblCellMar>
              </w:tblPrEx>
              <w:trPr>
                <w:trHeight w:val="23" w:hRule="atLeast"/>
                <w:jc w:val="center"/>
              </w:trPr>
              <w:tc>
                <w:tcPr>
                  <w:tcW w:w="746" w:type="pct"/>
                  <w:vMerge w:val="continue"/>
                  <w:vAlign w:val="center"/>
                </w:tcPr>
                <w:p>
                  <w:pPr>
                    <w:pStyle w:val="11"/>
                    <w:bidi w:val="0"/>
                  </w:pPr>
                </w:p>
              </w:tc>
              <w:tc>
                <w:tcPr>
                  <w:tcW w:w="736" w:type="pct"/>
                  <w:vAlign w:val="center"/>
                </w:tcPr>
                <w:p>
                  <w:pPr>
                    <w:pStyle w:val="11"/>
                    <w:bidi w:val="0"/>
                    <w:ind w:firstLine="0" w:firstLineChars="0"/>
                    <w:rPr>
                      <w:lang w:val="en-US" w:eastAsia="zh-CN"/>
                    </w:rPr>
                  </w:pPr>
                  <w:r>
                    <w:t>非甲烷总烃</w:t>
                  </w:r>
                </w:p>
              </w:tc>
              <w:tc>
                <w:tcPr>
                  <w:tcW w:w="737" w:type="pct"/>
                  <w:vAlign w:val="center"/>
                </w:tcPr>
                <w:p>
                  <w:pPr>
                    <w:pStyle w:val="11"/>
                    <w:bidi w:val="0"/>
                    <w:ind w:firstLine="0" w:firstLineChars="0"/>
                    <w:rPr>
                      <w:lang w:val="en-US" w:eastAsia="zh-CN"/>
                    </w:rPr>
                  </w:pPr>
                  <w:r>
                    <w:rPr>
                      <w:rFonts w:hint="eastAsia"/>
                      <w:lang w:val="en-US" w:eastAsia="zh-CN"/>
                    </w:rPr>
                    <w:t>0.0576</w:t>
                  </w:r>
                </w:p>
              </w:tc>
              <w:tc>
                <w:tcPr>
                  <w:tcW w:w="822" w:type="pct"/>
                  <w:vAlign w:val="center"/>
                </w:tcPr>
                <w:p>
                  <w:pPr>
                    <w:pStyle w:val="11"/>
                    <w:bidi w:val="0"/>
                    <w:ind w:firstLine="0" w:firstLineChars="0"/>
                    <w:rPr>
                      <w:rFonts w:hint="default"/>
                      <w:lang w:val="en-US" w:eastAsia="zh-CN"/>
                    </w:rPr>
                  </w:pPr>
                  <w:r>
                    <w:rPr>
                      <w:rFonts w:hint="eastAsia"/>
                      <w:lang w:val="en-US" w:eastAsia="zh-CN"/>
                    </w:rPr>
                    <w:t>0.0441</w:t>
                  </w:r>
                </w:p>
              </w:tc>
              <w:tc>
                <w:tcPr>
                  <w:tcW w:w="1057" w:type="pct"/>
                  <w:vAlign w:val="center"/>
                </w:tcPr>
                <w:p>
                  <w:pPr>
                    <w:pStyle w:val="11"/>
                    <w:bidi w:val="0"/>
                    <w:ind w:firstLine="0" w:firstLineChars="0"/>
                    <w:rPr>
                      <w:lang w:val="en-US" w:eastAsia="zh-CN"/>
                    </w:rPr>
                  </w:pPr>
                  <w:r>
                    <w:rPr>
                      <w:rFonts w:hint="eastAsia"/>
                      <w:lang w:val="en-US" w:eastAsia="zh-CN"/>
                    </w:rPr>
                    <w:t>0.0576</w:t>
                  </w:r>
                </w:p>
              </w:tc>
              <w:tc>
                <w:tcPr>
                  <w:tcW w:w="900" w:type="pct"/>
                  <w:vAlign w:val="center"/>
                </w:tcPr>
                <w:p>
                  <w:pPr>
                    <w:pStyle w:val="11"/>
                    <w:bidi w:val="0"/>
                    <w:ind w:firstLine="0" w:firstLineChars="0"/>
                    <w:rPr>
                      <w:rFonts w:hint="default"/>
                      <w:lang w:val="en-US" w:eastAsia="zh-CN"/>
                    </w:rPr>
                  </w:pPr>
                  <w:r>
                    <w:rPr>
                      <w:rFonts w:hint="eastAsia"/>
                      <w:lang w:val="en-US" w:eastAsia="zh-CN"/>
                    </w:rPr>
                    <w:t>-</w:t>
                  </w:r>
                  <w:r>
                    <w:t>0.</w:t>
                  </w:r>
                  <w:r>
                    <w:rPr>
                      <w:rFonts w:hint="eastAsia"/>
                      <w:lang w:val="en-US" w:eastAsia="zh-CN"/>
                    </w:rPr>
                    <w:t>0135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28" w:type="dxa"/>
                </w:tblCellMar>
              </w:tblPrEx>
              <w:trPr>
                <w:trHeight w:val="23" w:hRule="atLeast"/>
                <w:jc w:val="center"/>
              </w:trPr>
              <w:tc>
                <w:tcPr>
                  <w:tcW w:w="746" w:type="pct"/>
                  <w:vMerge w:val="restart"/>
                  <w:vAlign w:val="center"/>
                </w:tcPr>
                <w:p>
                  <w:pPr>
                    <w:pStyle w:val="11"/>
                    <w:bidi w:val="0"/>
                  </w:pPr>
                  <w:r>
                    <w:t>废水</w:t>
                  </w:r>
                </w:p>
              </w:tc>
              <w:tc>
                <w:tcPr>
                  <w:tcW w:w="736" w:type="pct"/>
                  <w:vAlign w:val="center"/>
                </w:tcPr>
                <w:p>
                  <w:pPr>
                    <w:pStyle w:val="11"/>
                    <w:bidi w:val="0"/>
                  </w:pPr>
                  <w:r>
                    <w:t>废水（m</w:t>
                  </w:r>
                  <w:r>
                    <w:rPr>
                      <w:vertAlign w:val="superscript"/>
                    </w:rPr>
                    <w:t>3</w:t>
                  </w:r>
                  <w:r>
                    <w:t>/a）</w:t>
                  </w:r>
                </w:p>
              </w:tc>
              <w:tc>
                <w:tcPr>
                  <w:tcW w:w="737" w:type="pct"/>
                  <w:vAlign w:val="center"/>
                </w:tcPr>
                <w:p>
                  <w:pPr>
                    <w:pStyle w:val="11"/>
                    <w:bidi w:val="0"/>
                    <w:rPr>
                      <w:rFonts w:hint="default"/>
                      <w:lang w:val="en-US" w:eastAsia="zh-CN"/>
                    </w:rPr>
                  </w:pPr>
                  <w:r>
                    <w:rPr>
                      <w:rFonts w:hint="eastAsia"/>
                      <w:lang w:val="en-US" w:eastAsia="zh-CN"/>
                    </w:rPr>
                    <w:t>168</w:t>
                  </w:r>
                </w:p>
              </w:tc>
              <w:tc>
                <w:tcPr>
                  <w:tcW w:w="822" w:type="pct"/>
                  <w:vAlign w:val="center"/>
                </w:tcPr>
                <w:p>
                  <w:pPr>
                    <w:pStyle w:val="11"/>
                    <w:bidi w:val="0"/>
                  </w:pPr>
                  <w:r>
                    <w:rPr>
                      <w:rFonts w:hint="eastAsia"/>
                      <w:lang w:val="en-US" w:eastAsia="zh-CN"/>
                    </w:rPr>
                    <w:t>249.6</w:t>
                  </w:r>
                </w:p>
              </w:tc>
              <w:tc>
                <w:tcPr>
                  <w:tcW w:w="1057" w:type="pct"/>
                  <w:vAlign w:val="center"/>
                </w:tcPr>
                <w:p>
                  <w:pPr>
                    <w:pStyle w:val="11"/>
                    <w:bidi w:val="0"/>
                  </w:pPr>
                  <w:r>
                    <w:rPr>
                      <w:rFonts w:hint="eastAsia"/>
                      <w:lang w:val="en-US" w:eastAsia="zh-CN"/>
                    </w:rPr>
                    <w:t>168</w:t>
                  </w:r>
                </w:p>
              </w:tc>
              <w:tc>
                <w:tcPr>
                  <w:tcW w:w="900" w:type="pct"/>
                  <w:vAlign w:val="center"/>
                </w:tcPr>
                <w:p>
                  <w:pPr>
                    <w:pStyle w:val="11"/>
                    <w:bidi w:val="0"/>
                    <w:rPr>
                      <w:rFonts w:hint="default"/>
                      <w:lang w:val="en-US" w:eastAsia="zh-CN"/>
                    </w:rPr>
                  </w:pPr>
                  <w:r>
                    <w:t>+</w:t>
                  </w:r>
                  <w:r>
                    <w:rPr>
                      <w:rFonts w:hint="eastAsia"/>
                      <w:lang w:val="en-US" w:eastAsia="zh-CN"/>
                    </w:rPr>
                    <w:t>81.6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28" w:type="dxa"/>
                </w:tblCellMar>
              </w:tblPrEx>
              <w:trPr>
                <w:trHeight w:val="23" w:hRule="atLeast"/>
                <w:jc w:val="center"/>
              </w:trPr>
              <w:tc>
                <w:tcPr>
                  <w:tcW w:w="746" w:type="pct"/>
                  <w:vMerge w:val="continue"/>
                  <w:vAlign w:val="center"/>
                </w:tcPr>
                <w:p>
                  <w:pPr>
                    <w:pStyle w:val="11"/>
                    <w:bidi w:val="0"/>
                  </w:pPr>
                </w:p>
              </w:tc>
              <w:tc>
                <w:tcPr>
                  <w:tcW w:w="736" w:type="pct"/>
                  <w:vAlign w:val="center"/>
                </w:tcPr>
                <w:p>
                  <w:pPr>
                    <w:pStyle w:val="11"/>
                    <w:bidi w:val="0"/>
                  </w:pPr>
                  <w:r>
                    <w:t>COD</w:t>
                  </w:r>
                </w:p>
              </w:tc>
              <w:tc>
                <w:tcPr>
                  <w:tcW w:w="737" w:type="pct"/>
                  <w:vAlign w:val="center"/>
                </w:tcPr>
                <w:p>
                  <w:pPr>
                    <w:pStyle w:val="11"/>
                    <w:bidi w:val="0"/>
                  </w:pPr>
                  <w:r>
                    <w:t>0.0415</w:t>
                  </w:r>
                </w:p>
              </w:tc>
              <w:tc>
                <w:tcPr>
                  <w:tcW w:w="822" w:type="pct"/>
                  <w:vAlign w:val="center"/>
                </w:tcPr>
                <w:p>
                  <w:pPr>
                    <w:pStyle w:val="11"/>
                    <w:bidi w:val="0"/>
                    <w:rPr>
                      <w:rFonts w:hint="default"/>
                      <w:lang w:val="en-US" w:eastAsia="zh-CN"/>
                    </w:rPr>
                  </w:pPr>
                  <w:r>
                    <w:rPr>
                      <w:rFonts w:hint="eastAsia"/>
                      <w:lang w:val="en-US" w:eastAsia="zh-CN"/>
                    </w:rPr>
                    <w:t>0.0615</w:t>
                  </w:r>
                </w:p>
              </w:tc>
              <w:tc>
                <w:tcPr>
                  <w:tcW w:w="1057" w:type="pct"/>
                  <w:vAlign w:val="center"/>
                </w:tcPr>
                <w:p>
                  <w:pPr>
                    <w:pStyle w:val="11"/>
                    <w:bidi w:val="0"/>
                    <w:ind w:firstLine="0" w:firstLineChars="0"/>
                    <w:rPr>
                      <w:lang w:val="en-US" w:eastAsia="zh-CN"/>
                    </w:rPr>
                  </w:pPr>
                  <w:r>
                    <w:t>0.0415</w:t>
                  </w:r>
                </w:p>
              </w:tc>
              <w:tc>
                <w:tcPr>
                  <w:tcW w:w="900" w:type="pct"/>
                  <w:vAlign w:val="center"/>
                </w:tcPr>
                <w:p>
                  <w:pPr>
                    <w:pStyle w:val="11"/>
                    <w:bidi w:val="0"/>
                    <w:rPr>
                      <w:rFonts w:hint="default"/>
                      <w:lang w:val="en-US" w:eastAsia="zh-CN"/>
                    </w:rPr>
                  </w:pPr>
                  <w:r>
                    <w:t>+0.</w:t>
                  </w:r>
                  <w:r>
                    <w:rPr>
                      <w:rFonts w:hint="eastAsia"/>
                      <w:lang w:val="en-US" w:eastAsia="zh-CN"/>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28" w:type="dxa"/>
                </w:tblCellMar>
              </w:tblPrEx>
              <w:trPr>
                <w:trHeight w:val="23" w:hRule="atLeast"/>
                <w:jc w:val="center"/>
              </w:trPr>
              <w:tc>
                <w:tcPr>
                  <w:tcW w:w="746" w:type="pct"/>
                  <w:vMerge w:val="continue"/>
                  <w:vAlign w:val="center"/>
                </w:tcPr>
                <w:p>
                  <w:pPr>
                    <w:pStyle w:val="11"/>
                    <w:bidi w:val="0"/>
                  </w:pPr>
                </w:p>
              </w:tc>
              <w:tc>
                <w:tcPr>
                  <w:tcW w:w="736" w:type="pct"/>
                  <w:vAlign w:val="center"/>
                </w:tcPr>
                <w:p>
                  <w:pPr>
                    <w:pStyle w:val="11"/>
                    <w:bidi w:val="0"/>
                  </w:pPr>
                  <w:r>
                    <w:t>BOD</w:t>
                  </w:r>
                  <w:r>
                    <w:rPr>
                      <w:vertAlign w:val="subscript"/>
                    </w:rPr>
                    <w:t>5</w:t>
                  </w:r>
                </w:p>
              </w:tc>
              <w:tc>
                <w:tcPr>
                  <w:tcW w:w="737" w:type="pct"/>
                  <w:vAlign w:val="center"/>
                </w:tcPr>
                <w:p>
                  <w:pPr>
                    <w:pStyle w:val="11"/>
                    <w:bidi w:val="0"/>
                  </w:pPr>
                  <w:r>
                    <w:t>0.0202</w:t>
                  </w:r>
                </w:p>
              </w:tc>
              <w:tc>
                <w:tcPr>
                  <w:tcW w:w="822" w:type="pct"/>
                  <w:vAlign w:val="center"/>
                </w:tcPr>
                <w:p>
                  <w:pPr>
                    <w:pStyle w:val="11"/>
                    <w:bidi w:val="0"/>
                    <w:rPr>
                      <w:rFonts w:hint="default"/>
                      <w:lang w:val="en-US" w:eastAsia="zh-CN"/>
                    </w:rPr>
                  </w:pPr>
                  <w:r>
                    <w:t>0.0</w:t>
                  </w:r>
                  <w:r>
                    <w:rPr>
                      <w:rFonts w:hint="eastAsia"/>
                      <w:lang w:val="en-US" w:eastAsia="zh-CN"/>
                    </w:rPr>
                    <w:t>300</w:t>
                  </w:r>
                </w:p>
              </w:tc>
              <w:tc>
                <w:tcPr>
                  <w:tcW w:w="1057" w:type="pct"/>
                  <w:vAlign w:val="center"/>
                </w:tcPr>
                <w:p>
                  <w:pPr>
                    <w:pStyle w:val="11"/>
                    <w:bidi w:val="0"/>
                    <w:ind w:firstLine="0" w:firstLineChars="0"/>
                    <w:rPr>
                      <w:lang w:val="en-US" w:eastAsia="zh-CN"/>
                    </w:rPr>
                  </w:pPr>
                  <w:r>
                    <w:t>0.0202</w:t>
                  </w:r>
                </w:p>
              </w:tc>
              <w:tc>
                <w:tcPr>
                  <w:tcW w:w="900" w:type="pct"/>
                  <w:vAlign w:val="center"/>
                </w:tcPr>
                <w:p>
                  <w:pPr>
                    <w:pStyle w:val="11"/>
                    <w:bidi w:val="0"/>
                    <w:rPr>
                      <w:rFonts w:hint="default"/>
                      <w:lang w:val="en-US" w:eastAsia="zh-CN"/>
                    </w:rPr>
                  </w:pPr>
                  <w:r>
                    <w:t>+0.0</w:t>
                  </w:r>
                  <w:r>
                    <w:rPr>
                      <w:rFonts w:hint="eastAsia"/>
                      <w:lang w:val="en-US" w:eastAsia="zh-CN"/>
                    </w:rPr>
                    <w:t>098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28" w:type="dxa"/>
                </w:tblCellMar>
              </w:tblPrEx>
              <w:trPr>
                <w:trHeight w:val="23" w:hRule="atLeast"/>
                <w:jc w:val="center"/>
              </w:trPr>
              <w:tc>
                <w:tcPr>
                  <w:tcW w:w="746" w:type="pct"/>
                  <w:vMerge w:val="continue"/>
                  <w:vAlign w:val="center"/>
                </w:tcPr>
                <w:p>
                  <w:pPr>
                    <w:pStyle w:val="11"/>
                    <w:bidi w:val="0"/>
                  </w:pPr>
                </w:p>
              </w:tc>
              <w:tc>
                <w:tcPr>
                  <w:tcW w:w="736" w:type="pct"/>
                  <w:vAlign w:val="center"/>
                </w:tcPr>
                <w:p>
                  <w:pPr>
                    <w:pStyle w:val="11"/>
                    <w:bidi w:val="0"/>
                  </w:pPr>
                  <w:r>
                    <w:t>SS</w:t>
                  </w:r>
                </w:p>
              </w:tc>
              <w:tc>
                <w:tcPr>
                  <w:tcW w:w="737" w:type="pct"/>
                  <w:vAlign w:val="center"/>
                </w:tcPr>
                <w:p>
                  <w:pPr>
                    <w:pStyle w:val="11"/>
                    <w:bidi w:val="0"/>
                  </w:pPr>
                  <w:r>
                    <w:t>0.0202</w:t>
                  </w:r>
                </w:p>
              </w:tc>
              <w:tc>
                <w:tcPr>
                  <w:tcW w:w="822" w:type="pct"/>
                  <w:vAlign w:val="center"/>
                </w:tcPr>
                <w:p>
                  <w:pPr>
                    <w:pStyle w:val="11"/>
                    <w:bidi w:val="0"/>
                    <w:rPr>
                      <w:rFonts w:hint="default"/>
                      <w:lang w:val="en-US" w:eastAsia="zh-CN"/>
                    </w:rPr>
                  </w:pPr>
                  <w:r>
                    <w:t>0.0</w:t>
                  </w:r>
                  <w:r>
                    <w:rPr>
                      <w:rFonts w:hint="eastAsia"/>
                      <w:lang w:val="en-US" w:eastAsia="zh-CN"/>
                    </w:rPr>
                    <w:t>300</w:t>
                  </w:r>
                </w:p>
              </w:tc>
              <w:tc>
                <w:tcPr>
                  <w:tcW w:w="1057" w:type="pct"/>
                  <w:vAlign w:val="center"/>
                </w:tcPr>
                <w:p>
                  <w:pPr>
                    <w:pStyle w:val="11"/>
                    <w:bidi w:val="0"/>
                    <w:ind w:firstLine="0" w:firstLineChars="0"/>
                    <w:rPr>
                      <w:lang w:val="en-US" w:eastAsia="zh-CN"/>
                    </w:rPr>
                  </w:pPr>
                  <w:r>
                    <w:t>0.0202</w:t>
                  </w:r>
                </w:p>
              </w:tc>
              <w:tc>
                <w:tcPr>
                  <w:tcW w:w="900" w:type="pct"/>
                  <w:vAlign w:val="center"/>
                </w:tcPr>
                <w:p>
                  <w:pPr>
                    <w:pStyle w:val="11"/>
                    <w:bidi w:val="0"/>
                    <w:rPr>
                      <w:rFonts w:hint="default"/>
                      <w:lang w:val="en-US" w:eastAsia="zh-CN"/>
                    </w:rPr>
                  </w:pPr>
                  <w:r>
                    <w:t>+0.0</w:t>
                  </w:r>
                  <w:r>
                    <w:rPr>
                      <w:rFonts w:hint="eastAsia"/>
                      <w:lang w:val="en-US" w:eastAsia="zh-CN"/>
                    </w:rPr>
                    <w:t>098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28" w:type="dxa"/>
                </w:tblCellMar>
              </w:tblPrEx>
              <w:trPr>
                <w:trHeight w:val="23" w:hRule="atLeast"/>
                <w:jc w:val="center"/>
              </w:trPr>
              <w:tc>
                <w:tcPr>
                  <w:tcW w:w="746" w:type="pct"/>
                  <w:vMerge w:val="continue"/>
                  <w:vAlign w:val="center"/>
                </w:tcPr>
                <w:p>
                  <w:pPr>
                    <w:pStyle w:val="11"/>
                    <w:bidi w:val="0"/>
                  </w:pPr>
                </w:p>
              </w:tc>
              <w:tc>
                <w:tcPr>
                  <w:tcW w:w="736" w:type="pct"/>
                  <w:vAlign w:val="center"/>
                </w:tcPr>
                <w:p>
                  <w:pPr>
                    <w:pStyle w:val="11"/>
                    <w:bidi w:val="0"/>
                  </w:pPr>
                  <w:r>
                    <w:t>氨氮</w:t>
                  </w:r>
                </w:p>
              </w:tc>
              <w:tc>
                <w:tcPr>
                  <w:tcW w:w="737" w:type="pct"/>
                  <w:vAlign w:val="center"/>
                </w:tcPr>
                <w:p>
                  <w:pPr>
                    <w:pStyle w:val="11"/>
                    <w:bidi w:val="0"/>
                  </w:pPr>
                  <w:r>
                    <w:t>0.005</w:t>
                  </w:r>
                </w:p>
              </w:tc>
              <w:tc>
                <w:tcPr>
                  <w:tcW w:w="822" w:type="pct"/>
                  <w:vAlign w:val="center"/>
                </w:tcPr>
                <w:p>
                  <w:pPr>
                    <w:pStyle w:val="11"/>
                    <w:bidi w:val="0"/>
                    <w:rPr>
                      <w:rFonts w:hint="default"/>
                      <w:lang w:val="en-US" w:eastAsia="zh-CN"/>
                    </w:rPr>
                  </w:pPr>
                  <w:r>
                    <w:t>0.0</w:t>
                  </w:r>
                  <w:r>
                    <w:rPr>
                      <w:rFonts w:hint="eastAsia"/>
                      <w:lang w:val="en-US" w:eastAsia="zh-CN"/>
                    </w:rPr>
                    <w:t>075</w:t>
                  </w:r>
                </w:p>
              </w:tc>
              <w:tc>
                <w:tcPr>
                  <w:tcW w:w="1057" w:type="pct"/>
                  <w:vAlign w:val="center"/>
                </w:tcPr>
                <w:p>
                  <w:pPr>
                    <w:pStyle w:val="11"/>
                    <w:bidi w:val="0"/>
                    <w:ind w:firstLine="0" w:firstLineChars="0"/>
                    <w:rPr>
                      <w:lang w:val="en-US" w:eastAsia="zh-CN"/>
                    </w:rPr>
                  </w:pPr>
                  <w:r>
                    <w:t>0.005</w:t>
                  </w:r>
                </w:p>
              </w:tc>
              <w:tc>
                <w:tcPr>
                  <w:tcW w:w="900" w:type="pct"/>
                  <w:vAlign w:val="center"/>
                </w:tcPr>
                <w:p>
                  <w:pPr>
                    <w:pStyle w:val="11"/>
                    <w:bidi w:val="0"/>
                    <w:rPr>
                      <w:rFonts w:hint="default"/>
                      <w:lang w:val="en-US" w:eastAsia="zh-CN"/>
                    </w:rPr>
                  </w:pPr>
                  <w:r>
                    <w:t>+0.0</w:t>
                  </w:r>
                  <w:r>
                    <w:rPr>
                      <w:rFonts w:hint="eastAsia"/>
                      <w:lang w:val="en-US" w:eastAsia="zh-CN"/>
                    </w:rPr>
                    <w:t>025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28" w:type="dxa"/>
                </w:tblCellMar>
              </w:tblPrEx>
              <w:trPr>
                <w:trHeight w:val="23" w:hRule="atLeast"/>
                <w:jc w:val="center"/>
              </w:trPr>
              <w:tc>
                <w:tcPr>
                  <w:tcW w:w="746" w:type="pct"/>
                  <w:vMerge w:val="restart"/>
                  <w:vAlign w:val="center"/>
                </w:tcPr>
                <w:p>
                  <w:pPr>
                    <w:pStyle w:val="11"/>
                    <w:bidi w:val="0"/>
                  </w:pPr>
                  <w:r>
                    <w:t>一般固废</w:t>
                  </w:r>
                </w:p>
              </w:tc>
              <w:tc>
                <w:tcPr>
                  <w:tcW w:w="736" w:type="pct"/>
                  <w:vAlign w:val="center"/>
                </w:tcPr>
                <w:p>
                  <w:pPr>
                    <w:pStyle w:val="11"/>
                    <w:bidi w:val="0"/>
                    <w:ind w:firstLine="0" w:firstLineChars="0"/>
                    <w:jc w:val="center"/>
                    <w:rPr>
                      <w:rFonts w:hint="default"/>
                      <w:lang w:val="en-US" w:eastAsia="zh-CN"/>
                    </w:rPr>
                  </w:pPr>
                  <w:r>
                    <w:rPr>
                      <w:rFonts w:hint="eastAsia"/>
                      <w:lang w:val="en-US" w:eastAsia="zh-CN"/>
                    </w:rPr>
                    <w:t>生活垃圾</w:t>
                  </w:r>
                </w:p>
              </w:tc>
              <w:tc>
                <w:tcPr>
                  <w:tcW w:w="1219" w:type="dxa"/>
                  <w:vAlign w:val="center"/>
                </w:tcPr>
                <w:p>
                  <w:pPr>
                    <w:pStyle w:val="11"/>
                    <w:bidi w:val="0"/>
                    <w:ind w:firstLine="0" w:firstLineChars="0"/>
                    <w:rPr>
                      <w:rFonts w:hint="eastAsia"/>
                      <w:lang w:eastAsia="zh-CN"/>
                    </w:rPr>
                  </w:pPr>
                  <w:r>
                    <w:t>0</w:t>
                  </w:r>
                </w:p>
              </w:tc>
              <w:tc>
                <w:tcPr>
                  <w:tcW w:w="1360" w:type="dxa"/>
                  <w:vAlign w:val="center"/>
                </w:tcPr>
                <w:p>
                  <w:pPr>
                    <w:pStyle w:val="11"/>
                    <w:bidi w:val="0"/>
                    <w:ind w:firstLine="0" w:firstLineChars="0"/>
                    <w:rPr>
                      <w:rFonts w:hint="default"/>
                      <w:lang w:val="en-US" w:eastAsia="zh-CN"/>
                    </w:rPr>
                  </w:pPr>
                  <w:r>
                    <w:t>0</w:t>
                  </w:r>
                </w:p>
              </w:tc>
              <w:tc>
                <w:tcPr>
                  <w:tcW w:w="1748" w:type="dxa"/>
                  <w:vAlign w:val="center"/>
                </w:tcPr>
                <w:p>
                  <w:pPr>
                    <w:pStyle w:val="11"/>
                    <w:bidi w:val="0"/>
                    <w:ind w:firstLine="0" w:firstLineChars="0"/>
                    <w:rPr>
                      <w:rFonts w:hint="eastAsia"/>
                      <w:lang w:val="en-US" w:eastAsia="zh-CN"/>
                    </w:rPr>
                  </w:pPr>
                  <w:r>
                    <w:t>0</w:t>
                  </w:r>
                </w:p>
              </w:tc>
              <w:tc>
                <w:tcPr>
                  <w:tcW w:w="1489" w:type="dxa"/>
                  <w:vAlign w:val="center"/>
                </w:tcPr>
                <w:p>
                  <w:pPr>
                    <w:pStyle w:val="11"/>
                    <w:bidi w:val="0"/>
                    <w:ind w:firstLine="0" w:firstLineChars="0"/>
                    <w:rPr>
                      <w:rFonts w:hint="default"/>
                      <w:lang w:val="en-US" w:eastAsia="zh-CN"/>
                    </w:rPr>
                  </w:pPr>
                  <w: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28" w:type="dxa"/>
                </w:tblCellMar>
              </w:tblPrEx>
              <w:trPr>
                <w:trHeight w:val="23" w:hRule="atLeast"/>
                <w:jc w:val="center"/>
              </w:trPr>
              <w:tc>
                <w:tcPr>
                  <w:tcW w:w="746" w:type="pct"/>
                  <w:vMerge w:val="continue"/>
                  <w:vAlign w:val="center"/>
                </w:tcPr>
                <w:p>
                  <w:pPr>
                    <w:pStyle w:val="11"/>
                    <w:bidi w:val="0"/>
                  </w:pPr>
                </w:p>
              </w:tc>
              <w:tc>
                <w:tcPr>
                  <w:tcW w:w="736" w:type="pct"/>
                  <w:vAlign w:val="center"/>
                </w:tcPr>
                <w:p>
                  <w:pPr>
                    <w:pStyle w:val="11"/>
                    <w:bidi w:val="0"/>
                    <w:ind w:firstLine="0" w:firstLineChars="0"/>
                    <w:jc w:val="center"/>
                    <w:rPr>
                      <w:rFonts w:hint="default"/>
                      <w:lang w:val="en-US" w:eastAsia="zh-CN"/>
                    </w:rPr>
                  </w:pPr>
                  <w:r>
                    <w:rPr>
                      <w:rFonts w:hint="eastAsia"/>
                      <w:lang w:val="en-US" w:eastAsia="zh-CN"/>
                    </w:rPr>
                    <w:t>除尘卸灰</w:t>
                  </w:r>
                </w:p>
              </w:tc>
              <w:tc>
                <w:tcPr>
                  <w:tcW w:w="1219" w:type="dxa"/>
                  <w:vAlign w:val="center"/>
                </w:tcPr>
                <w:p>
                  <w:pPr>
                    <w:pStyle w:val="11"/>
                    <w:bidi w:val="0"/>
                    <w:ind w:firstLine="0" w:firstLineChars="0"/>
                  </w:pPr>
                  <w:r>
                    <w:t>0</w:t>
                  </w:r>
                </w:p>
              </w:tc>
              <w:tc>
                <w:tcPr>
                  <w:tcW w:w="1360" w:type="dxa"/>
                  <w:vAlign w:val="center"/>
                </w:tcPr>
                <w:p>
                  <w:pPr>
                    <w:pStyle w:val="11"/>
                    <w:bidi w:val="0"/>
                    <w:ind w:firstLine="0" w:firstLineChars="0"/>
                    <w:rPr>
                      <w:rFonts w:hint="default"/>
                      <w:lang w:val="en-US" w:eastAsia="zh-CN"/>
                    </w:rPr>
                  </w:pPr>
                  <w:r>
                    <w:t>0</w:t>
                  </w:r>
                </w:p>
              </w:tc>
              <w:tc>
                <w:tcPr>
                  <w:tcW w:w="1748" w:type="dxa"/>
                  <w:vAlign w:val="center"/>
                </w:tcPr>
                <w:p>
                  <w:pPr>
                    <w:pStyle w:val="11"/>
                    <w:bidi w:val="0"/>
                    <w:ind w:firstLine="0" w:firstLineChars="0"/>
                    <w:rPr>
                      <w:lang w:val="en-US" w:eastAsia="zh-CN"/>
                    </w:rPr>
                  </w:pPr>
                  <w:r>
                    <w:t>0</w:t>
                  </w:r>
                </w:p>
              </w:tc>
              <w:tc>
                <w:tcPr>
                  <w:tcW w:w="1489" w:type="dxa"/>
                  <w:vAlign w:val="center"/>
                </w:tcPr>
                <w:p>
                  <w:pPr>
                    <w:pStyle w:val="11"/>
                    <w:bidi w:val="0"/>
                    <w:ind w:firstLine="0" w:firstLineChars="0"/>
                    <w:rPr>
                      <w:rFonts w:hint="default"/>
                      <w:lang w:val="en-US" w:eastAsia="zh-CN"/>
                    </w:rPr>
                  </w:pPr>
                  <w: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28" w:type="dxa"/>
                </w:tblCellMar>
              </w:tblPrEx>
              <w:trPr>
                <w:trHeight w:val="23" w:hRule="atLeast"/>
                <w:jc w:val="center"/>
              </w:trPr>
              <w:tc>
                <w:tcPr>
                  <w:tcW w:w="746" w:type="pct"/>
                  <w:vMerge w:val="continue"/>
                  <w:vAlign w:val="center"/>
                </w:tcPr>
                <w:p>
                  <w:pPr>
                    <w:pStyle w:val="11"/>
                    <w:bidi w:val="0"/>
                  </w:pPr>
                </w:p>
              </w:tc>
              <w:tc>
                <w:tcPr>
                  <w:tcW w:w="736" w:type="pct"/>
                  <w:vAlign w:val="center"/>
                </w:tcPr>
                <w:p>
                  <w:pPr>
                    <w:pStyle w:val="11"/>
                    <w:bidi w:val="0"/>
                    <w:ind w:firstLine="0" w:firstLineChars="0"/>
                    <w:jc w:val="center"/>
                    <w:rPr>
                      <w:rFonts w:hint="default"/>
                      <w:lang w:val="en-US" w:eastAsia="zh-CN"/>
                    </w:rPr>
                  </w:pPr>
                  <w:r>
                    <w:rPr>
                      <w:rFonts w:hint="eastAsia"/>
                      <w:lang w:val="en-US" w:eastAsia="zh-CN"/>
                    </w:rPr>
                    <w:t>金属废料</w:t>
                  </w:r>
                </w:p>
              </w:tc>
              <w:tc>
                <w:tcPr>
                  <w:tcW w:w="1219" w:type="dxa"/>
                  <w:vAlign w:val="center"/>
                </w:tcPr>
                <w:p>
                  <w:pPr>
                    <w:pStyle w:val="11"/>
                    <w:bidi w:val="0"/>
                    <w:ind w:firstLine="0" w:firstLineChars="0"/>
                  </w:pPr>
                  <w:r>
                    <w:t>0</w:t>
                  </w:r>
                </w:p>
              </w:tc>
              <w:tc>
                <w:tcPr>
                  <w:tcW w:w="1360" w:type="dxa"/>
                  <w:vAlign w:val="center"/>
                </w:tcPr>
                <w:p>
                  <w:pPr>
                    <w:pStyle w:val="11"/>
                    <w:bidi w:val="0"/>
                    <w:ind w:firstLine="0" w:firstLineChars="0"/>
                    <w:rPr>
                      <w:rFonts w:hint="default"/>
                      <w:lang w:val="en-US" w:eastAsia="zh-CN"/>
                    </w:rPr>
                  </w:pPr>
                  <w:r>
                    <w:t>0</w:t>
                  </w:r>
                </w:p>
              </w:tc>
              <w:tc>
                <w:tcPr>
                  <w:tcW w:w="1748" w:type="dxa"/>
                  <w:vAlign w:val="center"/>
                </w:tcPr>
                <w:p>
                  <w:pPr>
                    <w:pStyle w:val="11"/>
                    <w:bidi w:val="0"/>
                    <w:ind w:firstLine="0" w:firstLineChars="0"/>
                    <w:rPr>
                      <w:lang w:val="en-US" w:eastAsia="zh-CN"/>
                    </w:rPr>
                  </w:pPr>
                  <w:r>
                    <w:t>0</w:t>
                  </w:r>
                </w:p>
              </w:tc>
              <w:tc>
                <w:tcPr>
                  <w:tcW w:w="1489" w:type="dxa"/>
                  <w:vAlign w:val="center"/>
                </w:tcPr>
                <w:p>
                  <w:pPr>
                    <w:pStyle w:val="11"/>
                    <w:bidi w:val="0"/>
                    <w:ind w:firstLine="0" w:firstLineChars="0"/>
                    <w:rPr>
                      <w:rFonts w:hint="default"/>
                      <w:lang w:val="en-US" w:eastAsia="zh-CN"/>
                    </w:rPr>
                  </w:pPr>
                  <w: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28" w:type="dxa"/>
                </w:tblCellMar>
              </w:tblPrEx>
              <w:trPr>
                <w:trHeight w:val="23" w:hRule="atLeast"/>
                <w:jc w:val="center"/>
              </w:trPr>
              <w:tc>
                <w:tcPr>
                  <w:tcW w:w="746" w:type="pct"/>
                  <w:vMerge w:val="continue"/>
                  <w:vAlign w:val="center"/>
                </w:tcPr>
                <w:p>
                  <w:pPr>
                    <w:pStyle w:val="11"/>
                    <w:bidi w:val="0"/>
                  </w:pPr>
                </w:p>
              </w:tc>
              <w:tc>
                <w:tcPr>
                  <w:tcW w:w="736" w:type="pct"/>
                  <w:vAlign w:val="center"/>
                </w:tcPr>
                <w:p>
                  <w:pPr>
                    <w:pStyle w:val="11"/>
                    <w:bidi w:val="0"/>
                    <w:ind w:firstLine="0" w:firstLineChars="0"/>
                    <w:jc w:val="center"/>
                    <w:rPr>
                      <w:rFonts w:hint="default"/>
                      <w:lang w:val="en-US" w:eastAsia="zh-CN"/>
                    </w:rPr>
                  </w:pPr>
                  <w:r>
                    <w:rPr>
                      <w:rFonts w:hint="eastAsia"/>
                      <w:lang w:val="en-US" w:eastAsia="zh-CN"/>
                    </w:rPr>
                    <w:t>橡胶废料</w:t>
                  </w:r>
                </w:p>
              </w:tc>
              <w:tc>
                <w:tcPr>
                  <w:tcW w:w="1219" w:type="dxa"/>
                  <w:vAlign w:val="center"/>
                </w:tcPr>
                <w:p>
                  <w:pPr>
                    <w:pStyle w:val="11"/>
                    <w:bidi w:val="0"/>
                    <w:ind w:firstLine="0" w:firstLineChars="0"/>
                    <w:rPr>
                      <w:rFonts w:hint="default"/>
                      <w:lang w:val="en-US" w:eastAsia="zh-CN"/>
                    </w:rPr>
                  </w:pPr>
                  <w:r>
                    <w:t>0</w:t>
                  </w:r>
                </w:p>
              </w:tc>
              <w:tc>
                <w:tcPr>
                  <w:tcW w:w="1360" w:type="dxa"/>
                  <w:vAlign w:val="center"/>
                </w:tcPr>
                <w:p>
                  <w:pPr>
                    <w:pStyle w:val="11"/>
                    <w:bidi w:val="0"/>
                    <w:ind w:firstLine="0" w:firstLineChars="0"/>
                    <w:rPr>
                      <w:rFonts w:hint="default"/>
                      <w:lang w:val="en-US" w:eastAsia="zh-CN"/>
                    </w:rPr>
                  </w:pPr>
                  <w:r>
                    <w:t>0</w:t>
                  </w:r>
                </w:p>
              </w:tc>
              <w:tc>
                <w:tcPr>
                  <w:tcW w:w="1748" w:type="dxa"/>
                  <w:vAlign w:val="center"/>
                </w:tcPr>
                <w:p>
                  <w:pPr>
                    <w:pStyle w:val="11"/>
                    <w:bidi w:val="0"/>
                    <w:ind w:firstLine="0" w:firstLineChars="0"/>
                    <w:rPr>
                      <w:rFonts w:hint="default"/>
                      <w:lang w:val="en-US" w:eastAsia="zh-CN"/>
                    </w:rPr>
                  </w:pPr>
                  <w:r>
                    <w:t>0</w:t>
                  </w:r>
                </w:p>
              </w:tc>
              <w:tc>
                <w:tcPr>
                  <w:tcW w:w="1489" w:type="dxa"/>
                  <w:vAlign w:val="center"/>
                </w:tcPr>
                <w:p>
                  <w:pPr>
                    <w:pStyle w:val="11"/>
                    <w:bidi w:val="0"/>
                    <w:ind w:firstLine="0" w:firstLineChars="0"/>
                    <w:rPr>
                      <w:rFonts w:hint="default"/>
                      <w:lang w:val="en-US" w:eastAsia="zh-CN"/>
                    </w:rPr>
                  </w:pPr>
                  <w: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28" w:type="dxa"/>
                </w:tblCellMar>
              </w:tblPrEx>
              <w:trPr>
                <w:trHeight w:val="23" w:hRule="atLeast"/>
                <w:jc w:val="center"/>
              </w:trPr>
              <w:tc>
                <w:tcPr>
                  <w:tcW w:w="746" w:type="pct"/>
                  <w:vMerge w:val="continue"/>
                  <w:vAlign w:val="center"/>
                </w:tcPr>
                <w:p>
                  <w:pPr>
                    <w:pStyle w:val="11"/>
                    <w:bidi w:val="0"/>
                  </w:pPr>
                </w:p>
              </w:tc>
              <w:tc>
                <w:tcPr>
                  <w:tcW w:w="736" w:type="pct"/>
                  <w:vAlign w:val="center"/>
                </w:tcPr>
                <w:p>
                  <w:pPr>
                    <w:pStyle w:val="11"/>
                    <w:bidi w:val="0"/>
                    <w:ind w:firstLine="0" w:firstLineChars="0"/>
                    <w:jc w:val="center"/>
                    <w:rPr>
                      <w:rFonts w:hint="default"/>
                      <w:lang w:val="en-US" w:eastAsia="zh-CN"/>
                    </w:rPr>
                  </w:pPr>
                  <w:r>
                    <w:rPr>
                      <w:rFonts w:hint="eastAsia"/>
                      <w:lang w:val="en-US" w:eastAsia="zh-CN"/>
                    </w:rPr>
                    <w:t>包装废料</w:t>
                  </w:r>
                </w:p>
              </w:tc>
              <w:tc>
                <w:tcPr>
                  <w:tcW w:w="1219" w:type="dxa"/>
                  <w:vAlign w:val="center"/>
                </w:tcPr>
                <w:p>
                  <w:pPr>
                    <w:pStyle w:val="11"/>
                    <w:bidi w:val="0"/>
                    <w:ind w:firstLine="0" w:firstLineChars="0"/>
                    <w:rPr>
                      <w:rFonts w:hint="default"/>
                      <w:lang w:val="en-US" w:eastAsia="zh-CN"/>
                    </w:rPr>
                  </w:pPr>
                  <w:r>
                    <w:t>0</w:t>
                  </w:r>
                </w:p>
              </w:tc>
              <w:tc>
                <w:tcPr>
                  <w:tcW w:w="1360" w:type="dxa"/>
                  <w:vAlign w:val="center"/>
                </w:tcPr>
                <w:p>
                  <w:pPr>
                    <w:pStyle w:val="11"/>
                    <w:bidi w:val="0"/>
                    <w:ind w:firstLine="0" w:firstLineChars="0"/>
                    <w:rPr>
                      <w:rFonts w:hint="default"/>
                      <w:lang w:val="en-US" w:eastAsia="zh-CN"/>
                    </w:rPr>
                  </w:pPr>
                  <w:r>
                    <w:t>0</w:t>
                  </w:r>
                </w:p>
              </w:tc>
              <w:tc>
                <w:tcPr>
                  <w:tcW w:w="1748" w:type="dxa"/>
                  <w:vAlign w:val="center"/>
                </w:tcPr>
                <w:p>
                  <w:pPr>
                    <w:pStyle w:val="11"/>
                    <w:bidi w:val="0"/>
                    <w:ind w:firstLine="0" w:firstLineChars="0"/>
                    <w:rPr>
                      <w:rFonts w:hint="default"/>
                      <w:lang w:val="en-US" w:eastAsia="zh-CN"/>
                    </w:rPr>
                  </w:pPr>
                  <w:r>
                    <w:t>0</w:t>
                  </w:r>
                </w:p>
              </w:tc>
              <w:tc>
                <w:tcPr>
                  <w:tcW w:w="1489" w:type="dxa"/>
                  <w:vAlign w:val="center"/>
                </w:tcPr>
                <w:p>
                  <w:pPr>
                    <w:pStyle w:val="11"/>
                    <w:bidi w:val="0"/>
                    <w:ind w:firstLine="0" w:firstLineChars="0"/>
                    <w:rPr>
                      <w:rFonts w:hint="default"/>
                      <w:lang w:val="en-US" w:eastAsia="zh-CN"/>
                    </w:rPr>
                  </w:pPr>
                  <w: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28" w:type="dxa"/>
                </w:tblCellMar>
              </w:tblPrEx>
              <w:trPr>
                <w:trHeight w:val="23" w:hRule="atLeast"/>
                <w:jc w:val="center"/>
              </w:trPr>
              <w:tc>
                <w:tcPr>
                  <w:tcW w:w="746" w:type="pct"/>
                  <w:vMerge w:val="continue"/>
                </w:tcPr>
                <w:p>
                  <w:pPr>
                    <w:pStyle w:val="11"/>
                    <w:bidi w:val="0"/>
                  </w:pPr>
                </w:p>
              </w:tc>
              <w:tc>
                <w:tcPr>
                  <w:tcW w:w="1220" w:type="dxa"/>
                  <w:vAlign w:val="center"/>
                </w:tcPr>
                <w:p>
                  <w:pPr>
                    <w:pStyle w:val="11"/>
                    <w:bidi w:val="0"/>
                    <w:ind w:firstLine="0" w:firstLineChars="0"/>
                    <w:jc w:val="center"/>
                    <w:rPr>
                      <w:rFonts w:hint="eastAsia"/>
                      <w:lang w:val="en-US" w:eastAsia="zh-CN"/>
                    </w:rPr>
                  </w:pPr>
                  <w:r>
                    <w:rPr>
                      <w:rFonts w:hint="eastAsia"/>
                      <w:lang w:val="en-US" w:eastAsia="zh-CN"/>
                    </w:rPr>
                    <w:t>废UV灯管</w:t>
                  </w:r>
                </w:p>
              </w:tc>
              <w:tc>
                <w:tcPr>
                  <w:tcW w:w="1222" w:type="dxa"/>
                  <w:vAlign w:val="center"/>
                </w:tcPr>
                <w:p>
                  <w:pPr>
                    <w:pStyle w:val="11"/>
                    <w:bidi w:val="0"/>
                    <w:ind w:firstLine="0" w:firstLineChars="0"/>
                    <w:rPr>
                      <w:rFonts w:hint="eastAsia"/>
                      <w:lang w:val="en-US" w:eastAsia="zh-CN"/>
                    </w:rPr>
                  </w:pPr>
                  <w:r>
                    <w:t>0</w:t>
                  </w:r>
                </w:p>
              </w:tc>
              <w:tc>
                <w:tcPr>
                  <w:tcW w:w="1363" w:type="dxa"/>
                  <w:vAlign w:val="center"/>
                </w:tcPr>
                <w:p>
                  <w:pPr>
                    <w:pStyle w:val="11"/>
                    <w:bidi w:val="0"/>
                    <w:ind w:firstLine="0" w:firstLineChars="0"/>
                    <w:rPr>
                      <w:rFonts w:hint="default"/>
                      <w:lang w:val="en-US" w:eastAsia="zh-CN"/>
                    </w:rPr>
                  </w:pPr>
                  <w:r>
                    <w:t>0</w:t>
                  </w:r>
                </w:p>
              </w:tc>
              <w:tc>
                <w:tcPr>
                  <w:tcW w:w="1752" w:type="dxa"/>
                  <w:vAlign w:val="center"/>
                </w:tcPr>
                <w:p>
                  <w:pPr>
                    <w:pStyle w:val="11"/>
                    <w:bidi w:val="0"/>
                    <w:ind w:firstLine="0" w:firstLineChars="0"/>
                    <w:rPr>
                      <w:rFonts w:hint="eastAsia"/>
                      <w:lang w:val="en-US" w:eastAsia="zh-CN"/>
                    </w:rPr>
                  </w:pPr>
                  <w:r>
                    <w:t>0</w:t>
                  </w:r>
                </w:p>
              </w:tc>
              <w:tc>
                <w:tcPr>
                  <w:tcW w:w="1492" w:type="dxa"/>
                  <w:vAlign w:val="center"/>
                </w:tcPr>
                <w:p>
                  <w:pPr>
                    <w:pStyle w:val="11"/>
                    <w:bidi w:val="0"/>
                    <w:ind w:firstLine="0" w:firstLineChars="0"/>
                    <w:rPr>
                      <w:rFonts w:hint="default"/>
                      <w:lang w:val="en-US" w:eastAsia="zh-CN"/>
                    </w:rPr>
                  </w:pPr>
                  <w: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28" w:type="dxa"/>
                </w:tblCellMar>
              </w:tblPrEx>
              <w:trPr>
                <w:trHeight w:val="23" w:hRule="atLeast"/>
                <w:jc w:val="center"/>
              </w:trPr>
              <w:tc>
                <w:tcPr>
                  <w:tcW w:w="746" w:type="pct"/>
                  <w:vMerge w:val="restart"/>
                  <w:vAlign w:val="center"/>
                </w:tcPr>
                <w:p>
                  <w:pPr>
                    <w:pStyle w:val="11"/>
                    <w:bidi w:val="0"/>
                    <w:jc w:val="center"/>
                  </w:pPr>
                  <w:r>
                    <w:t>危险废物</w:t>
                  </w:r>
                </w:p>
              </w:tc>
              <w:tc>
                <w:tcPr>
                  <w:tcW w:w="1220" w:type="dxa"/>
                  <w:vAlign w:val="center"/>
                </w:tcPr>
                <w:p>
                  <w:pPr>
                    <w:pStyle w:val="11"/>
                    <w:bidi w:val="0"/>
                    <w:ind w:firstLine="0" w:firstLineChars="0"/>
                    <w:jc w:val="center"/>
                    <w:rPr>
                      <w:rFonts w:hint="default"/>
                      <w:lang w:val="en-US" w:eastAsia="zh-CN"/>
                    </w:rPr>
                  </w:pPr>
                  <w:r>
                    <w:rPr>
                      <w:rFonts w:hint="eastAsia"/>
                      <w:lang w:val="en-US" w:eastAsia="zh-CN"/>
                    </w:rPr>
                    <w:t>废液压油</w:t>
                  </w:r>
                </w:p>
              </w:tc>
              <w:tc>
                <w:tcPr>
                  <w:tcW w:w="1222" w:type="dxa"/>
                  <w:vAlign w:val="center"/>
                </w:tcPr>
                <w:p>
                  <w:pPr>
                    <w:pStyle w:val="11"/>
                    <w:bidi w:val="0"/>
                    <w:ind w:firstLine="0" w:firstLineChars="0"/>
                    <w:rPr>
                      <w:rFonts w:hint="default"/>
                      <w:lang w:val="en-US" w:eastAsia="zh-CN"/>
                    </w:rPr>
                  </w:pPr>
                  <w:r>
                    <w:t>0</w:t>
                  </w:r>
                </w:p>
              </w:tc>
              <w:tc>
                <w:tcPr>
                  <w:tcW w:w="1363" w:type="dxa"/>
                  <w:vAlign w:val="center"/>
                </w:tcPr>
                <w:p>
                  <w:pPr>
                    <w:pStyle w:val="11"/>
                    <w:bidi w:val="0"/>
                    <w:ind w:firstLine="0" w:firstLineChars="0"/>
                    <w:rPr>
                      <w:rFonts w:hint="default"/>
                      <w:lang w:val="en-US" w:eastAsia="zh-CN"/>
                    </w:rPr>
                  </w:pPr>
                  <w:r>
                    <w:t>0</w:t>
                  </w:r>
                </w:p>
              </w:tc>
              <w:tc>
                <w:tcPr>
                  <w:tcW w:w="1752" w:type="dxa"/>
                  <w:vAlign w:val="center"/>
                </w:tcPr>
                <w:p>
                  <w:pPr>
                    <w:pStyle w:val="11"/>
                    <w:bidi w:val="0"/>
                    <w:ind w:firstLine="0" w:firstLineChars="0"/>
                    <w:rPr>
                      <w:rFonts w:hint="default"/>
                      <w:lang w:val="en-US" w:eastAsia="zh-CN"/>
                    </w:rPr>
                  </w:pPr>
                  <w:r>
                    <w:t>0</w:t>
                  </w:r>
                </w:p>
              </w:tc>
              <w:tc>
                <w:tcPr>
                  <w:tcW w:w="1492" w:type="dxa"/>
                  <w:vAlign w:val="center"/>
                </w:tcPr>
                <w:p>
                  <w:pPr>
                    <w:pStyle w:val="11"/>
                    <w:bidi w:val="0"/>
                    <w:ind w:firstLine="0" w:firstLineChars="0"/>
                    <w:rPr>
                      <w:rFonts w:hint="default"/>
                      <w:lang w:val="en-US" w:eastAsia="zh-CN"/>
                    </w:rPr>
                  </w:pPr>
                  <w: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28" w:type="dxa"/>
                </w:tblCellMar>
              </w:tblPrEx>
              <w:trPr>
                <w:trHeight w:val="23" w:hRule="atLeast"/>
                <w:jc w:val="center"/>
              </w:trPr>
              <w:tc>
                <w:tcPr>
                  <w:tcW w:w="746" w:type="pct"/>
                  <w:vMerge w:val="continue"/>
                </w:tcPr>
                <w:p>
                  <w:pPr>
                    <w:pStyle w:val="11"/>
                    <w:bidi w:val="0"/>
                  </w:pPr>
                </w:p>
              </w:tc>
              <w:tc>
                <w:tcPr>
                  <w:tcW w:w="1220" w:type="dxa"/>
                  <w:vAlign w:val="center"/>
                </w:tcPr>
                <w:p>
                  <w:pPr>
                    <w:pStyle w:val="11"/>
                    <w:bidi w:val="0"/>
                    <w:ind w:firstLine="0" w:firstLineChars="0"/>
                    <w:jc w:val="center"/>
                    <w:rPr>
                      <w:rFonts w:hint="default"/>
                      <w:lang w:val="en-US" w:eastAsia="zh-CN"/>
                    </w:rPr>
                  </w:pPr>
                  <w:r>
                    <w:rPr>
                      <w:rFonts w:hint="eastAsia"/>
                      <w:lang w:val="en-US" w:eastAsia="zh-CN"/>
                    </w:rPr>
                    <w:t>废活性炭</w:t>
                  </w:r>
                </w:p>
              </w:tc>
              <w:tc>
                <w:tcPr>
                  <w:tcW w:w="1222" w:type="dxa"/>
                  <w:vAlign w:val="center"/>
                </w:tcPr>
                <w:p>
                  <w:pPr>
                    <w:pStyle w:val="11"/>
                    <w:bidi w:val="0"/>
                    <w:ind w:firstLine="0" w:firstLineChars="0"/>
                    <w:rPr>
                      <w:rFonts w:hint="default"/>
                      <w:lang w:val="en-US" w:eastAsia="zh-CN"/>
                    </w:rPr>
                  </w:pPr>
                  <w:r>
                    <w:t>0</w:t>
                  </w:r>
                </w:p>
              </w:tc>
              <w:tc>
                <w:tcPr>
                  <w:tcW w:w="1363" w:type="dxa"/>
                  <w:vAlign w:val="center"/>
                </w:tcPr>
                <w:p>
                  <w:pPr>
                    <w:pStyle w:val="11"/>
                    <w:bidi w:val="0"/>
                    <w:ind w:firstLine="0" w:firstLineChars="0"/>
                    <w:rPr>
                      <w:rFonts w:hint="default"/>
                      <w:lang w:val="en-US" w:eastAsia="zh-CN"/>
                    </w:rPr>
                  </w:pPr>
                  <w:r>
                    <w:t>0</w:t>
                  </w:r>
                </w:p>
              </w:tc>
              <w:tc>
                <w:tcPr>
                  <w:tcW w:w="1752" w:type="dxa"/>
                  <w:vAlign w:val="center"/>
                </w:tcPr>
                <w:p>
                  <w:pPr>
                    <w:pStyle w:val="11"/>
                    <w:bidi w:val="0"/>
                    <w:ind w:firstLine="0" w:firstLineChars="0"/>
                    <w:rPr>
                      <w:rFonts w:hint="default"/>
                      <w:lang w:val="en-US" w:eastAsia="zh-CN"/>
                    </w:rPr>
                  </w:pPr>
                  <w:r>
                    <w:t>0</w:t>
                  </w:r>
                </w:p>
              </w:tc>
              <w:tc>
                <w:tcPr>
                  <w:tcW w:w="1492" w:type="dxa"/>
                  <w:vAlign w:val="center"/>
                </w:tcPr>
                <w:p>
                  <w:pPr>
                    <w:pStyle w:val="11"/>
                    <w:bidi w:val="0"/>
                    <w:ind w:firstLine="0" w:firstLineChars="0"/>
                    <w:rPr>
                      <w:rFonts w:hint="default"/>
                      <w:lang w:val="en-US" w:eastAsia="zh-CN"/>
                    </w:rPr>
                  </w:pPr>
                  <w:r>
                    <w:t>0</w:t>
                  </w:r>
                </w:p>
              </w:tc>
            </w:tr>
          </w:tbl>
          <w:p>
            <w:pPr>
              <w:pStyle w:val="4"/>
              <w:bidi w:val="0"/>
            </w:pPr>
            <w:r>
              <w:t>1</w:t>
            </w:r>
            <w:r>
              <w:rPr>
                <w:rFonts w:hint="eastAsia"/>
                <w:lang w:val="en-US" w:eastAsia="zh-CN"/>
              </w:rPr>
              <w:t>1</w:t>
            </w:r>
            <w:r>
              <w:rPr>
                <w:rFonts w:hint="eastAsia"/>
                <w:lang w:eastAsia="zh-CN"/>
              </w:rPr>
              <w:t>、</w:t>
            </w:r>
            <w:r>
              <w:t>建设项目环保设施一览表</w:t>
            </w:r>
          </w:p>
          <w:p>
            <w:pPr>
              <w:spacing w:line="360" w:lineRule="auto"/>
              <w:ind w:firstLine="480" w:firstLineChars="200"/>
              <w:jc w:val="left"/>
            </w:pPr>
            <w:r>
              <w:t>本项目总投</w:t>
            </w:r>
            <w:r>
              <w:rPr>
                <w:rFonts w:hint="eastAsia"/>
                <w:lang w:val="en-US" w:eastAsia="zh-CN"/>
              </w:rPr>
              <w:t>20000</w:t>
            </w:r>
            <w:r>
              <w:t>万元，其中环保投资</w:t>
            </w:r>
            <w:r>
              <w:rPr>
                <w:rFonts w:hint="eastAsia"/>
                <w:lang w:val="en-US" w:eastAsia="zh-CN"/>
              </w:rPr>
              <w:t>16</w:t>
            </w:r>
            <w:r>
              <w:t>万元，占总投资的</w:t>
            </w:r>
            <w:r>
              <w:rPr>
                <w:rFonts w:hint="eastAsia"/>
                <w:lang w:val="en-US" w:eastAsia="zh-CN"/>
              </w:rPr>
              <w:t>0.08</w:t>
            </w:r>
            <w:r>
              <w:t>%。项目环保“三同时”验收和环保投资估算一览见表4-1</w:t>
            </w:r>
            <w:r>
              <w:rPr>
                <w:rFonts w:hint="eastAsia"/>
                <w:lang w:val="en-US" w:eastAsia="zh-CN"/>
              </w:rPr>
              <w:t>6</w:t>
            </w:r>
            <w:r>
              <w:t>。</w:t>
            </w:r>
          </w:p>
          <w:p>
            <w:pPr>
              <w:spacing w:line="360" w:lineRule="auto"/>
              <w:ind w:firstLine="480" w:firstLineChars="200"/>
              <w:jc w:val="left"/>
            </w:pPr>
          </w:p>
          <w:p>
            <w:pPr>
              <w:spacing w:line="360" w:lineRule="auto"/>
              <w:ind w:firstLine="480" w:firstLineChars="200"/>
              <w:jc w:val="left"/>
            </w:pPr>
          </w:p>
          <w:p>
            <w:pPr>
              <w:spacing w:line="360" w:lineRule="auto"/>
              <w:ind w:firstLine="480" w:firstLineChars="200"/>
              <w:jc w:val="left"/>
            </w:pPr>
          </w:p>
          <w:p>
            <w:pPr>
              <w:pStyle w:val="12"/>
              <w:widowControl w:val="0"/>
              <w:bidi w:val="0"/>
            </w:pPr>
            <w:r>
              <w:t>表4-1</w:t>
            </w:r>
            <w:r>
              <w:rPr>
                <w:rFonts w:hint="eastAsia"/>
                <w:lang w:val="en-US" w:eastAsia="zh-CN"/>
              </w:rPr>
              <w:t>6</w:t>
            </w:r>
            <w:r>
              <w:t xml:space="preserve">   项目环保“三同时”验收和环保投资估算一览表</w:t>
            </w:r>
          </w:p>
          <w:tbl>
            <w:tblPr>
              <w:tblStyle w:val="8"/>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1" w:type="dxa"/>
                <w:bottom w:w="0" w:type="dxa"/>
                <w:right w:w="51" w:type="dxa"/>
              </w:tblCellMar>
            </w:tblPr>
            <w:tblGrid>
              <w:gridCol w:w="562"/>
              <w:gridCol w:w="1177"/>
              <w:gridCol w:w="1291"/>
              <w:gridCol w:w="666"/>
              <w:gridCol w:w="868"/>
              <w:gridCol w:w="36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438" w:hRule="atLeast"/>
                <w:jc w:val="center"/>
              </w:trPr>
              <w:tc>
                <w:tcPr>
                  <w:tcW w:w="340" w:type="pct"/>
                  <w:vAlign w:val="center"/>
                </w:tcPr>
                <w:p>
                  <w:pPr>
                    <w:pStyle w:val="11"/>
                    <w:bidi w:val="0"/>
                  </w:pPr>
                  <w:r>
                    <w:t>项目</w:t>
                  </w:r>
                </w:p>
              </w:tc>
              <w:tc>
                <w:tcPr>
                  <w:tcW w:w="712" w:type="pct"/>
                  <w:vAlign w:val="center"/>
                </w:tcPr>
                <w:p>
                  <w:pPr>
                    <w:pStyle w:val="11"/>
                    <w:bidi w:val="0"/>
                  </w:pPr>
                  <w:r>
                    <w:t>类别</w:t>
                  </w:r>
                </w:p>
              </w:tc>
              <w:tc>
                <w:tcPr>
                  <w:tcW w:w="781" w:type="pct"/>
                  <w:vAlign w:val="center"/>
                </w:tcPr>
                <w:p>
                  <w:pPr>
                    <w:pStyle w:val="11"/>
                    <w:bidi w:val="0"/>
                  </w:pPr>
                  <w:r>
                    <w:t>环保措</w:t>
                  </w:r>
                </w:p>
                <w:p>
                  <w:pPr>
                    <w:pStyle w:val="11"/>
                    <w:bidi w:val="0"/>
                  </w:pPr>
                  <w:r>
                    <w:t>施内容</w:t>
                  </w:r>
                </w:p>
              </w:tc>
              <w:tc>
                <w:tcPr>
                  <w:tcW w:w="403" w:type="pct"/>
                  <w:vAlign w:val="center"/>
                </w:tcPr>
                <w:p>
                  <w:pPr>
                    <w:pStyle w:val="11"/>
                    <w:bidi w:val="0"/>
                  </w:pPr>
                  <w:r>
                    <w:t>规格数量</w:t>
                  </w:r>
                </w:p>
              </w:tc>
              <w:tc>
                <w:tcPr>
                  <w:tcW w:w="525" w:type="pct"/>
                  <w:vAlign w:val="center"/>
                </w:tcPr>
                <w:p>
                  <w:pPr>
                    <w:pStyle w:val="11"/>
                    <w:bidi w:val="0"/>
                  </w:pPr>
                  <w:r>
                    <w:t>投资</w:t>
                  </w:r>
                </w:p>
                <w:p>
                  <w:pPr>
                    <w:pStyle w:val="11"/>
                    <w:bidi w:val="0"/>
                  </w:pPr>
                  <w:r>
                    <w:t>（万元）</w:t>
                  </w:r>
                </w:p>
              </w:tc>
              <w:tc>
                <w:tcPr>
                  <w:tcW w:w="2237" w:type="pct"/>
                  <w:vAlign w:val="center"/>
                </w:tcPr>
                <w:p>
                  <w:pPr>
                    <w:pStyle w:val="11"/>
                    <w:bidi w:val="0"/>
                  </w:pPr>
                  <w:r>
                    <w:t>验收标准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210" w:hRule="atLeast"/>
                <w:jc w:val="center"/>
              </w:trPr>
              <w:tc>
                <w:tcPr>
                  <w:tcW w:w="340" w:type="pct"/>
                  <w:vMerge w:val="restart"/>
                  <w:vAlign w:val="center"/>
                </w:tcPr>
                <w:p>
                  <w:pPr>
                    <w:pStyle w:val="11"/>
                    <w:bidi w:val="0"/>
                  </w:pPr>
                  <w:r>
                    <w:t>废气</w:t>
                  </w:r>
                </w:p>
              </w:tc>
              <w:tc>
                <w:tcPr>
                  <w:tcW w:w="712" w:type="pct"/>
                  <w:vAlign w:val="center"/>
                </w:tcPr>
                <w:p>
                  <w:pPr>
                    <w:pStyle w:val="11"/>
                    <w:bidi w:val="0"/>
                    <w:ind w:firstLine="0" w:firstLineChars="0"/>
                    <w:rPr>
                      <w:rFonts w:hint="eastAsia"/>
                      <w:lang w:val="en-US" w:eastAsia="zh-CN"/>
                    </w:rPr>
                  </w:pPr>
                  <w:r>
                    <w:rPr>
                      <w:rFonts w:hint="eastAsia"/>
                      <w:lang w:val="en-US" w:eastAsia="zh-CN"/>
                    </w:rPr>
                    <w:t>混胶废气</w:t>
                  </w:r>
                </w:p>
              </w:tc>
              <w:tc>
                <w:tcPr>
                  <w:tcW w:w="781" w:type="pct"/>
                  <w:vAlign w:val="center"/>
                </w:tcPr>
                <w:p>
                  <w:pPr>
                    <w:pStyle w:val="11"/>
                    <w:bidi w:val="0"/>
                    <w:rPr>
                      <w:rFonts w:hint="eastAsia" w:eastAsia="宋体"/>
                      <w:lang w:val="en-US" w:eastAsia="zh-CN"/>
                    </w:rPr>
                  </w:pPr>
                  <w:r>
                    <w:rPr>
                      <w:rFonts w:hint="eastAsia"/>
                      <w:lang w:val="en-US" w:eastAsia="zh-CN"/>
                    </w:rPr>
                    <w:t>袋式除尘器</w:t>
                  </w:r>
                </w:p>
              </w:tc>
              <w:tc>
                <w:tcPr>
                  <w:tcW w:w="403" w:type="pct"/>
                  <w:vAlign w:val="center"/>
                </w:tcPr>
                <w:p>
                  <w:pPr>
                    <w:pStyle w:val="11"/>
                    <w:bidi w:val="0"/>
                  </w:pPr>
                  <w:r>
                    <w:t>1套</w:t>
                  </w:r>
                </w:p>
              </w:tc>
              <w:tc>
                <w:tcPr>
                  <w:tcW w:w="525" w:type="pct"/>
                  <w:vAlign w:val="center"/>
                </w:tcPr>
                <w:p>
                  <w:pPr>
                    <w:pStyle w:val="11"/>
                    <w:bidi w:val="0"/>
                  </w:pPr>
                  <w:r>
                    <w:rPr>
                      <w:rFonts w:hint="eastAsia"/>
                      <w:lang w:val="en-US" w:eastAsia="zh-CN"/>
                    </w:rPr>
                    <w:t>4</w:t>
                  </w:r>
                </w:p>
              </w:tc>
              <w:tc>
                <w:tcPr>
                  <w:tcW w:w="2237" w:type="pct"/>
                  <w:vMerge w:val="restart"/>
                  <w:vAlign w:val="center"/>
                </w:tcPr>
                <w:p>
                  <w:pPr>
                    <w:pStyle w:val="11"/>
                    <w:bidi w:val="0"/>
                  </w:pPr>
                  <w:r>
                    <w:t>1、</w:t>
                  </w:r>
                  <w:r>
                    <w:rPr>
                      <w:rFonts w:hint="eastAsia"/>
                    </w:rPr>
                    <w:t>《橡胶制品工业污染物排放标准》（GB 27632-2011）</w:t>
                  </w:r>
                  <w:r>
                    <w:rPr>
                      <w:rFonts w:hint="eastAsia"/>
                      <w:lang w:val="en-US" w:eastAsia="zh-CN"/>
                    </w:rPr>
                    <w:t>表5</w:t>
                  </w:r>
                </w:p>
                <w:p>
                  <w:pPr>
                    <w:pStyle w:val="11"/>
                    <w:bidi w:val="0"/>
                    <w:rPr>
                      <w:rFonts w:hint="eastAsia"/>
                    </w:rPr>
                  </w:pPr>
                  <w:r>
                    <w:t>2、</w:t>
                  </w:r>
                  <w:r>
                    <w:rPr>
                      <w:rFonts w:hint="eastAsia"/>
                    </w:rPr>
                    <w:t>《恶臭污染物排放标准》</w:t>
                  </w:r>
                </w:p>
                <w:p>
                  <w:pPr>
                    <w:pStyle w:val="11"/>
                    <w:bidi w:val="0"/>
                  </w:pPr>
                  <w:r>
                    <w:rPr>
                      <w:rFonts w:hint="eastAsia"/>
                    </w:rPr>
                    <w:t>（GB14554-93）</w:t>
                  </w:r>
                </w:p>
                <w:p>
                  <w:pPr>
                    <w:pStyle w:val="11"/>
                    <w:bidi w:val="0"/>
                  </w:pPr>
                  <w:r>
                    <w:t>3、《关于全省开展工业企业挥发性有机物专项治理工作中排放建议值的通知》（豫环攻坚办〔2017〕162号）建议值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254" w:hRule="atLeast"/>
                <w:jc w:val="center"/>
              </w:trPr>
              <w:tc>
                <w:tcPr>
                  <w:tcW w:w="340" w:type="pct"/>
                  <w:vMerge w:val="continue"/>
                  <w:vAlign w:val="center"/>
                </w:tcPr>
                <w:p>
                  <w:pPr>
                    <w:pStyle w:val="11"/>
                    <w:bidi w:val="0"/>
                  </w:pPr>
                </w:p>
              </w:tc>
              <w:tc>
                <w:tcPr>
                  <w:tcW w:w="712" w:type="pct"/>
                  <w:vAlign w:val="center"/>
                </w:tcPr>
                <w:p>
                  <w:pPr>
                    <w:pStyle w:val="11"/>
                    <w:bidi w:val="0"/>
                    <w:ind w:firstLine="0" w:firstLineChars="0"/>
                    <w:rPr>
                      <w:rFonts w:hint="default"/>
                      <w:lang w:val="en-US" w:eastAsia="zh-CN"/>
                    </w:rPr>
                  </w:pPr>
                  <w:r>
                    <w:rPr>
                      <w:rFonts w:hint="eastAsia"/>
                      <w:lang w:val="en-US" w:eastAsia="zh-CN"/>
                    </w:rPr>
                    <w:t>成型废气</w:t>
                  </w:r>
                </w:p>
              </w:tc>
              <w:tc>
                <w:tcPr>
                  <w:tcW w:w="781" w:type="pct"/>
                  <w:vAlign w:val="center"/>
                </w:tcPr>
                <w:p>
                  <w:pPr>
                    <w:pStyle w:val="11"/>
                    <w:bidi w:val="0"/>
                  </w:pPr>
                  <w:r>
                    <w:rPr>
                      <w:rFonts w:hint="eastAsia"/>
                      <w:lang w:val="en-US" w:eastAsia="zh-CN"/>
                    </w:rPr>
                    <w:t>UV光氧+活性炭吸附</w:t>
                  </w:r>
                  <w:r>
                    <w:t>+</w:t>
                  </w:r>
                  <w:r>
                    <w:rPr>
                      <w:rFonts w:hint="eastAsia"/>
                      <w:lang w:val="en-US" w:eastAsia="zh-CN"/>
                    </w:rPr>
                    <w:t>1</w:t>
                  </w:r>
                  <w:r>
                    <w:t>5m排气筒</w:t>
                  </w:r>
                </w:p>
              </w:tc>
              <w:tc>
                <w:tcPr>
                  <w:tcW w:w="403" w:type="pct"/>
                  <w:vAlign w:val="center"/>
                </w:tcPr>
                <w:p>
                  <w:pPr>
                    <w:pStyle w:val="11"/>
                    <w:bidi w:val="0"/>
                    <w:ind w:firstLine="0" w:firstLineChars="0"/>
                    <w:rPr>
                      <w:rFonts w:ascii="Times New Roman" w:hAnsi="Times New Roman" w:eastAsia="宋体" w:cs="Times New Roman"/>
                      <w:kern w:val="44"/>
                      <w:sz w:val="21"/>
                      <w:szCs w:val="22"/>
                      <w:lang w:val="en-US" w:eastAsia="zh-CN" w:bidi="ar-SA"/>
                    </w:rPr>
                  </w:pPr>
                  <w:r>
                    <w:t>1套</w:t>
                  </w:r>
                </w:p>
              </w:tc>
              <w:tc>
                <w:tcPr>
                  <w:tcW w:w="525" w:type="pct"/>
                  <w:vAlign w:val="center"/>
                </w:tcPr>
                <w:p>
                  <w:pPr>
                    <w:pStyle w:val="11"/>
                    <w:bidi w:val="0"/>
                    <w:ind w:firstLine="0" w:firstLineChars="0"/>
                    <w:rPr>
                      <w:rFonts w:ascii="Times New Roman" w:hAnsi="Times New Roman" w:eastAsia="宋体" w:cs="Times New Roman"/>
                      <w:kern w:val="44"/>
                      <w:sz w:val="21"/>
                      <w:szCs w:val="22"/>
                      <w:lang w:val="en-US" w:eastAsia="zh-CN" w:bidi="ar-SA"/>
                    </w:rPr>
                  </w:pPr>
                  <w:r>
                    <w:rPr>
                      <w:rFonts w:hint="eastAsia"/>
                      <w:lang w:val="en-US" w:eastAsia="zh-CN"/>
                    </w:rPr>
                    <w:t>6</w:t>
                  </w:r>
                </w:p>
              </w:tc>
              <w:tc>
                <w:tcPr>
                  <w:tcW w:w="2237" w:type="pct"/>
                  <w:vMerge w:val="continue"/>
                  <w:vAlign w:val="center"/>
                </w:tcPr>
                <w:p>
                  <w:pPr>
                    <w:pStyle w:val="11"/>
                    <w:bidi w:val="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254" w:hRule="atLeast"/>
                <w:jc w:val="center"/>
              </w:trPr>
              <w:tc>
                <w:tcPr>
                  <w:tcW w:w="340" w:type="pct"/>
                  <w:vAlign w:val="center"/>
                </w:tcPr>
                <w:p>
                  <w:pPr>
                    <w:pStyle w:val="11"/>
                    <w:bidi w:val="0"/>
                  </w:pPr>
                  <w:r>
                    <w:t>废水</w:t>
                  </w:r>
                </w:p>
              </w:tc>
              <w:tc>
                <w:tcPr>
                  <w:tcW w:w="712" w:type="pct"/>
                  <w:vAlign w:val="center"/>
                </w:tcPr>
                <w:p>
                  <w:pPr>
                    <w:pStyle w:val="11"/>
                    <w:bidi w:val="0"/>
                  </w:pPr>
                  <w:r>
                    <w:t>生活污水</w:t>
                  </w:r>
                </w:p>
              </w:tc>
              <w:tc>
                <w:tcPr>
                  <w:tcW w:w="781" w:type="pct"/>
                  <w:vAlign w:val="center"/>
                </w:tcPr>
                <w:p>
                  <w:pPr>
                    <w:pStyle w:val="11"/>
                    <w:bidi w:val="0"/>
                  </w:pPr>
                  <w:r>
                    <w:t>化粪池</w:t>
                  </w:r>
                </w:p>
              </w:tc>
              <w:tc>
                <w:tcPr>
                  <w:tcW w:w="403" w:type="pct"/>
                  <w:vAlign w:val="center"/>
                </w:tcPr>
                <w:p>
                  <w:pPr>
                    <w:pStyle w:val="11"/>
                    <w:bidi w:val="0"/>
                    <w:rPr>
                      <w:rFonts w:hint="eastAsia"/>
                      <w:lang w:eastAsia="zh-CN"/>
                    </w:rPr>
                  </w:pPr>
                  <w:r>
                    <w:rPr>
                      <w:rFonts w:hint="eastAsia"/>
                      <w:lang w:val="en-US" w:eastAsia="zh-CN"/>
                    </w:rPr>
                    <w:t>依托园区</w:t>
                  </w:r>
                </w:p>
              </w:tc>
              <w:tc>
                <w:tcPr>
                  <w:tcW w:w="525" w:type="pct"/>
                  <w:vAlign w:val="center"/>
                </w:tcPr>
                <w:p>
                  <w:pPr>
                    <w:pStyle w:val="11"/>
                    <w:bidi w:val="0"/>
                    <w:rPr>
                      <w:rFonts w:hint="eastAsia"/>
                      <w:lang w:eastAsia="zh-CN"/>
                    </w:rPr>
                  </w:pPr>
                  <w:r>
                    <w:rPr>
                      <w:rFonts w:hint="eastAsia"/>
                      <w:lang w:val="en-US" w:eastAsia="zh-CN"/>
                    </w:rPr>
                    <w:t>0</w:t>
                  </w:r>
                </w:p>
              </w:tc>
              <w:tc>
                <w:tcPr>
                  <w:tcW w:w="2237" w:type="pct"/>
                  <w:vAlign w:val="center"/>
                </w:tcPr>
                <w:p>
                  <w:pPr>
                    <w:pStyle w:val="11"/>
                    <w:bidi w:val="0"/>
                  </w:pPr>
                  <w:r>
                    <w:t>1、《污水综合排放标准》（GB8978-1996）</w:t>
                  </w:r>
                </w:p>
                <w:p>
                  <w:pPr>
                    <w:pStyle w:val="11"/>
                    <w:bidi w:val="0"/>
                  </w:pPr>
                  <w:r>
                    <w:t>2、</w:t>
                  </w:r>
                  <w:r>
                    <w:rPr>
                      <w:rFonts w:hint="eastAsia"/>
                      <w:lang w:eastAsia="zh-CN"/>
                    </w:rPr>
                    <w:t>许昌市城乡一体化示范区中原电气谷污水处理厂</w:t>
                  </w:r>
                  <w:r>
                    <w:t>进水水质要求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575" w:hRule="atLeast"/>
                <w:jc w:val="center"/>
              </w:trPr>
              <w:tc>
                <w:tcPr>
                  <w:tcW w:w="340" w:type="pct"/>
                  <w:vAlign w:val="center"/>
                </w:tcPr>
                <w:p>
                  <w:pPr>
                    <w:pStyle w:val="11"/>
                    <w:bidi w:val="0"/>
                  </w:pPr>
                  <w:r>
                    <w:t>噪声</w:t>
                  </w:r>
                </w:p>
              </w:tc>
              <w:tc>
                <w:tcPr>
                  <w:tcW w:w="712" w:type="pct"/>
                  <w:vAlign w:val="center"/>
                </w:tcPr>
                <w:p>
                  <w:pPr>
                    <w:pStyle w:val="11"/>
                    <w:bidi w:val="0"/>
                  </w:pPr>
                  <w:r>
                    <w:t>设备噪声</w:t>
                  </w:r>
                </w:p>
              </w:tc>
              <w:tc>
                <w:tcPr>
                  <w:tcW w:w="781" w:type="pct"/>
                  <w:vAlign w:val="center"/>
                </w:tcPr>
                <w:p>
                  <w:pPr>
                    <w:pStyle w:val="11"/>
                    <w:bidi w:val="0"/>
                  </w:pPr>
                  <w:r>
                    <w:t>基础减震、厂界隔声、距离衰减</w:t>
                  </w:r>
                </w:p>
              </w:tc>
              <w:tc>
                <w:tcPr>
                  <w:tcW w:w="403" w:type="pct"/>
                  <w:vAlign w:val="center"/>
                </w:tcPr>
                <w:p>
                  <w:pPr>
                    <w:pStyle w:val="11"/>
                    <w:bidi w:val="0"/>
                  </w:pPr>
                  <w:r>
                    <w:t>若干</w:t>
                  </w:r>
                </w:p>
              </w:tc>
              <w:tc>
                <w:tcPr>
                  <w:tcW w:w="525" w:type="pct"/>
                  <w:vAlign w:val="center"/>
                </w:tcPr>
                <w:p>
                  <w:pPr>
                    <w:pStyle w:val="11"/>
                    <w:bidi w:val="0"/>
                  </w:pPr>
                  <w:r>
                    <w:t>2</w:t>
                  </w:r>
                </w:p>
              </w:tc>
              <w:tc>
                <w:tcPr>
                  <w:tcW w:w="2237" w:type="pct"/>
                  <w:vAlign w:val="center"/>
                </w:tcPr>
                <w:p>
                  <w:pPr>
                    <w:pStyle w:val="11"/>
                    <w:bidi w:val="0"/>
                  </w:pPr>
                  <w:r>
                    <w:t>《工业企业厂界环境噪声排放标准》（GB12348-2008）2类标准的要求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490" w:hRule="atLeast"/>
                <w:jc w:val="center"/>
              </w:trPr>
              <w:tc>
                <w:tcPr>
                  <w:tcW w:w="340" w:type="pct"/>
                  <w:vMerge w:val="restart"/>
                  <w:vAlign w:val="center"/>
                </w:tcPr>
                <w:p>
                  <w:pPr>
                    <w:pStyle w:val="11"/>
                    <w:bidi w:val="0"/>
                  </w:pPr>
                  <w:r>
                    <w:t>固废</w:t>
                  </w:r>
                </w:p>
              </w:tc>
              <w:tc>
                <w:tcPr>
                  <w:tcW w:w="712" w:type="pct"/>
                  <w:vAlign w:val="center"/>
                </w:tcPr>
                <w:p>
                  <w:pPr>
                    <w:pStyle w:val="11"/>
                    <w:bidi w:val="0"/>
                  </w:pPr>
                  <w:r>
                    <w:t>一般固废</w:t>
                  </w:r>
                </w:p>
              </w:tc>
              <w:tc>
                <w:tcPr>
                  <w:tcW w:w="781" w:type="pct"/>
                  <w:vAlign w:val="center"/>
                </w:tcPr>
                <w:p>
                  <w:pPr>
                    <w:pStyle w:val="11"/>
                    <w:bidi w:val="0"/>
                  </w:pPr>
                  <w:r>
                    <w:t>一般固废暂存间</w:t>
                  </w:r>
                </w:p>
              </w:tc>
              <w:tc>
                <w:tcPr>
                  <w:tcW w:w="403" w:type="pct"/>
                  <w:vAlign w:val="center"/>
                </w:tcPr>
                <w:p>
                  <w:pPr>
                    <w:pStyle w:val="11"/>
                    <w:bidi w:val="0"/>
                  </w:pPr>
                  <w:r>
                    <w:rPr>
                      <w:rFonts w:hint="eastAsia"/>
                      <w:lang w:val="en-US" w:eastAsia="zh-CN"/>
                    </w:rPr>
                    <w:t>1</w:t>
                  </w:r>
                  <w:r>
                    <w:t>座</w:t>
                  </w:r>
                  <w:r>
                    <w:rPr>
                      <w:rFonts w:hint="eastAsia"/>
                      <w:lang w:val="en-US" w:eastAsia="zh-CN"/>
                    </w:rPr>
                    <w:t>4</w:t>
                  </w:r>
                  <w:r>
                    <w:t>0m</w:t>
                  </w:r>
                  <w:r>
                    <w:rPr>
                      <w:vertAlign w:val="superscript"/>
                    </w:rPr>
                    <w:t>2</w:t>
                  </w:r>
                </w:p>
              </w:tc>
              <w:tc>
                <w:tcPr>
                  <w:tcW w:w="525" w:type="pct"/>
                  <w:vAlign w:val="center"/>
                </w:tcPr>
                <w:p>
                  <w:pPr>
                    <w:pStyle w:val="11"/>
                    <w:bidi w:val="0"/>
                    <w:rPr>
                      <w:rFonts w:hint="default" w:eastAsia="宋体"/>
                      <w:lang w:val="en-US" w:eastAsia="zh-CN"/>
                    </w:rPr>
                  </w:pPr>
                  <w:r>
                    <w:t>1</w:t>
                  </w:r>
                  <w:r>
                    <w:rPr>
                      <w:rFonts w:hint="eastAsia"/>
                      <w:lang w:val="en-US" w:eastAsia="zh-CN"/>
                    </w:rPr>
                    <w:t>.5</w:t>
                  </w:r>
                </w:p>
              </w:tc>
              <w:tc>
                <w:tcPr>
                  <w:tcW w:w="2237" w:type="pct"/>
                  <w:vAlign w:val="center"/>
                </w:tcPr>
                <w:p>
                  <w:pPr>
                    <w:pStyle w:val="11"/>
                    <w:bidi w:val="0"/>
                  </w:pPr>
                  <w:r>
                    <w:rPr>
                      <w:rFonts w:hint="eastAsia"/>
                    </w:rPr>
                    <w:t>《一般工业固体废物贮存和填埋污染控制标准》（GB18599-2020）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141" w:hRule="atLeast"/>
                <w:jc w:val="center"/>
              </w:trPr>
              <w:tc>
                <w:tcPr>
                  <w:tcW w:w="340" w:type="pct"/>
                  <w:vMerge w:val="continue"/>
                  <w:vAlign w:val="center"/>
                </w:tcPr>
                <w:p>
                  <w:pPr>
                    <w:pStyle w:val="11"/>
                    <w:bidi w:val="0"/>
                  </w:pPr>
                </w:p>
              </w:tc>
              <w:tc>
                <w:tcPr>
                  <w:tcW w:w="712" w:type="pct"/>
                  <w:vAlign w:val="center"/>
                </w:tcPr>
                <w:p>
                  <w:pPr>
                    <w:pStyle w:val="11"/>
                    <w:bidi w:val="0"/>
                  </w:pPr>
                  <w:r>
                    <w:t>危险废物</w:t>
                  </w:r>
                </w:p>
              </w:tc>
              <w:tc>
                <w:tcPr>
                  <w:tcW w:w="781" w:type="pct"/>
                  <w:vAlign w:val="center"/>
                </w:tcPr>
                <w:p>
                  <w:pPr>
                    <w:pStyle w:val="11"/>
                    <w:bidi w:val="0"/>
                  </w:pPr>
                  <w:r>
                    <w:t>危废暂存间</w:t>
                  </w:r>
                </w:p>
              </w:tc>
              <w:tc>
                <w:tcPr>
                  <w:tcW w:w="403" w:type="pct"/>
                  <w:vAlign w:val="center"/>
                </w:tcPr>
                <w:p>
                  <w:pPr>
                    <w:pStyle w:val="11"/>
                    <w:bidi w:val="0"/>
                  </w:pPr>
                  <w:r>
                    <w:rPr>
                      <w:rFonts w:hint="eastAsia"/>
                      <w:lang w:val="en-US" w:eastAsia="zh-CN"/>
                    </w:rPr>
                    <w:t>1</w:t>
                  </w:r>
                  <w:r>
                    <w:t>座</w:t>
                  </w:r>
                  <w:r>
                    <w:rPr>
                      <w:rFonts w:hint="eastAsia"/>
                      <w:lang w:val="en-US" w:eastAsia="zh-CN"/>
                    </w:rPr>
                    <w:t>2</w:t>
                  </w:r>
                  <w:r>
                    <w:t>0m</w:t>
                  </w:r>
                  <w:r>
                    <w:rPr>
                      <w:vertAlign w:val="superscript"/>
                    </w:rPr>
                    <w:t>2</w:t>
                  </w:r>
                </w:p>
              </w:tc>
              <w:tc>
                <w:tcPr>
                  <w:tcW w:w="525" w:type="pct"/>
                  <w:vAlign w:val="center"/>
                </w:tcPr>
                <w:p>
                  <w:pPr>
                    <w:pStyle w:val="11"/>
                    <w:bidi w:val="0"/>
                  </w:pPr>
                  <w:r>
                    <w:t>2</w:t>
                  </w:r>
                </w:p>
              </w:tc>
              <w:tc>
                <w:tcPr>
                  <w:tcW w:w="2237" w:type="pct"/>
                  <w:vAlign w:val="center"/>
                </w:tcPr>
                <w:p>
                  <w:pPr>
                    <w:pStyle w:val="11"/>
                    <w:bidi w:val="0"/>
                  </w:pPr>
                  <w:r>
                    <w:t>《危险废物贮存污染控制标准》（GB18597-2001）及修改单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41" w:hRule="atLeast"/>
                <w:jc w:val="center"/>
              </w:trPr>
              <w:tc>
                <w:tcPr>
                  <w:tcW w:w="340" w:type="pct"/>
                  <w:vMerge w:val="continue"/>
                  <w:vAlign w:val="center"/>
                </w:tcPr>
                <w:p>
                  <w:pPr>
                    <w:pStyle w:val="11"/>
                    <w:bidi w:val="0"/>
                  </w:pPr>
                </w:p>
              </w:tc>
              <w:tc>
                <w:tcPr>
                  <w:tcW w:w="712" w:type="pct"/>
                  <w:vAlign w:val="center"/>
                </w:tcPr>
                <w:p>
                  <w:pPr>
                    <w:pStyle w:val="11"/>
                    <w:bidi w:val="0"/>
                  </w:pPr>
                  <w:r>
                    <w:t>生活垃圾</w:t>
                  </w:r>
                </w:p>
              </w:tc>
              <w:tc>
                <w:tcPr>
                  <w:tcW w:w="781" w:type="pct"/>
                  <w:vAlign w:val="center"/>
                </w:tcPr>
                <w:p>
                  <w:pPr>
                    <w:pStyle w:val="11"/>
                    <w:bidi w:val="0"/>
                  </w:pPr>
                  <w:r>
                    <w:t>垃圾箱</w:t>
                  </w:r>
                </w:p>
              </w:tc>
              <w:tc>
                <w:tcPr>
                  <w:tcW w:w="403" w:type="pct"/>
                  <w:vAlign w:val="center"/>
                </w:tcPr>
                <w:p>
                  <w:pPr>
                    <w:pStyle w:val="11"/>
                    <w:bidi w:val="0"/>
                  </w:pPr>
                  <w:r>
                    <w:t>若干</w:t>
                  </w:r>
                </w:p>
              </w:tc>
              <w:tc>
                <w:tcPr>
                  <w:tcW w:w="525" w:type="pct"/>
                  <w:vAlign w:val="center"/>
                </w:tcPr>
                <w:p>
                  <w:pPr>
                    <w:pStyle w:val="11"/>
                    <w:bidi w:val="0"/>
                  </w:pPr>
                  <w:r>
                    <w:t>0.5</w:t>
                  </w:r>
                </w:p>
              </w:tc>
              <w:tc>
                <w:tcPr>
                  <w:tcW w:w="2237" w:type="pct"/>
                  <w:vAlign w:val="center"/>
                </w:tcPr>
                <w:p>
                  <w:pPr>
                    <w:pStyle w:val="11"/>
                    <w:bidi w:val="0"/>
                  </w:pPr>
                  <w: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141" w:hRule="atLeast"/>
                <w:jc w:val="center"/>
              </w:trPr>
              <w:tc>
                <w:tcPr>
                  <w:tcW w:w="2236" w:type="pct"/>
                  <w:gridSpan w:val="4"/>
                  <w:vAlign w:val="center"/>
                </w:tcPr>
                <w:p>
                  <w:pPr>
                    <w:pStyle w:val="11"/>
                    <w:bidi w:val="0"/>
                  </w:pPr>
                  <w:r>
                    <w:t>合计</w:t>
                  </w:r>
                </w:p>
              </w:tc>
              <w:tc>
                <w:tcPr>
                  <w:tcW w:w="525" w:type="pct"/>
                  <w:vAlign w:val="center"/>
                </w:tcPr>
                <w:p>
                  <w:pPr>
                    <w:pStyle w:val="11"/>
                    <w:bidi w:val="0"/>
                  </w:pPr>
                  <w:r>
                    <w:rPr>
                      <w:rFonts w:hint="eastAsia"/>
                      <w:lang w:val="en-US" w:eastAsia="zh-CN"/>
                    </w:rPr>
                    <w:t>16</w:t>
                  </w:r>
                </w:p>
              </w:tc>
              <w:tc>
                <w:tcPr>
                  <w:tcW w:w="2237" w:type="pct"/>
                  <w:vAlign w:val="center"/>
                </w:tcPr>
                <w:p>
                  <w:pPr>
                    <w:pStyle w:val="11"/>
                    <w:bidi w:val="0"/>
                  </w:pPr>
                  <w:r>
                    <w:t>/</w:t>
                  </w:r>
                </w:p>
              </w:tc>
            </w:tr>
          </w:tbl>
          <w:p>
            <w:pPr>
              <w:bidi w:val="0"/>
              <w:rPr>
                <w:rFonts w:hint="eastAsia"/>
                <w:lang w:eastAsia="zh-CN"/>
              </w:rPr>
            </w:pPr>
          </w:p>
          <w:p>
            <w:pPr>
              <w:bidi w:val="0"/>
              <w:rPr>
                <w:rFonts w:hint="eastAsia"/>
                <w:lang w:eastAsia="zh-CN"/>
              </w:rPr>
            </w:pPr>
          </w:p>
          <w:p>
            <w:pPr>
              <w:bidi w:val="0"/>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tc>
      </w:tr>
    </w:tbl>
    <w:p>
      <w:pPr>
        <w:rPr>
          <w:rFonts w:hint="eastAsia"/>
          <w:lang w:eastAsia="zh-CN"/>
        </w:rPr>
        <w:sectPr>
          <w:pgSz w:w="11906" w:h="16838"/>
          <w:pgMar w:top="1701" w:right="1587" w:bottom="1984" w:left="1587" w:header="851" w:footer="992" w:gutter="0"/>
          <w:pgNumType w:fmt="numberInDash"/>
          <w:cols w:space="425" w:num="1"/>
          <w:docGrid w:type="lines" w:linePitch="312" w:charSpace="0"/>
        </w:sectPr>
      </w:pPr>
    </w:p>
    <w:p>
      <w:pPr>
        <w:pStyle w:val="2"/>
        <w:bidi w:val="0"/>
        <w:jc w:val="center"/>
        <w:rPr>
          <w:rFonts w:hint="eastAsia"/>
          <w:vertAlign w:val="baseline"/>
          <w:lang w:eastAsia="zh-CN"/>
        </w:rPr>
      </w:pPr>
      <w:r>
        <w:rPr>
          <w:rFonts w:hint="eastAsia"/>
          <w:lang w:eastAsia="zh-CN"/>
        </w:rPr>
        <w:t>五、环境保护措施监督检查清单</w:t>
      </w:r>
    </w:p>
    <w:tbl>
      <w:tblPr>
        <w:tblStyle w:val="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04"/>
        <w:gridCol w:w="1620"/>
        <w:gridCol w:w="1009"/>
        <w:gridCol w:w="1230"/>
        <w:gridCol w:w="36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04" w:type="dxa"/>
            <w:vAlign w:val="center"/>
            <mc:AlternateContent>
              <mc:Choice Requires="wpsCustomData">
                <wpsCustomData:diagonals>
                  <wpsCustomData:diagonal from="10000" to="30000">
                    <wpsCustomData:border w:val="single" w:color="auto" w:sz="12" w:space="0"/>
                  </wpsCustomData:diagonal>
                </wpsCustomData:diagonals>
              </mc:Choice>
            </mc:AlternateContent>
          </w:tcPr>
          <w:p>
            <w:pPr>
              <w:pStyle w:val="11"/>
              <w:bidi w:val="0"/>
              <w:rPr>
                <w:rFonts w:hint="eastAsia"/>
                <w:lang w:eastAsia="zh-CN"/>
              </w:rPr>
            </w:pPr>
          </w:p>
          <w:p>
            <w:pPr>
              <w:pStyle w:val="11"/>
              <w:bidi w:val="0"/>
              <mc:AlternateContent>
                <mc:Choice Requires="wpsCustomData">
                  <wpsCustomData:diagonalParaType/>
                </mc:Choice>
              </mc:AlternateContent>
              <w:rPr>
                <w:rFonts w:hint="eastAsia"/>
                <w:lang w:eastAsia="zh-CN"/>
              </w:rPr>
            </w:pPr>
            <w:r>
              <w:rPr>
                <w:rFonts w:hint="eastAsia"/>
                <w:lang w:eastAsia="zh-CN"/>
              </w:rPr>
              <w:t>要素</w:t>
            </w:r>
          </w:p>
          <w:p>
            <w:pPr>
              <w:pStyle w:val="11"/>
              <w:bidi w:val="0"/>
              <w:rPr>
                <w:rFonts w:hint="eastAsia"/>
                <w:lang w:eastAsia="zh-CN"/>
              </w:rPr>
            </w:pPr>
            <w:r>
              <w:rPr>
                <w:rFonts w:hint="eastAsia"/>
                <w:lang w:eastAsia="zh-CN"/>
              </w:rPr>
              <w:t>内容</w:t>
            </w:r>
          </w:p>
        </w:tc>
        <w:tc>
          <w:tcPr>
            <w:tcW w:w="1620" w:type="dxa"/>
            <w:vAlign w:val="center"/>
          </w:tcPr>
          <w:p>
            <w:pPr>
              <w:pStyle w:val="11"/>
              <w:bidi w:val="0"/>
              <w:rPr>
                <w:rFonts w:hint="eastAsia"/>
                <w:lang w:eastAsia="zh-CN"/>
              </w:rPr>
            </w:pPr>
            <w:r>
              <w:rPr>
                <w:rFonts w:hint="eastAsia"/>
                <w:lang w:eastAsia="zh-CN"/>
              </w:rPr>
              <w:t>排放口（编号、</w:t>
            </w:r>
          </w:p>
          <w:p>
            <w:pPr>
              <w:pStyle w:val="11"/>
              <w:bidi w:val="0"/>
              <w:rPr>
                <w:rFonts w:hint="eastAsia"/>
                <w:lang w:eastAsia="zh-CN"/>
              </w:rPr>
            </w:pPr>
            <w:r>
              <w:rPr>
                <w:rFonts w:hint="eastAsia"/>
                <w:lang w:eastAsia="zh-CN"/>
              </w:rPr>
              <w:t>名称）/污染源</w:t>
            </w:r>
          </w:p>
        </w:tc>
        <w:tc>
          <w:tcPr>
            <w:tcW w:w="1009" w:type="dxa"/>
            <w:vAlign w:val="center"/>
          </w:tcPr>
          <w:p>
            <w:pPr>
              <w:pStyle w:val="11"/>
              <w:bidi w:val="0"/>
              <w:rPr>
                <w:rFonts w:hint="eastAsia"/>
                <w:lang w:eastAsia="zh-CN"/>
              </w:rPr>
            </w:pPr>
            <w:r>
              <w:rPr>
                <w:rFonts w:hint="eastAsia"/>
                <w:lang w:eastAsia="zh-CN"/>
              </w:rPr>
              <w:t>污染物项目</w:t>
            </w:r>
          </w:p>
        </w:tc>
        <w:tc>
          <w:tcPr>
            <w:tcW w:w="1230" w:type="dxa"/>
            <w:vAlign w:val="center"/>
          </w:tcPr>
          <w:p>
            <w:pPr>
              <w:pStyle w:val="11"/>
              <w:bidi w:val="0"/>
              <w:rPr>
                <w:rFonts w:hint="eastAsia"/>
                <w:lang w:eastAsia="zh-CN"/>
              </w:rPr>
            </w:pPr>
            <w:r>
              <w:rPr>
                <w:rFonts w:hint="eastAsia"/>
                <w:lang w:eastAsia="zh-CN"/>
              </w:rPr>
              <w:t>环境保护措施</w:t>
            </w:r>
          </w:p>
        </w:tc>
        <w:tc>
          <w:tcPr>
            <w:tcW w:w="3683" w:type="dxa"/>
            <w:vAlign w:val="center"/>
          </w:tcPr>
          <w:p>
            <w:pPr>
              <w:pStyle w:val="11"/>
              <w:bidi w:val="0"/>
              <w:rPr>
                <w:rFonts w:hint="eastAsia"/>
                <w:lang w:eastAsia="zh-CN"/>
              </w:rPr>
            </w:pPr>
            <w:r>
              <w:rPr>
                <w:rFonts w:hint="eastAsia"/>
                <w:lang w:eastAsia="zh-CN"/>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04" w:type="dxa"/>
            <w:vMerge w:val="restart"/>
            <w:vAlign w:val="center"/>
          </w:tcPr>
          <w:p>
            <w:pPr>
              <w:pStyle w:val="11"/>
              <w:bidi w:val="0"/>
              <w:rPr>
                <w:rFonts w:hint="eastAsia"/>
                <w:lang w:eastAsia="zh-CN"/>
              </w:rPr>
            </w:pPr>
            <w:r>
              <w:rPr>
                <w:rFonts w:hint="eastAsia"/>
                <w:lang w:eastAsia="zh-CN"/>
              </w:rPr>
              <w:t>大气环境</w:t>
            </w:r>
          </w:p>
        </w:tc>
        <w:tc>
          <w:tcPr>
            <w:tcW w:w="1620" w:type="dxa"/>
            <w:vMerge w:val="restart"/>
            <w:vAlign w:val="center"/>
          </w:tcPr>
          <w:p>
            <w:pPr>
              <w:pStyle w:val="11"/>
              <w:bidi w:val="0"/>
              <w:rPr>
                <w:rFonts w:hint="default" w:eastAsia="宋体"/>
                <w:lang w:val="en-US" w:eastAsia="zh-CN"/>
              </w:rPr>
            </w:pPr>
            <w:r>
              <w:rPr>
                <w:szCs w:val="21"/>
              </w:rPr>
              <w:t>DA001</w:t>
            </w:r>
            <w:r>
              <w:rPr>
                <w:rFonts w:hint="eastAsia"/>
                <w:lang w:val="en-US" w:eastAsia="zh-CN"/>
              </w:rPr>
              <w:t>混胶</w:t>
            </w:r>
            <w:r>
              <w:rPr>
                <w:rFonts w:hint="eastAsia"/>
                <w:szCs w:val="21"/>
                <w:lang w:val="en-US" w:eastAsia="zh-CN"/>
              </w:rPr>
              <w:t>、成型废气排放口</w:t>
            </w:r>
          </w:p>
        </w:tc>
        <w:tc>
          <w:tcPr>
            <w:tcW w:w="1009" w:type="dxa"/>
            <w:vMerge w:val="restart"/>
            <w:vAlign w:val="center"/>
          </w:tcPr>
          <w:p>
            <w:pPr>
              <w:pStyle w:val="11"/>
              <w:bidi w:val="0"/>
              <w:rPr>
                <w:rFonts w:hint="default"/>
                <w:lang w:val="en-US" w:eastAsia="zh-CN"/>
              </w:rPr>
            </w:pPr>
            <w:r>
              <w:rPr>
                <w:rFonts w:hint="eastAsia"/>
                <w:lang w:val="en-US" w:eastAsia="zh-CN"/>
              </w:rPr>
              <w:t>颗粒物、硫化氢、非甲烷总烃</w:t>
            </w:r>
          </w:p>
        </w:tc>
        <w:tc>
          <w:tcPr>
            <w:tcW w:w="1230" w:type="dxa"/>
            <w:vMerge w:val="restart"/>
            <w:vAlign w:val="center"/>
          </w:tcPr>
          <w:p>
            <w:pPr>
              <w:pStyle w:val="11"/>
              <w:bidi w:val="0"/>
              <w:rPr>
                <w:rFonts w:hint="eastAsia"/>
                <w:lang w:eastAsia="zh-CN"/>
              </w:rPr>
            </w:pPr>
            <w:r>
              <w:rPr>
                <w:rFonts w:hint="eastAsia"/>
                <w:lang w:val="en-US" w:eastAsia="zh-CN"/>
              </w:rPr>
              <w:t>UV光氧+活性炭吸附</w:t>
            </w:r>
            <w:r>
              <w:t>+</w:t>
            </w:r>
            <w:r>
              <w:rPr>
                <w:rFonts w:hint="eastAsia"/>
                <w:lang w:val="en-US" w:eastAsia="zh-CN"/>
              </w:rPr>
              <w:t>1</w:t>
            </w:r>
            <w:r>
              <w:t>5m排气筒</w:t>
            </w:r>
          </w:p>
        </w:tc>
        <w:tc>
          <w:tcPr>
            <w:tcW w:w="3683" w:type="dxa"/>
            <w:vAlign w:val="center"/>
          </w:tcPr>
          <w:p>
            <w:pPr>
              <w:pStyle w:val="11"/>
              <w:bidi w:val="0"/>
              <w:rPr>
                <w:rFonts w:hint="default" w:eastAsia="宋体"/>
                <w:lang w:val="en-US" w:eastAsia="zh-CN"/>
              </w:rPr>
            </w:pPr>
            <w:r>
              <w:rPr>
                <w:rFonts w:hint="eastAsia"/>
              </w:rPr>
              <w:t>《橡胶制品工业污染物排放标准》（GB 27632-2011）</w:t>
            </w:r>
            <w:r>
              <w:rPr>
                <w:rFonts w:hint="eastAsia"/>
                <w:lang w:val="en-US" w:eastAsia="zh-CN"/>
              </w:rPr>
              <w:t>表5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04" w:type="dxa"/>
            <w:vMerge w:val="continue"/>
            <w:vAlign w:val="center"/>
          </w:tcPr>
          <w:p>
            <w:pPr>
              <w:pStyle w:val="11"/>
              <w:bidi w:val="0"/>
              <w:rPr>
                <w:rFonts w:hint="eastAsia"/>
                <w:lang w:eastAsia="zh-CN"/>
              </w:rPr>
            </w:pPr>
          </w:p>
        </w:tc>
        <w:tc>
          <w:tcPr>
            <w:tcW w:w="1620" w:type="dxa"/>
            <w:vMerge w:val="continue"/>
            <w:vAlign w:val="center"/>
          </w:tcPr>
          <w:p>
            <w:pPr>
              <w:pStyle w:val="11"/>
              <w:bidi w:val="0"/>
              <w:rPr>
                <w:rFonts w:hint="eastAsia"/>
                <w:lang w:eastAsia="zh-CN"/>
              </w:rPr>
            </w:pPr>
          </w:p>
        </w:tc>
        <w:tc>
          <w:tcPr>
            <w:tcW w:w="1009" w:type="dxa"/>
            <w:vMerge w:val="continue"/>
            <w:vAlign w:val="center"/>
          </w:tcPr>
          <w:p>
            <w:pPr>
              <w:pStyle w:val="11"/>
              <w:bidi w:val="0"/>
              <w:rPr>
                <w:rFonts w:hint="eastAsia"/>
                <w:lang w:eastAsia="zh-CN"/>
              </w:rPr>
            </w:pPr>
          </w:p>
        </w:tc>
        <w:tc>
          <w:tcPr>
            <w:tcW w:w="1230" w:type="dxa"/>
            <w:vMerge w:val="continue"/>
            <w:vAlign w:val="center"/>
          </w:tcPr>
          <w:p>
            <w:pPr>
              <w:pStyle w:val="11"/>
              <w:bidi w:val="0"/>
              <w:rPr>
                <w:rFonts w:hint="eastAsia"/>
                <w:lang w:eastAsia="zh-CN"/>
              </w:rPr>
            </w:pPr>
          </w:p>
        </w:tc>
        <w:tc>
          <w:tcPr>
            <w:tcW w:w="3683" w:type="dxa"/>
            <w:vAlign w:val="center"/>
          </w:tcPr>
          <w:p>
            <w:pPr>
              <w:pStyle w:val="11"/>
              <w:bidi w:val="0"/>
              <w:rPr>
                <w:rFonts w:hint="eastAsia"/>
              </w:rPr>
            </w:pPr>
            <w:r>
              <w:rPr>
                <w:rFonts w:hint="eastAsia"/>
              </w:rPr>
              <w:t>《恶臭污染物排放标准》</w:t>
            </w:r>
          </w:p>
          <w:p>
            <w:pPr>
              <w:pStyle w:val="11"/>
              <w:bidi w:val="0"/>
              <w:rPr>
                <w:rFonts w:hint="eastAsia"/>
                <w:lang w:eastAsia="zh-CN"/>
              </w:rPr>
            </w:pPr>
            <w:r>
              <w:rPr>
                <w:rFonts w:hint="eastAsia"/>
              </w:rPr>
              <w:t>（GB14554-93）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04" w:type="dxa"/>
            <w:vMerge w:val="continue"/>
            <w:vAlign w:val="center"/>
          </w:tcPr>
          <w:p>
            <w:pPr>
              <w:pStyle w:val="11"/>
              <w:bidi w:val="0"/>
              <w:rPr>
                <w:rFonts w:hint="eastAsia"/>
                <w:lang w:eastAsia="zh-CN"/>
              </w:rPr>
            </w:pPr>
          </w:p>
        </w:tc>
        <w:tc>
          <w:tcPr>
            <w:tcW w:w="1620" w:type="dxa"/>
            <w:vMerge w:val="continue"/>
            <w:vAlign w:val="center"/>
          </w:tcPr>
          <w:p>
            <w:pPr>
              <w:pStyle w:val="11"/>
              <w:bidi w:val="0"/>
              <w:rPr>
                <w:rFonts w:hint="eastAsia"/>
                <w:lang w:eastAsia="zh-CN"/>
              </w:rPr>
            </w:pPr>
          </w:p>
        </w:tc>
        <w:tc>
          <w:tcPr>
            <w:tcW w:w="1009" w:type="dxa"/>
            <w:vMerge w:val="continue"/>
            <w:vAlign w:val="center"/>
          </w:tcPr>
          <w:p>
            <w:pPr>
              <w:pStyle w:val="11"/>
              <w:bidi w:val="0"/>
              <w:rPr>
                <w:rFonts w:hint="eastAsia"/>
                <w:lang w:eastAsia="zh-CN"/>
              </w:rPr>
            </w:pPr>
          </w:p>
        </w:tc>
        <w:tc>
          <w:tcPr>
            <w:tcW w:w="1230" w:type="dxa"/>
            <w:vMerge w:val="continue"/>
            <w:vAlign w:val="center"/>
          </w:tcPr>
          <w:p>
            <w:pPr>
              <w:pStyle w:val="11"/>
              <w:bidi w:val="0"/>
              <w:rPr>
                <w:rFonts w:hint="eastAsia"/>
                <w:lang w:eastAsia="zh-CN"/>
              </w:rPr>
            </w:pPr>
          </w:p>
        </w:tc>
        <w:tc>
          <w:tcPr>
            <w:tcW w:w="3683" w:type="dxa"/>
            <w:vAlign w:val="center"/>
          </w:tcPr>
          <w:p>
            <w:pPr>
              <w:pStyle w:val="11"/>
              <w:bidi w:val="0"/>
              <w:rPr>
                <w:rFonts w:hint="eastAsia"/>
                <w:lang w:eastAsia="zh-CN"/>
              </w:rPr>
            </w:pPr>
            <w:r>
              <w:t>《关于全省开展工业企业挥发性有机物专项治理工作中排放建议值的通知》（豫环攻坚办</w:t>
            </w:r>
            <w:r>
              <w:rPr>
                <w:rFonts w:hint="eastAsia"/>
                <w:lang w:val="en-US" w:eastAsia="zh-CN"/>
              </w:rPr>
              <w:t>〔</w:t>
            </w:r>
            <w:r>
              <w:t>2017</w:t>
            </w:r>
            <w:r>
              <w:rPr>
                <w:rFonts w:hint="eastAsia"/>
                <w:lang w:val="en-US" w:eastAsia="zh-CN"/>
              </w:rPr>
              <w:t>〕</w:t>
            </w:r>
            <w:r>
              <w:t>162号）建议值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04" w:type="dxa"/>
            <w:vMerge w:val="restart"/>
            <w:vAlign w:val="center"/>
          </w:tcPr>
          <w:p>
            <w:pPr>
              <w:pStyle w:val="11"/>
              <w:bidi w:val="0"/>
              <w:rPr>
                <w:rFonts w:hint="eastAsia"/>
                <w:lang w:eastAsia="zh-CN"/>
              </w:rPr>
            </w:pPr>
            <w:r>
              <w:rPr>
                <w:rFonts w:hint="eastAsia"/>
                <w:lang w:eastAsia="zh-CN"/>
              </w:rPr>
              <w:t>地表水环境</w:t>
            </w:r>
          </w:p>
        </w:tc>
        <w:tc>
          <w:tcPr>
            <w:tcW w:w="1620" w:type="dxa"/>
            <w:vMerge w:val="restart"/>
            <w:vAlign w:val="center"/>
          </w:tcPr>
          <w:p>
            <w:pPr>
              <w:pStyle w:val="11"/>
              <w:bidi w:val="0"/>
            </w:pPr>
            <w:r>
              <w:t>DW001</w:t>
            </w:r>
          </w:p>
          <w:p>
            <w:pPr>
              <w:pStyle w:val="11"/>
              <w:bidi w:val="0"/>
              <w:rPr>
                <w:rFonts w:hint="eastAsia"/>
                <w:lang w:val="en-US" w:eastAsia="zh-CN"/>
              </w:rPr>
            </w:pPr>
            <w:r>
              <w:t>生活污水排放口</w:t>
            </w:r>
          </w:p>
        </w:tc>
        <w:tc>
          <w:tcPr>
            <w:tcW w:w="1009" w:type="dxa"/>
            <w:vMerge w:val="restart"/>
            <w:vAlign w:val="center"/>
          </w:tcPr>
          <w:p>
            <w:pPr>
              <w:pStyle w:val="11"/>
              <w:bidi w:val="0"/>
              <w:rPr>
                <w:rFonts w:hint="eastAsia"/>
                <w:lang w:val="en-US" w:eastAsia="zh-CN"/>
              </w:rPr>
            </w:pPr>
            <w:r>
              <w:t>COD、BOD</w:t>
            </w:r>
            <w:r>
              <w:rPr>
                <w:vertAlign w:val="subscript"/>
              </w:rPr>
              <w:t>5</w:t>
            </w:r>
            <w:r>
              <w:t>、SS、氨氮</w:t>
            </w:r>
          </w:p>
        </w:tc>
        <w:tc>
          <w:tcPr>
            <w:tcW w:w="1230" w:type="dxa"/>
            <w:vMerge w:val="restart"/>
            <w:vAlign w:val="center"/>
          </w:tcPr>
          <w:p>
            <w:pPr>
              <w:pStyle w:val="11"/>
              <w:bidi w:val="0"/>
              <w:rPr>
                <w:rFonts w:hint="eastAsia"/>
                <w:lang w:val="en-US" w:eastAsia="zh-CN"/>
              </w:rPr>
            </w:pPr>
            <w:r>
              <w:t>化粪池</w:t>
            </w:r>
          </w:p>
        </w:tc>
        <w:tc>
          <w:tcPr>
            <w:tcW w:w="3683" w:type="dxa"/>
            <w:vAlign w:val="center"/>
          </w:tcPr>
          <w:p>
            <w:pPr>
              <w:pStyle w:val="11"/>
              <w:bidi w:val="0"/>
              <w:rPr>
                <w:rFonts w:hint="eastAsia"/>
                <w:lang w:val="en-US" w:eastAsia="zh-CN"/>
              </w:rPr>
            </w:pPr>
            <w:r>
              <w:t>《污水综合排放标准》（GB8978-1996）表4三级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04" w:type="dxa"/>
            <w:vMerge w:val="continue"/>
            <w:vAlign w:val="center"/>
          </w:tcPr>
          <w:p>
            <w:pPr>
              <w:pStyle w:val="11"/>
              <w:bidi w:val="0"/>
              <w:rPr>
                <w:rFonts w:hint="eastAsia"/>
                <w:lang w:eastAsia="zh-CN"/>
              </w:rPr>
            </w:pPr>
          </w:p>
        </w:tc>
        <w:tc>
          <w:tcPr>
            <w:tcW w:w="1620" w:type="dxa"/>
            <w:vMerge w:val="continue"/>
            <w:vAlign w:val="center"/>
          </w:tcPr>
          <w:p>
            <w:pPr>
              <w:pStyle w:val="11"/>
              <w:bidi w:val="0"/>
            </w:pPr>
          </w:p>
        </w:tc>
        <w:tc>
          <w:tcPr>
            <w:tcW w:w="1009" w:type="dxa"/>
            <w:vMerge w:val="continue"/>
            <w:vAlign w:val="center"/>
          </w:tcPr>
          <w:p>
            <w:pPr>
              <w:pStyle w:val="11"/>
              <w:bidi w:val="0"/>
            </w:pPr>
          </w:p>
        </w:tc>
        <w:tc>
          <w:tcPr>
            <w:tcW w:w="1230" w:type="dxa"/>
            <w:vMerge w:val="continue"/>
            <w:vAlign w:val="center"/>
          </w:tcPr>
          <w:p>
            <w:pPr>
              <w:pStyle w:val="11"/>
              <w:bidi w:val="0"/>
            </w:pPr>
          </w:p>
        </w:tc>
        <w:tc>
          <w:tcPr>
            <w:tcW w:w="3683" w:type="dxa"/>
            <w:vAlign w:val="center"/>
          </w:tcPr>
          <w:p>
            <w:pPr>
              <w:pStyle w:val="11"/>
              <w:bidi w:val="0"/>
            </w:pPr>
            <w:r>
              <w:rPr>
                <w:rFonts w:hint="eastAsia"/>
                <w:lang w:eastAsia="zh-CN"/>
              </w:rPr>
              <w:t>许昌市城乡一体化示范区中原电气谷污水处理厂</w:t>
            </w:r>
            <w:r>
              <w:t>进水水质要求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04" w:type="dxa"/>
            <w:vAlign w:val="center"/>
          </w:tcPr>
          <w:p>
            <w:pPr>
              <w:pStyle w:val="11"/>
              <w:bidi w:val="0"/>
              <w:rPr>
                <w:rFonts w:hint="eastAsia"/>
                <w:lang w:eastAsia="zh-CN"/>
              </w:rPr>
            </w:pPr>
            <w:r>
              <w:rPr>
                <w:rFonts w:hint="eastAsia"/>
                <w:lang w:eastAsia="zh-CN"/>
              </w:rPr>
              <w:t>声环境</w:t>
            </w:r>
          </w:p>
        </w:tc>
        <w:tc>
          <w:tcPr>
            <w:tcW w:w="1620" w:type="dxa"/>
            <w:vAlign w:val="center"/>
          </w:tcPr>
          <w:p>
            <w:pPr>
              <w:pStyle w:val="11"/>
              <w:bidi w:val="0"/>
              <w:rPr>
                <w:rFonts w:hint="eastAsia"/>
                <w:lang w:val="en-US" w:eastAsia="zh-CN"/>
              </w:rPr>
            </w:pPr>
            <w:r>
              <w:t>设备噪声</w:t>
            </w:r>
          </w:p>
        </w:tc>
        <w:tc>
          <w:tcPr>
            <w:tcW w:w="1009" w:type="dxa"/>
            <w:vAlign w:val="center"/>
          </w:tcPr>
          <w:p>
            <w:pPr>
              <w:pStyle w:val="11"/>
              <w:bidi w:val="0"/>
              <w:rPr>
                <w:rFonts w:hint="eastAsia"/>
                <w:lang w:val="en-US" w:eastAsia="zh-CN"/>
              </w:rPr>
            </w:pPr>
            <w:r>
              <w:t>噪声</w:t>
            </w:r>
          </w:p>
        </w:tc>
        <w:tc>
          <w:tcPr>
            <w:tcW w:w="1230" w:type="dxa"/>
            <w:vAlign w:val="center"/>
          </w:tcPr>
          <w:p>
            <w:pPr>
              <w:pStyle w:val="11"/>
              <w:bidi w:val="0"/>
              <w:rPr>
                <w:rFonts w:hint="eastAsia"/>
                <w:lang w:val="en-US" w:eastAsia="zh-CN"/>
              </w:rPr>
            </w:pPr>
            <w:r>
              <w:t>基础减震、厂房隔声</w:t>
            </w:r>
          </w:p>
        </w:tc>
        <w:tc>
          <w:tcPr>
            <w:tcW w:w="3683" w:type="dxa"/>
            <w:vAlign w:val="center"/>
          </w:tcPr>
          <w:p>
            <w:pPr>
              <w:pStyle w:val="11"/>
              <w:bidi w:val="0"/>
              <w:rPr>
                <w:rFonts w:hint="eastAsia"/>
                <w:lang w:val="en-US" w:eastAsia="zh-CN"/>
              </w:rPr>
            </w:pPr>
            <w:r>
              <w:t>《工业企业厂界环境噪声排放标准》（GB12348-2008）2类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04" w:type="dxa"/>
            <w:vAlign w:val="center"/>
          </w:tcPr>
          <w:p>
            <w:pPr>
              <w:pStyle w:val="11"/>
              <w:bidi w:val="0"/>
              <w:rPr>
                <w:rFonts w:hint="eastAsia"/>
                <w:lang w:eastAsia="zh-CN"/>
              </w:rPr>
            </w:pPr>
            <w:r>
              <w:rPr>
                <w:rFonts w:hint="eastAsia"/>
                <w:lang w:eastAsia="zh-CN"/>
              </w:rPr>
              <w:t>电磁辐射</w:t>
            </w:r>
          </w:p>
        </w:tc>
        <w:tc>
          <w:tcPr>
            <w:tcW w:w="7542" w:type="dxa"/>
            <w:gridSpan w:val="4"/>
            <w:vAlign w:val="center"/>
          </w:tcPr>
          <w:p>
            <w:pPr>
              <w:pStyle w:val="11"/>
              <w:bidi w:val="0"/>
              <w:rPr>
                <w:rFonts w:hint="default"/>
                <w:lang w:val="en-US" w:eastAsia="zh-CN"/>
              </w:rPr>
            </w:pPr>
            <w:r>
              <w:rPr>
                <w:rFonts w:hint="eastAsia"/>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404" w:type="dxa"/>
            <w:vAlign w:val="center"/>
          </w:tcPr>
          <w:p>
            <w:pPr>
              <w:pStyle w:val="11"/>
              <w:bidi w:val="0"/>
              <w:rPr>
                <w:rFonts w:hint="eastAsia"/>
                <w:lang w:eastAsia="zh-CN"/>
              </w:rPr>
            </w:pPr>
            <w:r>
              <w:rPr>
                <w:rFonts w:hint="eastAsia"/>
                <w:lang w:eastAsia="zh-CN"/>
              </w:rPr>
              <w:t>固体废物</w:t>
            </w:r>
          </w:p>
        </w:tc>
        <w:tc>
          <w:tcPr>
            <w:tcW w:w="7542" w:type="dxa"/>
            <w:gridSpan w:val="4"/>
            <w:vAlign w:val="center"/>
          </w:tcPr>
          <w:p>
            <w:pPr>
              <w:pStyle w:val="11"/>
              <w:bidi w:val="0"/>
              <w:ind w:firstLine="420" w:firstLineChars="200"/>
              <w:jc w:val="both"/>
              <w:rPr>
                <w:rFonts w:hint="eastAsia"/>
                <w:lang w:eastAsia="zh-CN"/>
              </w:rPr>
            </w:pPr>
            <w:r>
              <w:rPr>
                <w:szCs w:val="21"/>
              </w:rPr>
              <w:t>建设</w:t>
            </w:r>
            <w:r>
              <w:rPr>
                <w:rFonts w:hint="eastAsia"/>
                <w:szCs w:val="21"/>
                <w:lang w:val="en-US" w:eastAsia="zh-CN"/>
              </w:rPr>
              <w:t>4</w:t>
            </w:r>
            <w:r>
              <w:rPr>
                <w:szCs w:val="21"/>
              </w:rPr>
              <w:t>0m</w:t>
            </w:r>
            <w:r>
              <w:rPr>
                <w:szCs w:val="21"/>
                <w:vertAlign w:val="superscript"/>
              </w:rPr>
              <w:t>2</w:t>
            </w:r>
            <w:r>
              <w:rPr>
                <w:szCs w:val="21"/>
              </w:rPr>
              <w:t>一般固废暂存间和</w:t>
            </w:r>
            <w:r>
              <w:rPr>
                <w:rFonts w:hint="eastAsia"/>
                <w:szCs w:val="21"/>
                <w:lang w:val="en-US" w:eastAsia="zh-CN"/>
              </w:rPr>
              <w:t>2</w:t>
            </w:r>
            <w:r>
              <w:rPr>
                <w:szCs w:val="21"/>
              </w:rPr>
              <w:t>0m</w:t>
            </w:r>
            <w:r>
              <w:rPr>
                <w:szCs w:val="21"/>
                <w:vertAlign w:val="superscript"/>
              </w:rPr>
              <w:t>2</w:t>
            </w:r>
            <w:r>
              <w:rPr>
                <w:szCs w:val="21"/>
              </w:rPr>
              <w:t>危险废物暂存间，各类固废危废分区存放，满足《一般工业固体废物贮存和填埋污染控制标准》（GB18599-2020）、《危险废物贮存污染控制标准》（GB18597-2001）及修改单要求；生活垃圾设置垃圾箱集中收集，环卫部门定期清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1404" w:type="dxa"/>
            <w:vAlign w:val="center"/>
          </w:tcPr>
          <w:p>
            <w:pPr>
              <w:pStyle w:val="11"/>
              <w:bidi w:val="0"/>
              <w:rPr>
                <w:rFonts w:hint="eastAsia"/>
                <w:lang w:eastAsia="zh-CN"/>
              </w:rPr>
            </w:pPr>
            <w:r>
              <w:rPr>
                <w:rFonts w:hint="eastAsia"/>
                <w:lang w:eastAsia="zh-CN"/>
              </w:rPr>
              <w:t>土壤及地下水污染防治措施</w:t>
            </w:r>
          </w:p>
        </w:tc>
        <w:tc>
          <w:tcPr>
            <w:tcW w:w="7542" w:type="dxa"/>
            <w:gridSpan w:val="4"/>
            <w:vAlign w:val="center"/>
          </w:tcPr>
          <w:p>
            <w:pPr>
              <w:pStyle w:val="11"/>
              <w:bidi w:val="0"/>
              <w:rPr>
                <w:rFonts w:hint="eastAsia"/>
                <w:lang w:eastAsia="zh-CN"/>
              </w:rPr>
            </w:pPr>
            <w:r>
              <w:rPr>
                <w:szCs w:val="21"/>
              </w:rPr>
              <w:t>生产车间及厂区地面硬化，化粪池及污水管道做好防渗措施。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04" w:type="dxa"/>
            <w:vAlign w:val="center"/>
          </w:tcPr>
          <w:p>
            <w:pPr>
              <w:pStyle w:val="11"/>
              <w:bidi w:val="0"/>
              <w:rPr>
                <w:rFonts w:hint="eastAsia"/>
                <w:lang w:eastAsia="zh-CN"/>
              </w:rPr>
            </w:pPr>
            <w:r>
              <w:rPr>
                <w:rFonts w:hint="eastAsia"/>
                <w:lang w:eastAsia="zh-CN"/>
              </w:rPr>
              <w:t>生态保护措施</w:t>
            </w:r>
          </w:p>
        </w:tc>
        <w:tc>
          <w:tcPr>
            <w:tcW w:w="7542" w:type="dxa"/>
            <w:gridSpan w:val="4"/>
            <w:vAlign w:val="center"/>
          </w:tcPr>
          <w:p>
            <w:pPr>
              <w:pStyle w:val="11"/>
              <w:bidi w:val="0"/>
              <w:rPr>
                <w:rFonts w:hint="eastAsia"/>
                <w:lang w:eastAsia="zh-CN"/>
              </w:rPr>
            </w:pPr>
            <w:r>
              <w:rPr>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404" w:type="dxa"/>
            <w:vAlign w:val="center"/>
          </w:tcPr>
          <w:p>
            <w:pPr>
              <w:pStyle w:val="11"/>
              <w:bidi w:val="0"/>
              <w:rPr>
                <w:rFonts w:hint="eastAsia"/>
                <w:lang w:eastAsia="zh-CN"/>
              </w:rPr>
            </w:pPr>
            <w:r>
              <w:rPr>
                <w:rFonts w:hint="eastAsia"/>
                <w:lang w:eastAsia="zh-CN"/>
              </w:rPr>
              <w:t>环境风险</w:t>
            </w:r>
          </w:p>
          <w:p>
            <w:pPr>
              <w:pStyle w:val="11"/>
              <w:bidi w:val="0"/>
              <w:rPr>
                <w:rFonts w:hint="eastAsia"/>
                <w:lang w:eastAsia="zh-CN"/>
              </w:rPr>
            </w:pPr>
            <w:r>
              <w:rPr>
                <w:rFonts w:hint="eastAsia"/>
                <w:lang w:eastAsia="zh-CN"/>
              </w:rPr>
              <w:t>防范措施</w:t>
            </w:r>
          </w:p>
        </w:tc>
        <w:tc>
          <w:tcPr>
            <w:tcW w:w="7542" w:type="dxa"/>
            <w:gridSpan w:val="4"/>
            <w:vAlign w:val="center"/>
          </w:tcPr>
          <w:p>
            <w:pPr>
              <w:pStyle w:val="11"/>
              <w:bidi w:val="0"/>
              <w:rPr>
                <w:rFonts w:hint="eastAsia"/>
                <w:lang w:eastAsia="zh-CN"/>
              </w:rPr>
            </w:pPr>
            <w:r>
              <w:rPr>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1404" w:type="dxa"/>
            <w:vAlign w:val="center"/>
          </w:tcPr>
          <w:p>
            <w:pPr>
              <w:pStyle w:val="11"/>
              <w:bidi w:val="0"/>
              <w:rPr>
                <w:rFonts w:hint="eastAsia"/>
                <w:lang w:eastAsia="zh-CN"/>
              </w:rPr>
            </w:pPr>
            <w:r>
              <w:rPr>
                <w:rFonts w:hint="eastAsia"/>
                <w:lang w:eastAsia="zh-CN"/>
              </w:rPr>
              <w:t>其他环境</w:t>
            </w:r>
          </w:p>
          <w:p>
            <w:pPr>
              <w:pStyle w:val="11"/>
              <w:bidi w:val="0"/>
              <w:rPr>
                <w:rFonts w:hint="eastAsia"/>
                <w:lang w:eastAsia="zh-CN"/>
              </w:rPr>
            </w:pPr>
            <w:r>
              <w:rPr>
                <w:rFonts w:hint="eastAsia"/>
                <w:lang w:eastAsia="zh-CN"/>
              </w:rPr>
              <w:t>管理要求</w:t>
            </w:r>
          </w:p>
        </w:tc>
        <w:tc>
          <w:tcPr>
            <w:tcW w:w="7542" w:type="dxa"/>
            <w:gridSpan w:val="4"/>
            <w:vAlign w:val="center"/>
          </w:tcPr>
          <w:p>
            <w:pPr>
              <w:pStyle w:val="11"/>
              <w:bidi w:val="0"/>
              <w:ind w:firstLine="420" w:firstLineChars="200"/>
              <w:jc w:val="both"/>
              <w:rPr>
                <w:rFonts w:hint="eastAsia"/>
                <w:lang w:eastAsia="zh-CN"/>
              </w:rPr>
            </w:pPr>
            <w:r>
              <w:rPr>
                <w:szCs w:val="21"/>
              </w:rPr>
              <w:t>项目建设必须严格执行环境保护设施与主体工程同时设计、同时施工、同时投入使用的环境保护“三同时”制度。项目竣工后须按照《国务院关于修改〈建设项目环境保护管理条例〉的决定》，建设单位应当按照国务院环境保护行政主管部门规定的标准和程序，对配套建设的环境保护设施进行自主验收，编制验收报告。验收合格后方可正式投产。</w:t>
            </w:r>
          </w:p>
        </w:tc>
      </w:tr>
    </w:tbl>
    <w:p>
      <w:pPr>
        <w:rPr>
          <w:rFonts w:hint="eastAsia"/>
          <w:lang w:eastAsia="zh-CN"/>
        </w:rPr>
        <w:sectPr>
          <w:pgSz w:w="11906" w:h="16838"/>
          <w:pgMar w:top="1701" w:right="1587" w:bottom="1984" w:left="1587" w:header="851" w:footer="992" w:gutter="0"/>
          <w:pgNumType w:fmt="numberInDash"/>
          <w:cols w:space="425" w:num="1"/>
          <w:docGrid w:type="lines" w:linePitch="312" w:charSpace="0"/>
        </w:sectPr>
      </w:pPr>
    </w:p>
    <w:p>
      <w:pPr>
        <w:pStyle w:val="2"/>
        <w:bidi w:val="0"/>
        <w:jc w:val="center"/>
        <w:rPr>
          <w:rFonts w:hint="eastAsia"/>
          <w:vertAlign w:val="baseline"/>
          <w:lang w:eastAsia="zh-CN"/>
        </w:rPr>
      </w:pPr>
      <w:r>
        <w:rPr>
          <w:rFonts w:hint="eastAsia"/>
          <w:lang w:eastAsia="zh-CN"/>
        </w:rPr>
        <w:t>六、结论</w:t>
      </w:r>
    </w:p>
    <w:tbl>
      <w:tblPr>
        <w:tblStyle w:val="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948" w:type="dxa"/>
            <w:vAlign w:val="center"/>
          </w:tcPr>
          <w:p>
            <w:pPr>
              <w:bidi w:val="0"/>
              <w:rPr>
                <w:rFonts w:hint="eastAsia"/>
                <w:lang w:eastAsia="zh-CN"/>
              </w:rPr>
            </w:pPr>
            <w:r>
              <w:rPr>
                <w:rFonts w:hint="eastAsia"/>
                <w:lang w:val="en-US" w:eastAsia="zh-CN"/>
              </w:rPr>
              <w:t>河南新弘电力科技有限公司</w:t>
            </w:r>
            <w:r>
              <w:rPr>
                <w:rFonts w:hint="eastAsia"/>
                <w:lang w:eastAsia="zh-CN"/>
              </w:rPr>
              <w:t>年产20万只输变电复合绝缘子、2500吨电力金具生产线智能化改造项目</w:t>
            </w:r>
            <w:r>
              <w:rPr>
                <w:bCs/>
                <w:color w:val="000000"/>
                <w:sz w:val="24"/>
              </w:rPr>
              <w:t>符合国家和地方产业政策；项目营运期产生的各类污染物经治理后均可实现达标排放和合理处置，经过预测分析，对区域环境影响较小。厂址选择合理。项目的实施具有良好的社会效益、经济效益，从环境保护的角度来讲，本项目的选址和建设是可行的</w:t>
            </w:r>
            <w:r>
              <w:rPr>
                <w:sz w:val="24"/>
              </w:rPr>
              <w:t>。</w:t>
            </w: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rPr>
                <w:rFonts w:hint="eastAsia"/>
                <w:lang w:eastAsia="zh-CN"/>
              </w:rPr>
            </w:pPr>
          </w:p>
        </w:tc>
      </w:tr>
    </w:tbl>
    <w:p>
      <w:pPr>
        <w:rPr>
          <w:rFonts w:hint="eastAsia"/>
          <w:lang w:eastAsia="zh-CN"/>
        </w:rPr>
        <w:sectPr>
          <w:pgSz w:w="11906" w:h="16838"/>
          <w:pgMar w:top="1701" w:right="1587" w:bottom="1984" w:left="1587" w:header="851" w:footer="992" w:gutter="0"/>
          <w:pgNumType w:fmt="numberInDash"/>
          <w:cols w:space="425" w:num="1"/>
          <w:docGrid w:type="lines" w:linePitch="312" w:charSpace="0"/>
        </w:sectPr>
      </w:pPr>
    </w:p>
    <w:p>
      <w:pPr>
        <w:ind w:left="0" w:leftChars="0" w:firstLine="0" w:firstLineChars="0"/>
        <w:rPr>
          <w:rFonts w:hint="eastAsia" w:ascii="黑体" w:hAnsi="黑体" w:eastAsia="黑体" w:cs="黑体"/>
          <w:sz w:val="32"/>
          <w:szCs w:val="32"/>
          <w:lang w:eastAsia="zh-CN"/>
        </w:rPr>
      </w:pPr>
      <w:r>
        <w:rPr>
          <w:rFonts w:hint="eastAsia" w:ascii="黑体" w:hAnsi="黑体" w:eastAsia="黑体" w:cs="黑体"/>
          <w:sz w:val="32"/>
          <w:szCs w:val="32"/>
          <w:lang w:eastAsia="zh-CN"/>
        </w:rPr>
        <w:t>附表</w:t>
      </w:r>
    </w:p>
    <w:p>
      <w:pPr>
        <w:rPr>
          <w:rFonts w:hint="eastAsia"/>
          <w:lang w:eastAsia="zh-CN"/>
        </w:rPr>
      </w:pPr>
    </w:p>
    <w:p>
      <w:pPr>
        <w:ind w:left="0" w:leftChars="0" w:firstLine="0" w:firstLineChars="0"/>
        <w:jc w:val="center"/>
        <w:rPr>
          <w:rFonts w:hint="eastAsia" w:ascii="方正小标宋_GBK" w:hAnsi="方正小标宋_GBK" w:eastAsia="方正小标宋_GBK" w:cs="方正小标宋_GBK"/>
          <w:b w:val="0"/>
          <w:bCs w:val="0"/>
          <w:sz w:val="36"/>
          <w:szCs w:val="36"/>
          <w:lang w:eastAsia="zh-CN"/>
        </w:rPr>
      </w:pPr>
      <w:r>
        <w:rPr>
          <w:rFonts w:hint="eastAsia" w:ascii="方正小标宋_GBK" w:hAnsi="方正小标宋_GBK" w:eastAsia="方正小标宋_GBK" w:cs="方正小标宋_GBK"/>
          <w:b w:val="0"/>
          <w:bCs w:val="0"/>
          <w:sz w:val="36"/>
          <w:szCs w:val="36"/>
          <w:lang w:eastAsia="zh-CN"/>
        </w:rPr>
        <w:t>建设项目污染物排放量汇总表</w:t>
      </w:r>
    </w:p>
    <w:p>
      <w:pPr>
        <w:rPr>
          <w:rFonts w:hint="eastAsia"/>
          <w:lang w:eastAsia="zh-CN"/>
        </w:rPr>
      </w:pPr>
    </w:p>
    <w:tbl>
      <w:tblPr>
        <w:tblStyle w:val="9"/>
        <w:tblW w:w="497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73"/>
        <w:gridCol w:w="1308"/>
        <w:gridCol w:w="2047"/>
        <w:gridCol w:w="1270"/>
        <w:gridCol w:w="1987"/>
        <w:gridCol w:w="2014"/>
        <w:gridCol w:w="1768"/>
        <w:gridCol w:w="1851"/>
        <w:gridCol w:w="12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63" w:type="pct"/>
            <w:vAlign w:val="center"/>
            <mc:AlternateContent>
              <mc:Choice Requires="wpsCustomData">
                <wpsCustomData:diagonals>
                  <wpsCustomData:diagonal from="10000" to="30000">
                    <wpsCustomData:border w:val="single" w:color="auto" w:sz="12" w:space="0"/>
                  </wpsCustomData:diagonal>
                </wpsCustomData:diagonals>
              </mc:Choice>
            </mc:AlternateContent>
          </w:tcPr>
          <w:p>
            <w:pPr>
              <w:pStyle w:val="11"/>
              <w:bidi w:val="0"/>
              <w:snapToGrid w:val="0"/>
              <w:jc w:val="both"/>
              <w:rPr>
                <w:rFonts w:hint="default" w:ascii="Times New Roman" w:hAnsi="Times New Roman" w:eastAsia="黑体" w:cs="Times New Roman"/>
                <w:lang w:eastAsia="zh-CN"/>
              </w:rPr>
            </w:pPr>
          </w:p>
          <w:p>
            <w:pPr>
              <w:pStyle w:val="11"/>
              <w:bidi w:val="0"/>
              <w:snapToGrid w:val="0"/>
              <w:jc w:val="center"/>
              <mc:AlternateContent>
                <mc:Choice Requires="wpsCustomData">
                  <wpsCustomData:diagonalParaType/>
                </mc:Choice>
              </mc:AlternateContent>
              <w:rPr>
                <w:rFonts w:hint="default" w:ascii="Times New Roman" w:hAnsi="Times New Roman" w:eastAsia="黑体" w:cs="Times New Roman"/>
                <w:lang w:eastAsia="zh-CN"/>
              </w:rPr>
            </w:pPr>
            <w:r>
              <w:rPr>
                <w:rFonts w:hint="default" w:ascii="Times New Roman" w:hAnsi="Times New Roman" w:eastAsia="黑体" w:cs="Times New Roman"/>
                <w:lang w:eastAsia="zh-CN"/>
              </w:rPr>
              <w:t>分类</w:t>
            </w:r>
          </w:p>
          <w:p>
            <w:pPr>
              <w:pStyle w:val="11"/>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项目</w:t>
            </w:r>
          </w:p>
        </w:tc>
        <w:tc>
          <w:tcPr>
            <w:tcW w:w="441" w:type="pct"/>
            <w:vAlign w:val="center"/>
          </w:tcPr>
          <w:p>
            <w:pPr>
              <w:pStyle w:val="11"/>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污染物名称</w:t>
            </w:r>
          </w:p>
        </w:tc>
        <w:tc>
          <w:tcPr>
            <w:tcW w:w="690" w:type="pct"/>
            <w:vAlign w:val="center"/>
          </w:tcPr>
          <w:p>
            <w:pPr>
              <w:pStyle w:val="11"/>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现有工程排放量</w:t>
            </w:r>
          </w:p>
          <w:p>
            <w:pPr>
              <w:pStyle w:val="11"/>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（固体废物产生量）</w:t>
            </w:r>
          </w:p>
          <w:p>
            <w:pPr>
              <w:pStyle w:val="11"/>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①</w:t>
            </w:r>
          </w:p>
        </w:tc>
        <w:tc>
          <w:tcPr>
            <w:tcW w:w="428" w:type="pct"/>
            <w:vAlign w:val="center"/>
          </w:tcPr>
          <w:p>
            <w:pPr>
              <w:pStyle w:val="11"/>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现有工程</w:t>
            </w:r>
          </w:p>
          <w:p>
            <w:pPr>
              <w:pStyle w:val="11"/>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许可排放量</w:t>
            </w:r>
          </w:p>
          <w:p>
            <w:pPr>
              <w:pStyle w:val="11"/>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②</w:t>
            </w:r>
          </w:p>
        </w:tc>
        <w:tc>
          <w:tcPr>
            <w:tcW w:w="670" w:type="pct"/>
            <w:vAlign w:val="center"/>
          </w:tcPr>
          <w:p>
            <w:pPr>
              <w:pStyle w:val="11"/>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在建工程排放量</w:t>
            </w:r>
          </w:p>
          <w:p>
            <w:pPr>
              <w:pStyle w:val="11"/>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（固体废物产生量）③</w:t>
            </w:r>
          </w:p>
        </w:tc>
        <w:tc>
          <w:tcPr>
            <w:tcW w:w="679" w:type="pct"/>
            <w:vAlign w:val="center"/>
          </w:tcPr>
          <w:p>
            <w:pPr>
              <w:pStyle w:val="11"/>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本项目排放量</w:t>
            </w:r>
          </w:p>
          <w:p>
            <w:pPr>
              <w:pStyle w:val="11"/>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（固体废物产生量）</w:t>
            </w:r>
          </w:p>
          <w:p>
            <w:pPr>
              <w:pStyle w:val="11"/>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④</w:t>
            </w:r>
          </w:p>
        </w:tc>
        <w:tc>
          <w:tcPr>
            <w:tcW w:w="596" w:type="pct"/>
            <w:vAlign w:val="center"/>
          </w:tcPr>
          <w:p>
            <w:pPr>
              <w:pStyle w:val="11"/>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以新带老削减量（新建项目不填）⑤</w:t>
            </w:r>
          </w:p>
        </w:tc>
        <w:tc>
          <w:tcPr>
            <w:tcW w:w="624" w:type="pct"/>
            <w:vAlign w:val="center"/>
          </w:tcPr>
          <w:p>
            <w:pPr>
              <w:pStyle w:val="11"/>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本项目建成后</w:t>
            </w:r>
          </w:p>
          <w:p>
            <w:pPr>
              <w:pStyle w:val="11"/>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全厂排放量（固体废物产生量）⑥</w:t>
            </w:r>
          </w:p>
        </w:tc>
        <w:tc>
          <w:tcPr>
            <w:tcW w:w="406" w:type="pct"/>
            <w:vAlign w:val="center"/>
          </w:tcPr>
          <w:p>
            <w:pPr>
              <w:pStyle w:val="11"/>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变化量</w:t>
            </w:r>
          </w:p>
          <w:p>
            <w:pPr>
              <w:pStyle w:val="11"/>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3" w:type="pct"/>
            <w:vMerge w:val="restart"/>
            <w:vAlign w:val="center"/>
          </w:tcPr>
          <w:p>
            <w:pPr>
              <w:pStyle w:val="11"/>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废气</w:t>
            </w:r>
          </w:p>
        </w:tc>
        <w:tc>
          <w:tcPr>
            <w:tcW w:w="441" w:type="pct"/>
            <w:vAlign w:val="center"/>
          </w:tcPr>
          <w:p>
            <w:pPr>
              <w:pStyle w:val="11"/>
              <w:bidi w:val="0"/>
              <w:jc w:val="center"/>
              <w:rPr>
                <w:rFonts w:hint="default" w:ascii="Times New Roman" w:hAnsi="Times New Roman" w:eastAsia="黑体" w:cs="Times New Roman"/>
                <w:lang w:val="en-US" w:eastAsia="zh-CN"/>
              </w:rPr>
            </w:pPr>
            <w:r>
              <w:rPr>
                <w:rFonts w:hint="eastAsia" w:ascii="Times New Roman" w:hAnsi="Times New Roman" w:eastAsia="黑体" w:cs="Times New Roman"/>
                <w:lang w:val="en-US" w:eastAsia="zh-CN"/>
              </w:rPr>
              <w:t>颗粒物</w:t>
            </w:r>
          </w:p>
        </w:tc>
        <w:tc>
          <w:tcPr>
            <w:tcW w:w="690"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w:t>
            </w:r>
          </w:p>
        </w:tc>
        <w:tc>
          <w:tcPr>
            <w:tcW w:w="428" w:type="pct"/>
            <w:vAlign w:val="center"/>
          </w:tcPr>
          <w:p>
            <w:pPr>
              <w:pStyle w:val="11"/>
              <w:bidi w:val="0"/>
              <w:jc w:val="center"/>
              <w:rPr>
                <w:rFonts w:hint="default" w:ascii="Times New Roman" w:hAnsi="Times New Roman" w:eastAsia="黑体" w:cs="Times New Roman"/>
                <w:lang w:val="en-US" w:eastAsia="zh-CN"/>
              </w:rPr>
            </w:pPr>
            <w:r>
              <w:rPr>
                <w:rFonts w:hint="eastAsia" w:ascii="Times New Roman" w:hAnsi="Times New Roman" w:eastAsia="黑体" w:cs="Times New Roman"/>
                <w:lang w:val="en-US" w:eastAsia="zh-CN"/>
              </w:rPr>
              <w:t>0</w:t>
            </w:r>
          </w:p>
        </w:tc>
        <w:tc>
          <w:tcPr>
            <w:tcW w:w="670" w:type="pct"/>
            <w:vAlign w:val="center"/>
          </w:tcPr>
          <w:p>
            <w:pPr>
              <w:pStyle w:val="11"/>
              <w:bidi w:val="0"/>
              <w:jc w:val="center"/>
              <w:rPr>
                <w:rFonts w:hint="default" w:ascii="Times New Roman" w:hAnsi="Times New Roman" w:eastAsia="黑体" w:cs="Times New Roman"/>
                <w:lang w:val="en-US" w:eastAsia="zh-CN"/>
              </w:rPr>
            </w:pPr>
            <w:r>
              <w:rPr>
                <w:rFonts w:hint="eastAsia" w:ascii="Times New Roman" w:hAnsi="Times New Roman" w:eastAsia="黑体" w:cs="Times New Roman"/>
                <w:lang w:val="en-US" w:eastAsia="zh-CN"/>
              </w:rPr>
              <w:t>/</w:t>
            </w:r>
          </w:p>
        </w:tc>
        <w:tc>
          <w:tcPr>
            <w:tcW w:w="679"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0.0567</w:t>
            </w:r>
          </w:p>
        </w:tc>
        <w:tc>
          <w:tcPr>
            <w:tcW w:w="596"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w:t>
            </w:r>
          </w:p>
        </w:tc>
        <w:tc>
          <w:tcPr>
            <w:tcW w:w="624"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0.0567</w:t>
            </w:r>
          </w:p>
        </w:tc>
        <w:tc>
          <w:tcPr>
            <w:tcW w:w="1205" w:type="dxa"/>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t>+</w:t>
            </w:r>
            <w:r>
              <w:rPr>
                <w:rFonts w:hint="eastAsia"/>
                <w:lang w:val="en-US" w:eastAsia="zh-CN"/>
              </w:rPr>
              <w:t>0.0567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3" w:type="pct"/>
            <w:vMerge w:val="continue"/>
            <w:vAlign w:val="center"/>
          </w:tcPr>
          <w:p>
            <w:pPr>
              <w:pStyle w:val="11"/>
              <w:bidi w:val="0"/>
              <w:jc w:val="center"/>
              <w:rPr>
                <w:rFonts w:hint="default" w:ascii="Times New Roman" w:hAnsi="Times New Roman" w:eastAsia="黑体" w:cs="Times New Roman"/>
                <w:lang w:eastAsia="zh-CN"/>
              </w:rPr>
            </w:pPr>
          </w:p>
        </w:tc>
        <w:tc>
          <w:tcPr>
            <w:tcW w:w="441" w:type="pct"/>
            <w:vAlign w:val="center"/>
          </w:tcPr>
          <w:p>
            <w:pPr>
              <w:pStyle w:val="11"/>
              <w:bidi w:val="0"/>
              <w:jc w:val="center"/>
              <w:rPr>
                <w:rFonts w:hint="default" w:ascii="Times New Roman" w:hAnsi="Times New Roman" w:eastAsia="黑体" w:cs="Times New Roman"/>
                <w:lang w:val="en-US" w:eastAsia="zh-CN"/>
              </w:rPr>
            </w:pPr>
            <w:r>
              <w:rPr>
                <w:rFonts w:hint="eastAsia" w:ascii="Times New Roman" w:hAnsi="Times New Roman" w:eastAsia="黑体" w:cs="Times New Roman"/>
                <w:lang w:val="en-US" w:eastAsia="zh-CN"/>
              </w:rPr>
              <w:t>硫化氢</w:t>
            </w:r>
          </w:p>
        </w:tc>
        <w:tc>
          <w:tcPr>
            <w:tcW w:w="690"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t>0</w:t>
            </w:r>
          </w:p>
        </w:tc>
        <w:tc>
          <w:tcPr>
            <w:tcW w:w="428" w:type="pct"/>
            <w:vAlign w:val="center"/>
          </w:tcPr>
          <w:p>
            <w:pPr>
              <w:pStyle w:val="11"/>
              <w:bidi w:val="0"/>
              <w:jc w:val="center"/>
              <w:rPr>
                <w:rFonts w:hint="default" w:ascii="Times New Roman" w:hAnsi="Times New Roman" w:eastAsia="黑体" w:cs="Times New Roman"/>
                <w:lang w:val="en-US" w:eastAsia="zh-CN"/>
              </w:rPr>
            </w:pPr>
            <w:r>
              <w:rPr>
                <w:rFonts w:hint="eastAsia" w:ascii="Times New Roman" w:hAnsi="Times New Roman" w:eastAsia="黑体" w:cs="Times New Roman"/>
                <w:lang w:val="en-US" w:eastAsia="zh-CN"/>
              </w:rPr>
              <w:t>0</w:t>
            </w:r>
          </w:p>
        </w:tc>
        <w:tc>
          <w:tcPr>
            <w:tcW w:w="670" w:type="pct"/>
            <w:vAlign w:val="center"/>
          </w:tcPr>
          <w:p>
            <w:pPr>
              <w:pStyle w:val="11"/>
              <w:bidi w:val="0"/>
              <w:jc w:val="center"/>
              <w:rPr>
                <w:rFonts w:hint="default" w:ascii="Times New Roman" w:hAnsi="Times New Roman" w:eastAsia="黑体" w:cs="Times New Roman"/>
                <w:lang w:eastAsia="zh-CN"/>
              </w:rPr>
            </w:pPr>
            <w:r>
              <w:rPr>
                <w:rFonts w:hint="eastAsia" w:ascii="Times New Roman" w:hAnsi="Times New Roman" w:eastAsia="黑体" w:cs="Times New Roman"/>
                <w:lang w:val="en-US" w:eastAsia="zh-CN"/>
              </w:rPr>
              <w:t>/</w:t>
            </w:r>
          </w:p>
        </w:tc>
        <w:tc>
          <w:tcPr>
            <w:tcW w:w="679"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2.27</w:t>
            </w:r>
            <w:r>
              <w:rPr>
                <w:rFonts w:hint="default"/>
                <w:lang w:val="en-US" w:eastAsia="zh-CN"/>
              </w:rPr>
              <w:t>×10</w:t>
            </w:r>
            <w:r>
              <w:rPr>
                <w:rFonts w:hint="default"/>
                <w:vertAlign w:val="superscript"/>
                <w:lang w:val="en-US" w:eastAsia="zh-CN"/>
              </w:rPr>
              <w:t>-6</w:t>
            </w:r>
          </w:p>
        </w:tc>
        <w:tc>
          <w:tcPr>
            <w:tcW w:w="596"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t>0</w:t>
            </w:r>
          </w:p>
        </w:tc>
        <w:tc>
          <w:tcPr>
            <w:tcW w:w="624"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2.27</w:t>
            </w:r>
            <w:r>
              <w:rPr>
                <w:rFonts w:hint="default"/>
                <w:lang w:val="en-US" w:eastAsia="zh-CN"/>
              </w:rPr>
              <w:t>×10</w:t>
            </w:r>
            <w:r>
              <w:rPr>
                <w:rFonts w:hint="default"/>
                <w:vertAlign w:val="superscript"/>
                <w:lang w:val="en-US" w:eastAsia="zh-CN"/>
              </w:rPr>
              <w:t>-6</w:t>
            </w:r>
          </w:p>
        </w:tc>
        <w:tc>
          <w:tcPr>
            <w:tcW w:w="1205" w:type="dxa"/>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t>+</w:t>
            </w:r>
            <w:r>
              <w:rPr>
                <w:rFonts w:hint="eastAsia"/>
                <w:lang w:val="en-US" w:eastAsia="zh-CN"/>
              </w:rPr>
              <w:t>2.27</w:t>
            </w:r>
            <w:r>
              <w:rPr>
                <w:rFonts w:hint="default"/>
                <w:lang w:val="en-US" w:eastAsia="zh-CN"/>
              </w:rPr>
              <w:t>×10</w:t>
            </w:r>
            <w:r>
              <w:rPr>
                <w:rFonts w:hint="default"/>
                <w:vertAlign w:val="superscript"/>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3" w:type="pct"/>
            <w:vMerge w:val="continue"/>
            <w:vAlign w:val="center"/>
          </w:tcPr>
          <w:p>
            <w:pPr>
              <w:pStyle w:val="11"/>
              <w:bidi w:val="0"/>
              <w:jc w:val="center"/>
              <w:rPr>
                <w:rFonts w:hint="default" w:ascii="Times New Roman" w:hAnsi="Times New Roman" w:eastAsia="黑体" w:cs="Times New Roman"/>
                <w:lang w:eastAsia="zh-CN"/>
              </w:rPr>
            </w:pPr>
          </w:p>
        </w:tc>
        <w:tc>
          <w:tcPr>
            <w:tcW w:w="441" w:type="pct"/>
            <w:vAlign w:val="center"/>
          </w:tcPr>
          <w:p>
            <w:pPr>
              <w:pStyle w:val="11"/>
              <w:bidi w:val="0"/>
              <w:jc w:val="center"/>
              <w:rPr>
                <w:rFonts w:hint="default" w:ascii="Times New Roman" w:hAnsi="Times New Roman" w:eastAsia="黑体" w:cs="Times New Roman"/>
                <w:lang w:val="en-US" w:eastAsia="zh-CN"/>
              </w:rPr>
            </w:pPr>
            <w:r>
              <w:rPr>
                <w:rFonts w:hint="eastAsia" w:ascii="Times New Roman" w:hAnsi="Times New Roman" w:eastAsia="黑体" w:cs="Times New Roman"/>
                <w:lang w:val="en-US" w:eastAsia="zh-CN"/>
              </w:rPr>
              <w:t>非甲烷总烃</w:t>
            </w:r>
          </w:p>
        </w:tc>
        <w:tc>
          <w:tcPr>
            <w:tcW w:w="690"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0.0576</w:t>
            </w:r>
          </w:p>
        </w:tc>
        <w:tc>
          <w:tcPr>
            <w:tcW w:w="428" w:type="pct"/>
            <w:vAlign w:val="center"/>
          </w:tcPr>
          <w:p>
            <w:pPr>
              <w:pStyle w:val="11"/>
              <w:bidi w:val="0"/>
              <w:jc w:val="center"/>
              <w:rPr>
                <w:rFonts w:hint="default" w:ascii="Times New Roman" w:hAnsi="Times New Roman" w:eastAsia="黑体" w:cs="Times New Roman"/>
                <w:lang w:val="en-US" w:eastAsia="zh-CN"/>
              </w:rPr>
            </w:pPr>
            <w:r>
              <w:rPr>
                <w:rFonts w:hint="eastAsia" w:ascii="Times New Roman" w:hAnsi="Times New Roman" w:eastAsia="黑体" w:cs="Times New Roman"/>
                <w:lang w:val="en-US" w:eastAsia="zh-CN"/>
              </w:rPr>
              <w:t>0.0663</w:t>
            </w:r>
          </w:p>
        </w:tc>
        <w:tc>
          <w:tcPr>
            <w:tcW w:w="670" w:type="pct"/>
            <w:vAlign w:val="center"/>
          </w:tcPr>
          <w:p>
            <w:pPr>
              <w:pStyle w:val="11"/>
              <w:bidi w:val="0"/>
              <w:ind w:firstLine="0" w:firstLineChars="0"/>
              <w:jc w:val="center"/>
              <w:rPr>
                <w:rFonts w:hint="default" w:ascii="Times New Roman" w:hAnsi="Times New Roman" w:eastAsia="黑体" w:cs="Times New Roman"/>
                <w:lang w:eastAsia="zh-CN"/>
              </w:rPr>
            </w:pPr>
            <w:r>
              <w:rPr>
                <w:rFonts w:hint="eastAsia" w:ascii="Times New Roman" w:hAnsi="Times New Roman" w:eastAsia="黑体" w:cs="Times New Roman"/>
                <w:lang w:val="en-US" w:eastAsia="zh-CN"/>
              </w:rPr>
              <w:t>/</w:t>
            </w:r>
          </w:p>
        </w:tc>
        <w:tc>
          <w:tcPr>
            <w:tcW w:w="679"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0.0441</w:t>
            </w:r>
          </w:p>
        </w:tc>
        <w:tc>
          <w:tcPr>
            <w:tcW w:w="596"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0.0576</w:t>
            </w:r>
          </w:p>
        </w:tc>
        <w:tc>
          <w:tcPr>
            <w:tcW w:w="624"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0.0441</w:t>
            </w:r>
          </w:p>
        </w:tc>
        <w:tc>
          <w:tcPr>
            <w:tcW w:w="1205" w:type="dxa"/>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w:t>
            </w:r>
            <w:r>
              <w:t>0.</w:t>
            </w:r>
            <w:r>
              <w:rPr>
                <w:rFonts w:hint="eastAsia"/>
                <w:lang w:val="en-US" w:eastAsia="zh-CN"/>
              </w:rPr>
              <w:t>0135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3" w:type="pct"/>
            <w:vMerge w:val="restart"/>
            <w:vAlign w:val="center"/>
          </w:tcPr>
          <w:p>
            <w:pPr>
              <w:pStyle w:val="11"/>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废水</w:t>
            </w:r>
          </w:p>
        </w:tc>
        <w:tc>
          <w:tcPr>
            <w:tcW w:w="441" w:type="pct"/>
            <w:vAlign w:val="center"/>
          </w:tcPr>
          <w:p>
            <w:pPr>
              <w:pStyle w:val="11"/>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COD</w:t>
            </w:r>
          </w:p>
        </w:tc>
        <w:tc>
          <w:tcPr>
            <w:tcW w:w="690" w:type="pct"/>
            <w:vAlign w:val="center"/>
          </w:tcPr>
          <w:p>
            <w:pPr>
              <w:pStyle w:val="11"/>
              <w:bidi w:val="0"/>
              <w:jc w:val="center"/>
              <w:rPr>
                <w:rFonts w:hint="default" w:ascii="Times New Roman" w:hAnsi="Times New Roman" w:eastAsia="黑体" w:cs="Times New Roman"/>
                <w:lang w:eastAsia="zh-CN"/>
              </w:rPr>
            </w:pPr>
            <w:r>
              <w:t>0.0415</w:t>
            </w:r>
          </w:p>
        </w:tc>
        <w:tc>
          <w:tcPr>
            <w:tcW w:w="428" w:type="pct"/>
            <w:vAlign w:val="center"/>
          </w:tcPr>
          <w:p>
            <w:pPr>
              <w:pStyle w:val="11"/>
              <w:bidi w:val="0"/>
              <w:jc w:val="center"/>
              <w:rPr>
                <w:rFonts w:hint="default" w:ascii="Times New Roman" w:hAnsi="Times New Roman" w:eastAsia="黑体" w:cs="Times New Roman"/>
                <w:lang w:val="en-US" w:eastAsia="zh-CN"/>
              </w:rPr>
            </w:pPr>
            <w:r>
              <w:rPr>
                <w:rFonts w:hint="eastAsia" w:ascii="Times New Roman" w:hAnsi="Times New Roman" w:eastAsia="黑体" w:cs="Times New Roman"/>
                <w:lang w:val="en-US" w:eastAsia="zh-CN"/>
              </w:rPr>
              <w:t>0.0830</w:t>
            </w:r>
          </w:p>
        </w:tc>
        <w:tc>
          <w:tcPr>
            <w:tcW w:w="670" w:type="pct"/>
            <w:vAlign w:val="center"/>
          </w:tcPr>
          <w:p>
            <w:pPr>
              <w:pStyle w:val="11"/>
              <w:bidi w:val="0"/>
              <w:ind w:firstLine="0" w:firstLineChars="0"/>
              <w:jc w:val="center"/>
              <w:rPr>
                <w:rFonts w:hint="default" w:ascii="Times New Roman" w:hAnsi="Times New Roman" w:eastAsia="黑体" w:cs="Times New Roman"/>
                <w:lang w:eastAsia="zh-CN"/>
              </w:rPr>
            </w:pPr>
            <w:r>
              <w:rPr>
                <w:rFonts w:hint="eastAsia" w:ascii="Times New Roman" w:hAnsi="Times New Roman" w:eastAsia="黑体" w:cs="Times New Roman"/>
                <w:lang w:val="en-US" w:eastAsia="zh-CN"/>
              </w:rPr>
              <w:t>/</w:t>
            </w:r>
          </w:p>
        </w:tc>
        <w:tc>
          <w:tcPr>
            <w:tcW w:w="679" w:type="pct"/>
            <w:vAlign w:val="center"/>
          </w:tcPr>
          <w:p>
            <w:pPr>
              <w:pStyle w:val="11"/>
              <w:bidi w:val="0"/>
              <w:jc w:val="center"/>
              <w:rPr>
                <w:rFonts w:hint="default" w:ascii="Times New Roman" w:hAnsi="Times New Roman" w:eastAsia="黑体" w:cs="Times New Roman"/>
                <w:lang w:eastAsia="zh-CN"/>
              </w:rPr>
            </w:pPr>
            <w:r>
              <w:rPr>
                <w:rFonts w:hint="eastAsia"/>
                <w:lang w:val="en-US" w:eastAsia="zh-CN"/>
              </w:rPr>
              <w:t>0.0615</w:t>
            </w:r>
          </w:p>
        </w:tc>
        <w:tc>
          <w:tcPr>
            <w:tcW w:w="596" w:type="pct"/>
            <w:vAlign w:val="center"/>
          </w:tcPr>
          <w:p>
            <w:pPr>
              <w:pStyle w:val="11"/>
              <w:bidi w:val="0"/>
              <w:ind w:firstLine="0" w:firstLineChars="0"/>
              <w:jc w:val="center"/>
              <w:rPr>
                <w:rFonts w:hint="default" w:ascii="Times New Roman" w:hAnsi="Times New Roman" w:eastAsia="黑体" w:cs="Times New Roman"/>
                <w:kern w:val="44"/>
                <w:sz w:val="21"/>
                <w:szCs w:val="22"/>
                <w:lang w:val="en-US" w:eastAsia="zh-CN" w:bidi="ar-SA"/>
              </w:rPr>
            </w:pPr>
            <w:r>
              <w:t>0.0415</w:t>
            </w:r>
          </w:p>
        </w:tc>
        <w:tc>
          <w:tcPr>
            <w:tcW w:w="624" w:type="pct"/>
            <w:vAlign w:val="center"/>
          </w:tcPr>
          <w:p>
            <w:pPr>
              <w:pStyle w:val="11"/>
              <w:bidi w:val="0"/>
              <w:ind w:firstLine="0" w:firstLineChars="0"/>
              <w:jc w:val="center"/>
              <w:rPr>
                <w:rFonts w:hint="default" w:ascii="Times New Roman" w:hAnsi="Times New Roman" w:eastAsia="黑体" w:cs="Times New Roman"/>
                <w:kern w:val="44"/>
                <w:sz w:val="21"/>
                <w:szCs w:val="22"/>
                <w:lang w:val="en-US" w:eastAsia="zh-CN" w:bidi="ar-SA"/>
              </w:rPr>
            </w:pPr>
            <w:r>
              <w:rPr>
                <w:rFonts w:hint="eastAsia"/>
                <w:lang w:val="en-US" w:eastAsia="zh-CN"/>
              </w:rPr>
              <w:t>0.0615</w:t>
            </w:r>
          </w:p>
        </w:tc>
        <w:tc>
          <w:tcPr>
            <w:tcW w:w="406" w:type="pct"/>
            <w:vAlign w:val="center"/>
          </w:tcPr>
          <w:p>
            <w:pPr>
              <w:pStyle w:val="11"/>
              <w:bidi w:val="0"/>
              <w:jc w:val="center"/>
              <w:rPr>
                <w:rFonts w:hint="default" w:ascii="Times New Roman" w:hAnsi="Times New Roman" w:eastAsia="黑体" w:cs="Times New Roman"/>
                <w:lang w:eastAsia="zh-CN"/>
              </w:rPr>
            </w:pPr>
            <w:r>
              <w:t>+0.</w:t>
            </w:r>
            <w:r>
              <w:rPr>
                <w:rFonts w:hint="eastAsia"/>
                <w:lang w:val="en-US" w:eastAsia="zh-CN"/>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3" w:type="pct"/>
            <w:vMerge w:val="continue"/>
            <w:vAlign w:val="center"/>
          </w:tcPr>
          <w:p>
            <w:pPr>
              <w:pStyle w:val="11"/>
              <w:bidi w:val="0"/>
              <w:jc w:val="center"/>
              <w:rPr>
                <w:rFonts w:hint="default" w:ascii="Times New Roman" w:hAnsi="Times New Roman" w:eastAsia="黑体" w:cs="Times New Roman"/>
                <w:lang w:eastAsia="zh-CN"/>
              </w:rPr>
            </w:pPr>
          </w:p>
        </w:tc>
        <w:tc>
          <w:tcPr>
            <w:tcW w:w="441" w:type="pct"/>
            <w:vAlign w:val="center"/>
          </w:tcPr>
          <w:p>
            <w:pPr>
              <w:pStyle w:val="11"/>
              <w:bidi w:val="0"/>
              <w:jc w:val="center"/>
              <w:rPr>
                <w:rFonts w:hint="default" w:ascii="Times New Roman" w:hAnsi="Times New Roman" w:eastAsia="黑体" w:cs="Times New Roman"/>
                <w:lang w:val="en-US" w:eastAsia="zh-CN"/>
              </w:rPr>
            </w:pPr>
            <w:r>
              <w:rPr>
                <w:rFonts w:hint="eastAsia" w:ascii="Times New Roman" w:hAnsi="Times New Roman" w:eastAsia="黑体" w:cs="Times New Roman"/>
                <w:lang w:val="en-US" w:eastAsia="zh-CN"/>
              </w:rPr>
              <w:t>氨氮</w:t>
            </w:r>
          </w:p>
        </w:tc>
        <w:tc>
          <w:tcPr>
            <w:tcW w:w="690" w:type="pct"/>
            <w:vAlign w:val="center"/>
          </w:tcPr>
          <w:p>
            <w:pPr>
              <w:pStyle w:val="11"/>
              <w:bidi w:val="0"/>
              <w:jc w:val="center"/>
              <w:rPr>
                <w:rFonts w:hint="eastAsia" w:ascii="Times New Roman" w:hAnsi="Times New Roman" w:eastAsia="宋体" w:cs="Times New Roman"/>
                <w:lang w:val="en-US" w:eastAsia="zh-CN"/>
              </w:rPr>
            </w:pPr>
            <w:r>
              <w:t>0.005</w:t>
            </w:r>
            <w:r>
              <w:rPr>
                <w:rFonts w:hint="eastAsia"/>
                <w:lang w:val="en-US" w:eastAsia="zh-CN"/>
              </w:rPr>
              <w:t>0</w:t>
            </w:r>
          </w:p>
        </w:tc>
        <w:tc>
          <w:tcPr>
            <w:tcW w:w="428" w:type="pct"/>
            <w:vAlign w:val="center"/>
          </w:tcPr>
          <w:p>
            <w:pPr>
              <w:pStyle w:val="11"/>
              <w:bidi w:val="0"/>
              <w:jc w:val="center"/>
              <w:rPr>
                <w:rFonts w:hint="default" w:ascii="Times New Roman" w:hAnsi="Times New Roman" w:eastAsia="黑体" w:cs="Times New Roman"/>
                <w:lang w:val="en-US" w:eastAsia="zh-CN"/>
              </w:rPr>
            </w:pPr>
            <w:r>
              <w:rPr>
                <w:rFonts w:hint="eastAsia" w:ascii="Times New Roman" w:hAnsi="Times New Roman" w:eastAsia="黑体" w:cs="Times New Roman"/>
                <w:lang w:val="en-US" w:eastAsia="zh-CN"/>
              </w:rPr>
              <w:t>0.0110</w:t>
            </w:r>
          </w:p>
        </w:tc>
        <w:tc>
          <w:tcPr>
            <w:tcW w:w="670" w:type="pct"/>
            <w:vAlign w:val="center"/>
          </w:tcPr>
          <w:p>
            <w:pPr>
              <w:pStyle w:val="11"/>
              <w:bidi w:val="0"/>
              <w:ind w:firstLine="0" w:firstLineChars="0"/>
              <w:jc w:val="center"/>
              <w:rPr>
                <w:rFonts w:hint="default" w:ascii="Times New Roman" w:hAnsi="Times New Roman" w:eastAsia="黑体" w:cs="Times New Roman"/>
                <w:lang w:eastAsia="zh-CN"/>
              </w:rPr>
            </w:pPr>
            <w:r>
              <w:rPr>
                <w:rFonts w:hint="eastAsia" w:ascii="Times New Roman" w:hAnsi="Times New Roman" w:eastAsia="黑体" w:cs="Times New Roman"/>
                <w:lang w:val="en-US" w:eastAsia="zh-CN"/>
              </w:rPr>
              <w:t>/</w:t>
            </w:r>
          </w:p>
        </w:tc>
        <w:tc>
          <w:tcPr>
            <w:tcW w:w="679" w:type="pct"/>
            <w:vAlign w:val="center"/>
          </w:tcPr>
          <w:p>
            <w:pPr>
              <w:pStyle w:val="11"/>
              <w:bidi w:val="0"/>
              <w:jc w:val="center"/>
              <w:rPr>
                <w:rFonts w:hint="default" w:ascii="Times New Roman" w:hAnsi="Times New Roman" w:eastAsia="黑体" w:cs="Times New Roman"/>
                <w:lang w:eastAsia="zh-CN"/>
              </w:rPr>
            </w:pPr>
            <w:r>
              <w:t>0.0</w:t>
            </w:r>
            <w:r>
              <w:rPr>
                <w:rFonts w:hint="eastAsia"/>
                <w:lang w:val="en-US" w:eastAsia="zh-CN"/>
              </w:rPr>
              <w:t>075</w:t>
            </w:r>
          </w:p>
        </w:tc>
        <w:tc>
          <w:tcPr>
            <w:tcW w:w="596" w:type="pct"/>
            <w:vAlign w:val="center"/>
          </w:tcPr>
          <w:p>
            <w:pPr>
              <w:pStyle w:val="11"/>
              <w:bidi w:val="0"/>
              <w:ind w:firstLine="0" w:firstLineChars="0"/>
              <w:jc w:val="center"/>
              <w:rPr>
                <w:rFonts w:hint="default" w:ascii="Times New Roman" w:hAnsi="Times New Roman" w:eastAsia="宋体" w:cs="Times New Roman"/>
                <w:kern w:val="44"/>
                <w:sz w:val="21"/>
                <w:szCs w:val="22"/>
                <w:lang w:val="en-US" w:eastAsia="zh-CN" w:bidi="ar-SA"/>
              </w:rPr>
            </w:pPr>
            <w:r>
              <w:t>0.005</w:t>
            </w:r>
            <w:r>
              <w:rPr>
                <w:rFonts w:hint="eastAsia"/>
                <w:lang w:val="en-US" w:eastAsia="zh-CN"/>
              </w:rPr>
              <w:t>0</w:t>
            </w:r>
          </w:p>
        </w:tc>
        <w:tc>
          <w:tcPr>
            <w:tcW w:w="624" w:type="pct"/>
            <w:vAlign w:val="center"/>
          </w:tcPr>
          <w:p>
            <w:pPr>
              <w:pStyle w:val="11"/>
              <w:bidi w:val="0"/>
              <w:ind w:firstLine="0" w:firstLineChars="0"/>
              <w:jc w:val="center"/>
              <w:rPr>
                <w:rFonts w:hint="default" w:ascii="Times New Roman" w:hAnsi="Times New Roman" w:eastAsia="黑体" w:cs="Times New Roman"/>
                <w:kern w:val="44"/>
                <w:sz w:val="21"/>
                <w:szCs w:val="22"/>
                <w:lang w:val="en-US" w:eastAsia="zh-CN" w:bidi="ar-SA"/>
              </w:rPr>
            </w:pPr>
            <w:r>
              <w:t>0.0</w:t>
            </w:r>
            <w:r>
              <w:rPr>
                <w:rFonts w:hint="eastAsia"/>
                <w:lang w:val="en-US" w:eastAsia="zh-CN"/>
              </w:rPr>
              <w:t>075</w:t>
            </w:r>
          </w:p>
        </w:tc>
        <w:tc>
          <w:tcPr>
            <w:tcW w:w="406" w:type="pct"/>
            <w:vAlign w:val="center"/>
          </w:tcPr>
          <w:p>
            <w:pPr>
              <w:pStyle w:val="11"/>
              <w:bidi w:val="0"/>
              <w:jc w:val="center"/>
              <w:rPr>
                <w:rFonts w:hint="default" w:ascii="Times New Roman" w:hAnsi="Times New Roman" w:eastAsia="黑体" w:cs="Times New Roman"/>
                <w:lang w:eastAsia="zh-CN"/>
              </w:rPr>
            </w:pPr>
            <w:r>
              <w:t>+0.0</w:t>
            </w:r>
            <w:r>
              <w:rPr>
                <w:rFonts w:hint="eastAsia"/>
                <w:lang w:val="en-US" w:eastAsia="zh-CN"/>
              </w:rPr>
              <w:t>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3" w:type="pct"/>
            <w:vMerge w:val="restart"/>
            <w:vAlign w:val="center"/>
          </w:tcPr>
          <w:p>
            <w:pPr>
              <w:pStyle w:val="11"/>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一般工业</w:t>
            </w:r>
          </w:p>
          <w:p>
            <w:pPr>
              <w:pStyle w:val="11"/>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固体废物</w:t>
            </w:r>
          </w:p>
        </w:tc>
        <w:tc>
          <w:tcPr>
            <w:tcW w:w="441" w:type="pct"/>
            <w:vAlign w:val="center"/>
          </w:tcPr>
          <w:p>
            <w:pPr>
              <w:pStyle w:val="11"/>
              <w:bidi w:val="0"/>
              <w:jc w:val="center"/>
              <w:rPr>
                <w:rFonts w:hint="default" w:ascii="Times New Roman" w:hAnsi="Times New Roman" w:eastAsia="黑体" w:cs="Times New Roman"/>
                <w:lang w:val="en-US" w:eastAsia="zh-CN"/>
              </w:rPr>
            </w:pPr>
            <w:r>
              <w:rPr>
                <w:rFonts w:hint="eastAsia" w:ascii="Times New Roman" w:hAnsi="Times New Roman" w:eastAsia="黑体" w:cs="Times New Roman"/>
                <w:lang w:val="en-US" w:eastAsia="zh-CN"/>
              </w:rPr>
              <w:t>除尘卸灰</w:t>
            </w:r>
          </w:p>
        </w:tc>
        <w:tc>
          <w:tcPr>
            <w:tcW w:w="690"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t>0</w:t>
            </w:r>
          </w:p>
        </w:tc>
        <w:tc>
          <w:tcPr>
            <w:tcW w:w="428"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t>0</w:t>
            </w:r>
          </w:p>
        </w:tc>
        <w:tc>
          <w:tcPr>
            <w:tcW w:w="670" w:type="pct"/>
            <w:vAlign w:val="center"/>
          </w:tcPr>
          <w:p>
            <w:pPr>
              <w:pStyle w:val="11"/>
              <w:bidi w:val="0"/>
              <w:ind w:firstLine="0" w:firstLineChars="0"/>
              <w:jc w:val="center"/>
              <w:rPr>
                <w:rFonts w:hint="default" w:ascii="Times New Roman" w:hAnsi="Times New Roman" w:eastAsia="黑体" w:cs="Times New Roman"/>
                <w:lang w:eastAsia="zh-CN"/>
              </w:rPr>
            </w:pPr>
            <w:r>
              <w:rPr>
                <w:rFonts w:hint="eastAsia" w:ascii="Times New Roman" w:hAnsi="Times New Roman" w:eastAsia="黑体" w:cs="Times New Roman"/>
                <w:lang w:val="en-US" w:eastAsia="zh-CN"/>
              </w:rPr>
              <w:t>/</w:t>
            </w:r>
          </w:p>
        </w:tc>
        <w:tc>
          <w:tcPr>
            <w:tcW w:w="679"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0.0172</w:t>
            </w:r>
          </w:p>
        </w:tc>
        <w:tc>
          <w:tcPr>
            <w:tcW w:w="596"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t>0</w:t>
            </w:r>
          </w:p>
        </w:tc>
        <w:tc>
          <w:tcPr>
            <w:tcW w:w="624"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0.0172</w:t>
            </w:r>
          </w:p>
        </w:tc>
        <w:tc>
          <w:tcPr>
            <w:tcW w:w="406"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t>+</w:t>
            </w:r>
            <w:r>
              <w:rPr>
                <w:rFonts w:hint="eastAsia"/>
                <w:lang w:val="en-US" w:eastAsia="zh-CN"/>
              </w:rPr>
              <w:t>0.0172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3" w:type="pct"/>
            <w:vMerge w:val="continue"/>
            <w:vAlign w:val="center"/>
          </w:tcPr>
          <w:p>
            <w:pPr>
              <w:pStyle w:val="11"/>
              <w:bidi w:val="0"/>
              <w:jc w:val="center"/>
              <w:rPr>
                <w:rFonts w:hint="default" w:ascii="Times New Roman" w:hAnsi="Times New Roman" w:eastAsia="黑体" w:cs="Times New Roman"/>
                <w:lang w:eastAsia="zh-CN"/>
              </w:rPr>
            </w:pPr>
          </w:p>
        </w:tc>
        <w:tc>
          <w:tcPr>
            <w:tcW w:w="441" w:type="pct"/>
            <w:vAlign w:val="center"/>
          </w:tcPr>
          <w:p>
            <w:pPr>
              <w:pStyle w:val="11"/>
              <w:bidi w:val="0"/>
              <w:jc w:val="center"/>
              <w:rPr>
                <w:rFonts w:hint="default" w:ascii="Times New Roman" w:hAnsi="Times New Roman" w:eastAsia="黑体" w:cs="Times New Roman"/>
                <w:lang w:val="en-US" w:eastAsia="zh-CN"/>
              </w:rPr>
            </w:pPr>
            <w:r>
              <w:rPr>
                <w:rFonts w:hint="eastAsia" w:ascii="Times New Roman" w:hAnsi="Times New Roman" w:eastAsia="黑体" w:cs="Times New Roman"/>
                <w:lang w:val="en-US" w:eastAsia="zh-CN"/>
              </w:rPr>
              <w:t>金属废料</w:t>
            </w:r>
          </w:p>
        </w:tc>
        <w:tc>
          <w:tcPr>
            <w:tcW w:w="690"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t>0</w:t>
            </w:r>
          </w:p>
        </w:tc>
        <w:tc>
          <w:tcPr>
            <w:tcW w:w="428"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t>0</w:t>
            </w:r>
          </w:p>
        </w:tc>
        <w:tc>
          <w:tcPr>
            <w:tcW w:w="670" w:type="pct"/>
            <w:vAlign w:val="center"/>
          </w:tcPr>
          <w:p>
            <w:pPr>
              <w:pStyle w:val="11"/>
              <w:bidi w:val="0"/>
              <w:ind w:firstLine="0" w:firstLineChars="0"/>
              <w:jc w:val="center"/>
              <w:rPr>
                <w:rFonts w:hint="default" w:ascii="Times New Roman" w:hAnsi="Times New Roman" w:eastAsia="黑体" w:cs="Times New Roman"/>
                <w:lang w:eastAsia="zh-CN"/>
              </w:rPr>
            </w:pPr>
            <w:r>
              <w:rPr>
                <w:rFonts w:hint="eastAsia" w:ascii="Times New Roman" w:hAnsi="Times New Roman" w:eastAsia="黑体" w:cs="Times New Roman"/>
                <w:lang w:val="en-US" w:eastAsia="zh-CN"/>
              </w:rPr>
              <w:t>/</w:t>
            </w:r>
          </w:p>
        </w:tc>
        <w:tc>
          <w:tcPr>
            <w:tcW w:w="679"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75</w:t>
            </w:r>
          </w:p>
        </w:tc>
        <w:tc>
          <w:tcPr>
            <w:tcW w:w="596"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t>0</w:t>
            </w:r>
          </w:p>
        </w:tc>
        <w:tc>
          <w:tcPr>
            <w:tcW w:w="624"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75</w:t>
            </w:r>
          </w:p>
        </w:tc>
        <w:tc>
          <w:tcPr>
            <w:tcW w:w="406"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t>+</w:t>
            </w:r>
            <w:r>
              <w:rPr>
                <w:rFonts w:hint="eastAsia"/>
                <w:lang w:val="en-US" w:eastAsia="zh-CN"/>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3" w:type="pct"/>
            <w:vMerge w:val="continue"/>
            <w:vAlign w:val="center"/>
          </w:tcPr>
          <w:p>
            <w:pPr>
              <w:pStyle w:val="11"/>
              <w:bidi w:val="0"/>
              <w:jc w:val="center"/>
              <w:rPr>
                <w:rFonts w:hint="default" w:ascii="Times New Roman" w:hAnsi="Times New Roman" w:eastAsia="黑体" w:cs="Times New Roman"/>
                <w:lang w:eastAsia="zh-CN"/>
              </w:rPr>
            </w:pPr>
          </w:p>
        </w:tc>
        <w:tc>
          <w:tcPr>
            <w:tcW w:w="441" w:type="pct"/>
            <w:vAlign w:val="center"/>
          </w:tcPr>
          <w:p>
            <w:pPr>
              <w:pStyle w:val="11"/>
              <w:bidi w:val="0"/>
              <w:jc w:val="center"/>
              <w:rPr>
                <w:rFonts w:hint="default" w:ascii="Times New Roman" w:hAnsi="Times New Roman" w:eastAsia="黑体" w:cs="Times New Roman"/>
                <w:lang w:val="en-US" w:eastAsia="zh-CN"/>
              </w:rPr>
            </w:pPr>
            <w:r>
              <w:rPr>
                <w:rFonts w:hint="eastAsia" w:ascii="Times New Roman" w:hAnsi="Times New Roman" w:eastAsia="黑体" w:cs="Times New Roman"/>
                <w:lang w:val="en-US" w:eastAsia="zh-CN"/>
              </w:rPr>
              <w:t>橡胶废料</w:t>
            </w:r>
          </w:p>
        </w:tc>
        <w:tc>
          <w:tcPr>
            <w:tcW w:w="690"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0.25</w:t>
            </w:r>
          </w:p>
        </w:tc>
        <w:tc>
          <w:tcPr>
            <w:tcW w:w="428"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0.25</w:t>
            </w:r>
          </w:p>
        </w:tc>
        <w:tc>
          <w:tcPr>
            <w:tcW w:w="670" w:type="pct"/>
            <w:vAlign w:val="center"/>
          </w:tcPr>
          <w:p>
            <w:pPr>
              <w:pStyle w:val="11"/>
              <w:bidi w:val="0"/>
              <w:ind w:firstLine="0" w:firstLineChars="0"/>
              <w:jc w:val="center"/>
              <w:rPr>
                <w:rFonts w:hint="default" w:ascii="Times New Roman" w:hAnsi="Times New Roman" w:eastAsia="黑体" w:cs="Times New Roman"/>
                <w:lang w:eastAsia="zh-CN"/>
              </w:rPr>
            </w:pPr>
            <w:r>
              <w:rPr>
                <w:rFonts w:hint="eastAsia" w:ascii="Times New Roman" w:hAnsi="Times New Roman" w:eastAsia="黑体" w:cs="Times New Roman"/>
                <w:lang w:val="en-US" w:eastAsia="zh-CN"/>
              </w:rPr>
              <w:t>/</w:t>
            </w:r>
          </w:p>
        </w:tc>
        <w:tc>
          <w:tcPr>
            <w:tcW w:w="679"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0.5</w:t>
            </w:r>
          </w:p>
        </w:tc>
        <w:tc>
          <w:tcPr>
            <w:tcW w:w="596"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0.25</w:t>
            </w:r>
          </w:p>
        </w:tc>
        <w:tc>
          <w:tcPr>
            <w:tcW w:w="624"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0.5</w:t>
            </w:r>
          </w:p>
        </w:tc>
        <w:tc>
          <w:tcPr>
            <w:tcW w:w="406"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t>+</w:t>
            </w:r>
            <w:r>
              <w:rPr>
                <w:rFonts w:hint="eastAsia"/>
                <w:lang w:val="en-US" w:eastAsia="zh-CN"/>
              </w:rPr>
              <w:t>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3" w:type="pct"/>
            <w:vMerge w:val="continue"/>
            <w:vAlign w:val="center"/>
          </w:tcPr>
          <w:p>
            <w:pPr>
              <w:pStyle w:val="11"/>
              <w:bidi w:val="0"/>
              <w:jc w:val="center"/>
              <w:rPr>
                <w:rFonts w:hint="default" w:ascii="Times New Roman" w:hAnsi="Times New Roman" w:eastAsia="黑体" w:cs="Times New Roman"/>
                <w:lang w:eastAsia="zh-CN"/>
              </w:rPr>
            </w:pPr>
          </w:p>
        </w:tc>
        <w:tc>
          <w:tcPr>
            <w:tcW w:w="441" w:type="pct"/>
            <w:vAlign w:val="center"/>
          </w:tcPr>
          <w:p>
            <w:pPr>
              <w:pStyle w:val="11"/>
              <w:bidi w:val="0"/>
              <w:jc w:val="center"/>
              <w:rPr>
                <w:rFonts w:hint="default" w:ascii="Times New Roman" w:hAnsi="Times New Roman" w:eastAsia="黑体" w:cs="Times New Roman"/>
                <w:lang w:val="en-US" w:eastAsia="zh-CN"/>
              </w:rPr>
            </w:pPr>
            <w:r>
              <w:rPr>
                <w:rFonts w:hint="eastAsia" w:ascii="Times New Roman" w:hAnsi="Times New Roman" w:eastAsia="黑体" w:cs="Times New Roman"/>
                <w:lang w:val="en-US" w:eastAsia="zh-CN"/>
              </w:rPr>
              <w:t>包装废料</w:t>
            </w:r>
          </w:p>
        </w:tc>
        <w:tc>
          <w:tcPr>
            <w:tcW w:w="690"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1.8</w:t>
            </w:r>
          </w:p>
        </w:tc>
        <w:tc>
          <w:tcPr>
            <w:tcW w:w="428"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1.8</w:t>
            </w:r>
          </w:p>
        </w:tc>
        <w:tc>
          <w:tcPr>
            <w:tcW w:w="670" w:type="pct"/>
            <w:vAlign w:val="center"/>
          </w:tcPr>
          <w:p>
            <w:pPr>
              <w:pStyle w:val="11"/>
              <w:bidi w:val="0"/>
              <w:ind w:firstLine="0" w:firstLineChars="0"/>
              <w:jc w:val="center"/>
              <w:rPr>
                <w:rFonts w:hint="default" w:ascii="Times New Roman" w:hAnsi="Times New Roman" w:eastAsia="黑体" w:cs="Times New Roman"/>
                <w:lang w:eastAsia="zh-CN"/>
              </w:rPr>
            </w:pPr>
            <w:r>
              <w:rPr>
                <w:rFonts w:hint="eastAsia" w:ascii="Times New Roman" w:hAnsi="Times New Roman" w:eastAsia="黑体" w:cs="Times New Roman"/>
                <w:lang w:val="en-US" w:eastAsia="zh-CN"/>
              </w:rPr>
              <w:t>/</w:t>
            </w:r>
          </w:p>
        </w:tc>
        <w:tc>
          <w:tcPr>
            <w:tcW w:w="679"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3.5</w:t>
            </w:r>
          </w:p>
        </w:tc>
        <w:tc>
          <w:tcPr>
            <w:tcW w:w="596"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1.8</w:t>
            </w:r>
          </w:p>
        </w:tc>
        <w:tc>
          <w:tcPr>
            <w:tcW w:w="624"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3.5</w:t>
            </w:r>
          </w:p>
        </w:tc>
        <w:tc>
          <w:tcPr>
            <w:tcW w:w="406" w:type="pct"/>
            <w:vAlign w:val="center"/>
          </w:tcPr>
          <w:p>
            <w:pPr>
              <w:pStyle w:val="11"/>
              <w:bidi w:val="0"/>
              <w:ind w:firstLine="0" w:firstLineChars="0"/>
              <w:rPr>
                <w:rFonts w:hint="default" w:ascii="Times New Roman" w:hAnsi="Times New Roman" w:eastAsia="宋体" w:cs="Times New Roman"/>
                <w:kern w:val="44"/>
                <w:sz w:val="21"/>
                <w:szCs w:val="22"/>
                <w:lang w:val="en-US" w:eastAsia="zh-CN" w:bidi="ar-SA"/>
              </w:rPr>
            </w:pPr>
            <w:r>
              <w:t>+</w:t>
            </w:r>
            <w:r>
              <w:rPr>
                <w:rFonts w:hint="eastAsia"/>
                <w:lang w:val="en-US" w:eastAsia="zh-CN"/>
              </w:rPr>
              <w:t>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3" w:type="pct"/>
            <w:vMerge w:val="continue"/>
            <w:vAlign w:val="center"/>
          </w:tcPr>
          <w:p>
            <w:pPr>
              <w:pStyle w:val="11"/>
              <w:bidi w:val="0"/>
              <w:jc w:val="center"/>
              <w:rPr>
                <w:rFonts w:hint="default" w:ascii="Times New Roman" w:hAnsi="Times New Roman" w:eastAsia="黑体" w:cs="Times New Roman"/>
                <w:lang w:eastAsia="zh-CN"/>
              </w:rPr>
            </w:pPr>
          </w:p>
        </w:tc>
        <w:tc>
          <w:tcPr>
            <w:tcW w:w="441" w:type="pct"/>
            <w:vAlign w:val="center"/>
          </w:tcPr>
          <w:p>
            <w:pPr>
              <w:pStyle w:val="11"/>
              <w:bidi w:val="0"/>
              <w:jc w:val="center"/>
              <w:rPr>
                <w:rFonts w:hint="default" w:ascii="Times New Roman" w:hAnsi="Times New Roman" w:eastAsia="黑体" w:cs="Times New Roman"/>
                <w:lang w:val="en-US" w:eastAsia="zh-CN"/>
              </w:rPr>
            </w:pPr>
            <w:r>
              <w:rPr>
                <w:rFonts w:hint="eastAsia" w:ascii="Times New Roman" w:hAnsi="Times New Roman" w:eastAsia="黑体" w:cs="Times New Roman"/>
                <w:lang w:val="en-US" w:eastAsia="zh-CN"/>
              </w:rPr>
              <w:t>废UV灯管</w:t>
            </w:r>
          </w:p>
        </w:tc>
        <w:tc>
          <w:tcPr>
            <w:tcW w:w="690" w:type="pct"/>
            <w:vAlign w:val="top"/>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w:t>
            </w:r>
          </w:p>
        </w:tc>
        <w:tc>
          <w:tcPr>
            <w:tcW w:w="428" w:type="pct"/>
            <w:vAlign w:val="top"/>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w:t>
            </w:r>
          </w:p>
        </w:tc>
        <w:tc>
          <w:tcPr>
            <w:tcW w:w="670" w:type="pct"/>
            <w:vAlign w:val="center"/>
          </w:tcPr>
          <w:p>
            <w:pPr>
              <w:pStyle w:val="11"/>
              <w:bidi w:val="0"/>
              <w:ind w:firstLine="0" w:firstLineChars="0"/>
              <w:jc w:val="center"/>
              <w:rPr>
                <w:rFonts w:hint="default" w:ascii="Times New Roman" w:hAnsi="Times New Roman" w:eastAsia="黑体" w:cs="Times New Roman"/>
                <w:lang w:eastAsia="zh-CN"/>
              </w:rPr>
            </w:pPr>
            <w:r>
              <w:rPr>
                <w:rFonts w:hint="eastAsia" w:ascii="Times New Roman" w:hAnsi="Times New Roman" w:eastAsia="黑体" w:cs="Times New Roman"/>
                <w:lang w:val="en-US" w:eastAsia="zh-CN"/>
              </w:rPr>
              <w:t>/</w:t>
            </w:r>
          </w:p>
        </w:tc>
        <w:tc>
          <w:tcPr>
            <w:tcW w:w="679" w:type="pct"/>
            <w:vAlign w:val="top"/>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0.004</w:t>
            </w:r>
          </w:p>
        </w:tc>
        <w:tc>
          <w:tcPr>
            <w:tcW w:w="596" w:type="pct"/>
            <w:vAlign w:val="top"/>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w:t>
            </w:r>
          </w:p>
        </w:tc>
        <w:tc>
          <w:tcPr>
            <w:tcW w:w="624" w:type="pct"/>
            <w:vAlign w:val="top"/>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0.004</w:t>
            </w:r>
          </w:p>
        </w:tc>
        <w:tc>
          <w:tcPr>
            <w:tcW w:w="406" w:type="pct"/>
            <w:vAlign w:val="top"/>
          </w:tcPr>
          <w:p>
            <w:pPr>
              <w:pStyle w:val="11"/>
              <w:bidi w:val="0"/>
              <w:ind w:firstLine="0" w:firstLineChars="0"/>
              <w:rPr>
                <w:rFonts w:hint="default" w:ascii="Times New Roman" w:hAnsi="Times New Roman" w:eastAsia="宋体" w:cs="Times New Roman"/>
                <w:kern w:val="44"/>
                <w:sz w:val="21"/>
                <w:szCs w:val="22"/>
                <w:lang w:val="en-US" w:eastAsia="zh-CN" w:bidi="ar-SA"/>
              </w:rPr>
            </w:pPr>
            <w:r>
              <w:t>+</w:t>
            </w:r>
            <w:r>
              <w:rPr>
                <w:rFonts w:hint="eastAsia"/>
                <w:lang w:val="en-US" w:eastAsia="zh-CN"/>
              </w:rPr>
              <w:t>0.004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3" w:type="pct"/>
            <w:vMerge w:val="restart"/>
            <w:vAlign w:val="center"/>
          </w:tcPr>
          <w:p>
            <w:pPr>
              <w:pStyle w:val="11"/>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危险废物</w:t>
            </w:r>
          </w:p>
        </w:tc>
        <w:tc>
          <w:tcPr>
            <w:tcW w:w="441" w:type="pct"/>
            <w:vAlign w:val="center"/>
          </w:tcPr>
          <w:p>
            <w:pPr>
              <w:pStyle w:val="11"/>
              <w:bidi w:val="0"/>
              <w:jc w:val="center"/>
              <w:rPr>
                <w:rFonts w:hint="default" w:ascii="Times New Roman" w:hAnsi="Times New Roman" w:eastAsia="黑体" w:cs="Times New Roman"/>
                <w:lang w:val="en-US" w:eastAsia="zh-CN"/>
              </w:rPr>
            </w:pPr>
            <w:r>
              <w:rPr>
                <w:rFonts w:hint="eastAsia" w:eastAsia="黑体" w:cs="Times New Roman"/>
                <w:lang w:val="en-US" w:eastAsia="zh-CN"/>
              </w:rPr>
              <w:t>废液压油</w:t>
            </w:r>
          </w:p>
        </w:tc>
        <w:tc>
          <w:tcPr>
            <w:tcW w:w="690" w:type="pct"/>
            <w:vAlign w:val="top"/>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0.3</w:t>
            </w:r>
          </w:p>
        </w:tc>
        <w:tc>
          <w:tcPr>
            <w:tcW w:w="428" w:type="pct"/>
            <w:vAlign w:val="top"/>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0.3</w:t>
            </w:r>
          </w:p>
        </w:tc>
        <w:tc>
          <w:tcPr>
            <w:tcW w:w="670" w:type="pct"/>
            <w:vAlign w:val="center"/>
          </w:tcPr>
          <w:p>
            <w:pPr>
              <w:pStyle w:val="11"/>
              <w:bidi w:val="0"/>
              <w:ind w:firstLine="0" w:firstLineChars="0"/>
              <w:jc w:val="center"/>
              <w:rPr>
                <w:rFonts w:hint="default" w:ascii="Times New Roman" w:hAnsi="Times New Roman" w:eastAsia="黑体" w:cs="Times New Roman"/>
                <w:lang w:eastAsia="zh-CN"/>
              </w:rPr>
            </w:pPr>
            <w:r>
              <w:rPr>
                <w:rFonts w:hint="eastAsia" w:ascii="Times New Roman" w:hAnsi="Times New Roman" w:eastAsia="黑体" w:cs="Times New Roman"/>
                <w:lang w:val="en-US" w:eastAsia="zh-CN"/>
              </w:rPr>
              <w:t>/</w:t>
            </w:r>
          </w:p>
        </w:tc>
        <w:tc>
          <w:tcPr>
            <w:tcW w:w="679" w:type="pct"/>
            <w:vAlign w:val="top"/>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0.05</w:t>
            </w:r>
          </w:p>
        </w:tc>
        <w:tc>
          <w:tcPr>
            <w:tcW w:w="596" w:type="pct"/>
            <w:vAlign w:val="top"/>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0.3</w:t>
            </w:r>
          </w:p>
        </w:tc>
        <w:tc>
          <w:tcPr>
            <w:tcW w:w="624" w:type="pct"/>
            <w:vAlign w:val="top"/>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0.05</w:t>
            </w:r>
          </w:p>
        </w:tc>
        <w:tc>
          <w:tcPr>
            <w:tcW w:w="406" w:type="pct"/>
            <w:vAlign w:val="top"/>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3" w:type="pct"/>
            <w:vMerge w:val="continue"/>
            <w:vAlign w:val="center"/>
          </w:tcPr>
          <w:p>
            <w:pPr>
              <w:pStyle w:val="11"/>
              <w:bidi w:val="0"/>
              <w:jc w:val="center"/>
              <w:rPr>
                <w:rFonts w:hint="default" w:ascii="Times New Roman" w:hAnsi="Times New Roman" w:eastAsia="黑体" w:cs="Times New Roman"/>
                <w:lang w:eastAsia="zh-CN"/>
              </w:rPr>
            </w:pPr>
          </w:p>
        </w:tc>
        <w:tc>
          <w:tcPr>
            <w:tcW w:w="441" w:type="pct"/>
            <w:vAlign w:val="center"/>
          </w:tcPr>
          <w:p>
            <w:pPr>
              <w:pStyle w:val="11"/>
              <w:bidi w:val="0"/>
              <w:jc w:val="center"/>
              <w:rPr>
                <w:rFonts w:hint="default" w:ascii="Times New Roman" w:hAnsi="Times New Roman" w:eastAsia="黑体" w:cs="Times New Roman"/>
                <w:lang w:val="en-US" w:eastAsia="zh-CN"/>
              </w:rPr>
            </w:pPr>
            <w:r>
              <w:rPr>
                <w:rFonts w:hint="eastAsia" w:ascii="Times New Roman" w:hAnsi="Times New Roman" w:eastAsia="黑体" w:cs="Times New Roman"/>
                <w:lang w:val="en-US" w:eastAsia="zh-CN"/>
              </w:rPr>
              <w:t>废活性炭</w:t>
            </w:r>
          </w:p>
        </w:tc>
        <w:tc>
          <w:tcPr>
            <w:tcW w:w="690" w:type="pct"/>
            <w:vAlign w:val="top"/>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0.138</w:t>
            </w:r>
          </w:p>
        </w:tc>
        <w:tc>
          <w:tcPr>
            <w:tcW w:w="428" w:type="pct"/>
            <w:vAlign w:val="top"/>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0.138</w:t>
            </w:r>
          </w:p>
        </w:tc>
        <w:tc>
          <w:tcPr>
            <w:tcW w:w="670" w:type="pct"/>
            <w:vAlign w:val="center"/>
          </w:tcPr>
          <w:p>
            <w:pPr>
              <w:pStyle w:val="11"/>
              <w:bidi w:val="0"/>
              <w:ind w:firstLine="0" w:firstLineChars="0"/>
              <w:jc w:val="center"/>
              <w:rPr>
                <w:rFonts w:hint="default" w:ascii="Times New Roman" w:hAnsi="Times New Roman" w:eastAsia="黑体" w:cs="Times New Roman"/>
                <w:lang w:eastAsia="zh-CN"/>
              </w:rPr>
            </w:pPr>
            <w:r>
              <w:rPr>
                <w:rFonts w:hint="eastAsia" w:ascii="Times New Roman" w:hAnsi="Times New Roman" w:eastAsia="黑体" w:cs="Times New Roman"/>
                <w:lang w:val="en-US" w:eastAsia="zh-CN"/>
              </w:rPr>
              <w:t>/</w:t>
            </w:r>
          </w:p>
        </w:tc>
        <w:tc>
          <w:tcPr>
            <w:tcW w:w="679" w:type="pct"/>
            <w:vAlign w:val="top"/>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0.131</w:t>
            </w:r>
          </w:p>
        </w:tc>
        <w:tc>
          <w:tcPr>
            <w:tcW w:w="596" w:type="pct"/>
            <w:vAlign w:val="top"/>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0.138</w:t>
            </w:r>
          </w:p>
        </w:tc>
        <w:tc>
          <w:tcPr>
            <w:tcW w:w="624" w:type="pct"/>
            <w:vAlign w:val="top"/>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0.131</w:t>
            </w:r>
          </w:p>
        </w:tc>
        <w:tc>
          <w:tcPr>
            <w:tcW w:w="406" w:type="pct"/>
            <w:vAlign w:val="top"/>
          </w:tcPr>
          <w:p>
            <w:pPr>
              <w:pStyle w:val="11"/>
              <w:bidi w:val="0"/>
              <w:ind w:firstLine="0" w:firstLineChars="0"/>
              <w:rPr>
                <w:rFonts w:hint="default" w:ascii="Times New Roman" w:hAnsi="Times New Roman" w:eastAsia="宋体" w:cs="Times New Roman"/>
                <w:kern w:val="44"/>
                <w:sz w:val="21"/>
                <w:szCs w:val="22"/>
                <w:lang w:val="en-US" w:eastAsia="zh-CN" w:bidi="ar-SA"/>
              </w:rPr>
            </w:pPr>
            <w:r>
              <w:rPr>
                <w:rFonts w:hint="eastAsia"/>
                <w:lang w:val="en-US" w:eastAsia="zh-CN"/>
              </w:rPr>
              <w:t>-0.007</w:t>
            </w:r>
          </w:p>
        </w:tc>
      </w:tr>
    </w:tbl>
    <w:p>
      <w:pPr>
        <w:bidi w:val="0"/>
        <w:rPr>
          <w:rFonts w:hint="default"/>
          <w:lang w:val="en-US" w:eastAsia="zh-CN"/>
        </w:rPr>
        <w:sectPr>
          <w:pgSz w:w="16838" w:h="11906" w:orient="landscape"/>
          <w:pgMar w:top="1440" w:right="1080" w:bottom="1440" w:left="1080" w:header="851" w:footer="992" w:gutter="0"/>
          <w:pgNumType w:fmt="numberInDash"/>
          <w:cols w:space="425" w:num="1"/>
          <w:docGrid w:type="lines" w:linePitch="312" w:charSpace="0"/>
        </w:sectPr>
      </w:pPr>
      <w:r>
        <w:rPr>
          <w:rFonts w:hint="eastAsia" w:ascii="黑体" w:hAnsi="黑体" w:eastAsia="黑体" w:cs="黑体"/>
          <w:sz w:val="21"/>
          <w:szCs w:val="21"/>
          <w:lang w:eastAsia="zh-CN"/>
        </w:rPr>
        <w:t>注：⑥</w:t>
      </w:r>
      <w:r>
        <w:rPr>
          <w:rFonts w:hint="eastAsia" w:ascii="黑体" w:hAnsi="黑体" w:eastAsia="黑体" w:cs="黑体"/>
          <w:sz w:val="21"/>
          <w:szCs w:val="21"/>
          <w:lang w:val="en-US" w:eastAsia="zh-CN"/>
        </w:rPr>
        <w:t>=①+③+④-⑤；⑦=⑥-①</w:t>
      </w:r>
    </w:p>
    <w:p>
      <w:pPr>
        <w:ind w:left="0" w:leftChars="0" w:firstLine="0" w:firstLineChars="0"/>
        <w:rPr>
          <w:rFonts w:hint="eastAsia"/>
          <w:sz w:val="21"/>
          <w:szCs w:val="21"/>
          <w:lang w:eastAsia="zh-CN"/>
        </w:rPr>
      </w:pPr>
    </w:p>
    <w:sectPr>
      <w:pgSz w:w="11906" w:h="16838"/>
      <w:pgMar w:top="1701" w:right="1587" w:bottom="198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4"/>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265B7"/>
    <w:rsid w:val="0114737B"/>
    <w:rsid w:val="031630C3"/>
    <w:rsid w:val="047201D0"/>
    <w:rsid w:val="077941BB"/>
    <w:rsid w:val="086124FD"/>
    <w:rsid w:val="0A021656"/>
    <w:rsid w:val="0ADE6A37"/>
    <w:rsid w:val="0E4613A1"/>
    <w:rsid w:val="0F74031A"/>
    <w:rsid w:val="150856DA"/>
    <w:rsid w:val="16D97EF5"/>
    <w:rsid w:val="18F54BF9"/>
    <w:rsid w:val="1BD9524E"/>
    <w:rsid w:val="1D1D4C22"/>
    <w:rsid w:val="1FF8581D"/>
    <w:rsid w:val="21677FCE"/>
    <w:rsid w:val="21EF34B9"/>
    <w:rsid w:val="24990480"/>
    <w:rsid w:val="24B2714D"/>
    <w:rsid w:val="24E732EA"/>
    <w:rsid w:val="25D11AC5"/>
    <w:rsid w:val="25DC5799"/>
    <w:rsid w:val="2630502B"/>
    <w:rsid w:val="264429AD"/>
    <w:rsid w:val="269C59BC"/>
    <w:rsid w:val="26E45436"/>
    <w:rsid w:val="28731730"/>
    <w:rsid w:val="2D5852F3"/>
    <w:rsid w:val="2D972488"/>
    <w:rsid w:val="2E654035"/>
    <w:rsid w:val="2F4F2300"/>
    <w:rsid w:val="2F624918"/>
    <w:rsid w:val="3040357E"/>
    <w:rsid w:val="34D87591"/>
    <w:rsid w:val="35622302"/>
    <w:rsid w:val="3574431E"/>
    <w:rsid w:val="3A8C79E3"/>
    <w:rsid w:val="3C956B17"/>
    <w:rsid w:val="3F4868F5"/>
    <w:rsid w:val="424F0295"/>
    <w:rsid w:val="43D420B8"/>
    <w:rsid w:val="45596D66"/>
    <w:rsid w:val="46290968"/>
    <w:rsid w:val="462916D0"/>
    <w:rsid w:val="46CE4CAD"/>
    <w:rsid w:val="49165008"/>
    <w:rsid w:val="4AAC5EBE"/>
    <w:rsid w:val="4B121216"/>
    <w:rsid w:val="4BFD003F"/>
    <w:rsid w:val="4D5C7830"/>
    <w:rsid w:val="508945F3"/>
    <w:rsid w:val="51B66394"/>
    <w:rsid w:val="5270745D"/>
    <w:rsid w:val="552B5038"/>
    <w:rsid w:val="555708F1"/>
    <w:rsid w:val="5592625A"/>
    <w:rsid w:val="567D53D1"/>
    <w:rsid w:val="57BF14C1"/>
    <w:rsid w:val="58BA3B71"/>
    <w:rsid w:val="594A2F87"/>
    <w:rsid w:val="5AF20201"/>
    <w:rsid w:val="5B292B01"/>
    <w:rsid w:val="5B872B9D"/>
    <w:rsid w:val="5C6176ED"/>
    <w:rsid w:val="60F4198F"/>
    <w:rsid w:val="611B66DC"/>
    <w:rsid w:val="613C465F"/>
    <w:rsid w:val="614E507E"/>
    <w:rsid w:val="62657952"/>
    <w:rsid w:val="62C01B37"/>
    <w:rsid w:val="63D95197"/>
    <w:rsid w:val="64FC3716"/>
    <w:rsid w:val="66456308"/>
    <w:rsid w:val="681B5807"/>
    <w:rsid w:val="68B84101"/>
    <w:rsid w:val="69740115"/>
    <w:rsid w:val="6B586C48"/>
    <w:rsid w:val="6B9411B5"/>
    <w:rsid w:val="6C154DD5"/>
    <w:rsid w:val="6CE9088D"/>
    <w:rsid w:val="6EC12EFE"/>
    <w:rsid w:val="6EC53296"/>
    <w:rsid w:val="6F8E4016"/>
    <w:rsid w:val="6F9752B9"/>
    <w:rsid w:val="702D3054"/>
    <w:rsid w:val="72410EC4"/>
    <w:rsid w:val="72FC63A6"/>
    <w:rsid w:val="73083268"/>
    <w:rsid w:val="737D5F43"/>
    <w:rsid w:val="73C65B85"/>
    <w:rsid w:val="74E64D98"/>
    <w:rsid w:val="774A4874"/>
    <w:rsid w:val="778B11A1"/>
    <w:rsid w:val="77E311DC"/>
    <w:rsid w:val="790E12E4"/>
    <w:rsid w:val="79E44315"/>
    <w:rsid w:val="79F20909"/>
    <w:rsid w:val="7AEC7568"/>
    <w:rsid w:val="7B287111"/>
    <w:rsid w:val="7B8F769E"/>
    <w:rsid w:val="7C11618D"/>
    <w:rsid w:val="7F9F4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snapToGrid/>
      <w:spacing w:line="360" w:lineRule="auto"/>
      <w:ind w:firstLine="560" w:firstLineChars="200"/>
      <w:jc w:val="both"/>
    </w:pPr>
    <w:rPr>
      <w:rFonts w:ascii="Times New Roman" w:hAnsi="Times New Roman" w:eastAsia="宋体" w:cs="Times New Roman"/>
      <w:sz w:val="24"/>
      <w:szCs w:val="22"/>
      <w:lang w:val="en-US" w:eastAsia="zh-CN" w:bidi="ar-SA"/>
    </w:rPr>
  </w:style>
  <w:style w:type="paragraph" w:styleId="2">
    <w:name w:val="heading 1"/>
    <w:next w:val="1"/>
    <w:link w:val="14"/>
    <w:qFormat/>
    <w:uiPriority w:val="0"/>
    <w:pPr>
      <w:keepNext/>
      <w:keepLines/>
      <w:spacing w:line="360" w:lineRule="auto"/>
      <w:ind w:firstLine="0" w:firstLineChars="0"/>
      <w:jc w:val="both"/>
      <w:outlineLvl w:val="0"/>
    </w:pPr>
    <w:rPr>
      <w:rFonts w:ascii="Times New Roman" w:hAnsi="Times New Roman" w:eastAsia="黑体" w:cstheme="minorBidi"/>
      <w:kern w:val="44"/>
      <w:sz w:val="30"/>
    </w:rPr>
  </w:style>
  <w:style w:type="paragraph" w:styleId="3">
    <w:name w:val="heading 2"/>
    <w:next w:val="1"/>
    <w:link w:val="13"/>
    <w:unhideWhenUsed/>
    <w:qFormat/>
    <w:uiPriority w:val="0"/>
    <w:pPr>
      <w:keepNext/>
      <w:keepLines/>
      <w:spacing w:beforeLines="0" w:beforeAutospacing="0" w:afterLines="0" w:afterAutospacing="0" w:line="360" w:lineRule="auto"/>
      <w:ind w:left="0" w:leftChars="0"/>
      <w:jc w:val="left"/>
      <w:outlineLvl w:val="1"/>
    </w:pPr>
    <w:rPr>
      <w:rFonts w:ascii="Times New Roman" w:hAnsi="Times New Roman" w:eastAsia="宋体" w:cstheme="minorBidi"/>
      <w:b/>
      <w:sz w:val="28"/>
    </w:rPr>
  </w:style>
  <w:style w:type="paragraph" w:styleId="4">
    <w:name w:val="heading 3"/>
    <w:basedOn w:val="1"/>
    <w:next w:val="1"/>
    <w:unhideWhenUsed/>
    <w:qFormat/>
    <w:uiPriority w:val="0"/>
    <w:pPr>
      <w:keepNext/>
      <w:keepLines/>
      <w:spacing w:beforeLines="0" w:beforeAutospacing="0" w:afterLines="0" w:afterAutospacing="0" w:line="360" w:lineRule="auto"/>
      <w:ind w:firstLine="482" w:firstLineChars="100"/>
      <w:outlineLvl w:val="2"/>
    </w:pPr>
    <w:rPr>
      <w:b/>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basedOn w:val="1"/>
    <w:next w:val="1"/>
    <w:qFormat/>
    <w:uiPriority w:val="10"/>
    <w:pPr>
      <w:spacing w:line="360" w:lineRule="auto"/>
      <w:jc w:val="center"/>
      <w:outlineLvl w:val="0"/>
    </w:pPr>
    <w:rPr>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表格文字"/>
    <w:basedOn w:val="1"/>
    <w:qFormat/>
    <w:uiPriority w:val="0"/>
    <w:pPr>
      <w:widowControl w:val="0"/>
      <w:spacing w:line="360" w:lineRule="exact"/>
      <w:ind w:firstLine="0" w:firstLineChars="0"/>
      <w:jc w:val="center"/>
    </w:pPr>
    <w:rPr>
      <w:rFonts w:ascii="Times New Roman" w:hAnsi="Times New Roman" w:eastAsia="宋体" w:cs="Times New Roman"/>
      <w:kern w:val="44"/>
      <w:sz w:val="21"/>
    </w:rPr>
  </w:style>
  <w:style w:type="paragraph" w:customStyle="1" w:styleId="12">
    <w:name w:val="表格标题"/>
    <w:next w:val="1"/>
    <w:qFormat/>
    <w:uiPriority w:val="0"/>
    <w:pPr>
      <w:spacing w:line="360" w:lineRule="auto"/>
      <w:jc w:val="center"/>
    </w:pPr>
    <w:rPr>
      <w:rFonts w:ascii="Times New Roman" w:hAnsi="Times New Roman" w:eastAsia="黑体" w:cs="Times New Roman"/>
      <w:sz w:val="24"/>
    </w:rPr>
  </w:style>
  <w:style w:type="character" w:customStyle="1" w:styleId="13">
    <w:name w:val="标题 2 Char"/>
    <w:link w:val="3"/>
    <w:qFormat/>
    <w:uiPriority w:val="0"/>
    <w:rPr>
      <w:rFonts w:ascii="Times New Roman" w:hAnsi="Times New Roman" w:eastAsia="宋体"/>
      <w:b/>
      <w:sz w:val="28"/>
    </w:rPr>
  </w:style>
  <w:style w:type="character" w:customStyle="1" w:styleId="14">
    <w:name w:val="标题 1 Char"/>
    <w:link w:val="2"/>
    <w:qFormat/>
    <w:uiPriority w:val="0"/>
    <w:rPr>
      <w:rFonts w:ascii="Times New Roman" w:hAnsi="Times New Roman" w:eastAsia="黑体"/>
      <w:kern w:val="44"/>
      <w:sz w:val="3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33782</Words>
  <Characters>38615</Characters>
  <Lines>0</Lines>
  <Paragraphs>0</Paragraphs>
  <TotalTime>4</TotalTime>
  <ScaleCrop>false</ScaleCrop>
  <LinksUpToDate>false</LinksUpToDate>
  <CharactersWithSpaces>38808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夜痕</cp:lastModifiedBy>
  <cp:lastPrinted>2021-12-01T01:01:00Z</cp:lastPrinted>
  <dcterms:modified xsi:type="dcterms:W3CDTF">2022-03-17T04:03:40Z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CE90AA8E00D943EEA95B3E0486268FA2</vt:lpwstr>
  </property>
</Properties>
</file>