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8E2" w14:textId="77777777" w:rsidR="00B81C00" w:rsidRDefault="00B81C00" w:rsidP="00B81C00">
      <w:pPr>
        <w:widowControl/>
        <w:spacing w:line="360" w:lineRule="auto"/>
        <w:jc w:val="center"/>
        <w:rPr>
          <w:rFonts w:ascii="Times New Roman" w:eastAsia="黑体" w:hAnsi="黑体" w:cs="Times New Roman"/>
          <w:b/>
          <w:bCs/>
          <w:color w:val="000000"/>
          <w:sz w:val="80"/>
          <w:szCs w:val="80"/>
        </w:rPr>
      </w:pPr>
    </w:p>
    <w:p w14:paraId="53C00372" w14:textId="77777777" w:rsidR="00B81C00" w:rsidRDefault="00B81C00" w:rsidP="00B81C00">
      <w:pPr>
        <w:widowControl/>
        <w:spacing w:line="360" w:lineRule="auto"/>
        <w:jc w:val="center"/>
        <w:rPr>
          <w:rFonts w:ascii="Times New Roman" w:eastAsia="黑体" w:hAnsi="黑体" w:cs="Times New Roman"/>
          <w:b/>
          <w:bCs/>
          <w:color w:val="000000"/>
          <w:sz w:val="80"/>
          <w:szCs w:val="80"/>
        </w:rPr>
      </w:pPr>
    </w:p>
    <w:p w14:paraId="491DD2EC" w14:textId="00A7FC29" w:rsidR="00B81C00" w:rsidRPr="00B81C00" w:rsidRDefault="00B81C00" w:rsidP="00B81C0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黑体" w:hAnsi="黑体" w:cs="Times New Roman" w:hint="eastAsia"/>
          <w:b/>
          <w:bCs/>
          <w:color w:val="000000"/>
          <w:sz w:val="80"/>
          <w:szCs w:val="80"/>
        </w:rPr>
        <w:t>储油库</w:t>
      </w:r>
      <w:r w:rsidRPr="00B81C00">
        <w:rPr>
          <w:rFonts w:ascii="Times New Roman" w:eastAsia="黑体" w:hAnsi="黑体" w:cs="Times New Roman" w:hint="eastAsia"/>
          <w:b/>
          <w:bCs/>
          <w:color w:val="000000"/>
          <w:sz w:val="80"/>
          <w:szCs w:val="80"/>
        </w:rPr>
        <w:t>挥发性有机物治理手册</w:t>
      </w:r>
    </w:p>
    <w:p w14:paraId="18318E77" w14:textId="77777777" w:rsidR="00B81C00" w:rsidRPr="00B81C00" w:rsidRDefault="00B81C00" w:rsidP="00B81C00"/>
    <w:p w14:paraId="2799C363" w14:textId="06DC9357" w:rsidR="00887B4E" w:rsidRDefault="00B81C00" w:rsidP="00B81C00">
      <w:pPr>
        <w:widowControl/>
        <w:jc w:val="left"/>
      </w:pPr>
      <w:r w:rsidRPr="00B81C00">
        <w:br w:type="page"/>
      </w:r>
    </w:p>
    <w:p w14:paraId="2F841BEA" w14:textId="001C127F" w:rsidR="00887B4E" w:rsidRDefault="00887B4E" w:rsidP="00887B4E">
      <w:pPr>
        <w:pStyle w:val="a7"/>
        <w:spacing w:before="0" w:beforeAutospacing="0" w:after="0" w:afterAutospacing="0" w:line="360" w:lineRule="auto"/>
        <w:jc w:val="center"/>
      </w:pPr>
      <w:r>
        <w:rPr>
          <w:rFonts w:ascii="Times New Roman" w:eastAsia="黑体" w:hAnsi="黑体" w:cs="Times New Roman" w:hint="eastAsia"/>
          <w:b/>
          <w:bCs/>
          <w:color w:val="000000"/>
          <w:kern w:val="2"/>
          <w:sz w:val="48"/>
          <w:szCs w:val="48"/>
        </w:rPr>
        <w:lastRenderedPageBreak/>
        <w:t>前言</w:t>
      </w:r>
    </w:p>
    <w:p w14:paraId="7A2F9B59" w14:textId="4F970BF3" w:rsidR="00887B4E" w:rsidRDefault="00887B4E" w:rsidP="000102A7">
      <w:pPr>
        <w:pStyle w:val="a7"/>
        <w:spacing w:before="0" w:beforeAutospacing="0" w:after="0" w:afterAutospacing="0" w:line="360" w:lineRule="auto"/>
        <w:ind w:firstLine="690"/>
        <w:jc w:val="both"/>
        <w:rPr>
          <w:rFonts w:ascii="Times New Roman" w:eastAsia="黑体" w:hAnsi="黑体" w:cs="Times New Roman"/>
          <w:color w:val="000000"/>
          <w:kern w:val="2"/>
          <w:sz w:val="30"/>
          <w:szCs w:val="30"/>
        </w:rPr>
      </w:pPr>
      <w:r w:rsidRPr="006F7FB4">
        <w:rPr>
          <w:rFonts w:ascii="Times New Roman" w:eastAsia="黑体" w:hAnsi="Times New Roman" w:cs="Times New Roman"/>
          <w:color w:val="000000"/>
          <w:kern w:val="2"/>
          <w:sz w:val="30"/>
          <w:szCs w:val="30"/>
        </w:rPr>
        <w:t>挥发性有机物（</w:t>
      </w:r>
      <w:r w:rsidRPr="006F7FB4">
        <w:rPr>
          <w:rFonts w:ascii="Times New Roman" w:eastAsia="黑体" w:hAnsi="Times New Roman" w:cs="Times New Roman"/>
          <w:color w:val="000000"/>
          <w:kern w:val="2"/>
          <w:sz w:val="30"/>
          <w:szCs w:val="30"/>
        </w:rPr>
        <w:t>VOCs</w:t>
      </w:r>
      <w:r w:rsidRPr="006F7FB4">
        <w:rPr>
          <w:rFonts w:ascii="Times New Roman" w:eastAsia="黑体" w:hAnsi="黑体" w:cs="Times New Roman" w:hint="eastAsia"/>
          <w:color w:val="000000"/>
          <w:kern w:val="2"/>
          <w:sz w:val="30"/>
          <w:szCs w:val="30"/>
        </w:rPr>
        <w:t>）指参与大气光化学反应的有机化合物，即在标准状况下，饱和蒸汽压较高、沸点较低（</w:t>
      </w:r>
      <w:r w:rsidRPr="006F7FB4">
        <w:rPr>
          <w:rFonts w:ascii="Times New Roman" w:eastAsia="黑体" w:hAnsi="Times New Roman" w:cs="Times New Roman"/>
          <w:color w:val="000000"/>
          <w:kern w:val="2"/>
          <w:sz w:val="30"/>
          <w:szCs w:val="30"/>
        </w:rPr>
        <w:t>50—260℃</w:t>
      </w:r>
      <w:r w:rsidRPr="006F7FB4">
        <w:rPr>
          <w:rFonts w:ascii="Times New Roman" w:eastAsia="黑体" w:hAnsi="Times New Roman" w:cs="Times New Roman"/>
          <w:color w:val="000000"/>
          <w:kern w:val="2"/>
          <w:sz w:val="30"/>
          <w:szCs w:val="30"/>
        </w:rPr>
        <w:t>）、易挥发的有机化合物。</w:t>
      </w:r>
      <w:r w:rsidRPr="006F7FB4">
        <w:rPr>
          <w:rFonts w:ascii="Times New Roman" w:eastAsia="黑体" w:hAnsi="Times New Roman" w:cs="Times New Roman"/>
          <w:color w:val="000000"/>
          <w:kern w:val="2"/>
          <w:sz w:val="30"/>
          <w:szCs w:val="30"/>
        </w:rPr>
        <w:t>VOCs</w:t>
      </w:r>
      <w:r w:rsidRPr="006F7FB4">
        <w:rPr>
          <w:rFonts w:ascii="Times New Roman" w:eastAsia="黑体" w:hAnsi="黑体" w:cs="Times New Roman" w:hint="eastAsia"/>
          <w:color w:val="000000"/>
          <w:kern w:val="2"/>
          <w:sz w:val="30"/>
          <w:szCs w:val="30"/>
        </w:rPr>
        <w:t>是大气环境中臭氧和颗粒物的重要前体物，显著影响人体呼吸系统、神经系统、新陈代谢等功能。</w:t>
      </w:r>
      <w:r w:rsidRPr="006F7FB4">
        <w:rPr>
          <w:rFonts w:ascii="Times New Roman" w:eastAsia="黑体" w:hAnsi="Times New Roman" w:cs="Times New Roman"/>
          <w:color w:val="000000"/>
          <w:kern w:val="2"/>
          <w:sz w:val="30"/>
          <w:szCs w:val="30"/>
        </w:rPr>
        <w:t>VOCs</w:t>
      </w:r>
      <w:r w:rsidRPr="006F7FB4">
        <w:rPr>
          <w:rFonts w:ascii="Times New Roman" w:eastAsia="黑体" w:hAnsi="黑体" w:cs="Times New Roman" w:hint="eastAsia"/>
          <w:color w:val="000000"/>
          <w:kern w:val="2"/>
          <w:sz w:val="30"/>
          <w:szCs w:val="30"/>
        </w:rPr>
        <w:t>治理是全面落实大气污染防治，有效提升空气质量的重要手段，也是“十四五”大气环境质量的约束性指标。</w:t>
      </w:r>
    </w:p>
    <w:p w14:paraId="0022EEEF" w14:textId="4962A214" w:rsidR="000102A7" w:rsidRDefault="000102A7" w:rsidP="000102A7">
      <w:pPr>
        <w:pStyle w:val="a7"/>
        <w:spacing w:before="0" w:beforeAutospacing="0" w:after="0" w:afterAutospacing="0" w:line="360" w:lineRule="auto"/>
        <w:ind w:firstLine="690"/>
        <w:jc w:val="both"/>
        <w:rPr>
          <w:rFonts w:ascii="Times New Roman" w:eastAsia="黑体" w:hAnsi="黑体" w:cs="Times New Roman"/>
          <w:color w:val="000000"/>
          <w:kern w:val="2"/>
          <w:sz w:val="30"/>
          <w:szCs w:val="30"/>
        </w:rPr>
      </w:pPr>
      <w:r w:rsidRPr="000102A7">
        <w:rPr>
          <w:rFonts w:ascii="Times New Roman" w:eastAsia="黑体" w:hAnsi="黑体" w:cs="Times New Roman" w:hint="eastAsia"/>
          <w:color w:val="000000"/>
          <w:kern w:val="2"/>
          <w:sz w:val="30"/>
          <w:szCs w:val="30"/>
        </w:rPr>
        <w:t>储油库是用来接收、存储和发放原油或石油产品的场所，它是协调原油生产、加工、成品油供应及运输的纽带，是国家石油储备和供应的基地，对于保障国防和促进国民经济高速发展具有相当重要的意义。在我国现状油品稳定产出的基础上，提高</w:t>
      </w:r>
      <w:r w:rsidRPr="000102A7">
        <w:rPr>
          <w:rFonts w:ascii="Times New Roman" w:eastAsia="黑体" w:hAnsi="黑体" w:cs="Times New Roman"/>
          <w:color w:val="000000"/>
          <w:kern w:val="2"/>
          <w:sz w:val="30"/>
          <w:szCs w:val="30"/>
        </w:rPr>
        <w:t>VOCs</w:t>
      </w:r>
      <w:r w:rsidRPr="000102A7">
        <w:rPr>
          <w:rFonts w:ascii="Times New Roman" w:eastAsia="黑体" w:hAnsi="黑体" w:cs="Times New Roman"/>
          <w:color w:val="000000"/>
          <w:kern w:val="2"/>
          <w:sz w:val="30"/>
          <w:szCs w:val="30"/>
        </w:rPr>
        <w:t>排放控制水平，规范储油库油品储存方式及浮顶罐</w:t>
      </w:r>
      <w:r>
        <w:rPr>
          <w:rFonts w:ascii="Times New Roman" w:eastAsia="黑体" w:hAnsi="黑体" w:cs="Times New Roman" w:hint="eastAsia"/>
          <w:color w:val="000000"/>
          <w:kern w:val="2"/>
          <w:sz w:val="30"/>
          <w:szCs w:val="30"/>
        </w:rPr>
        <w:t>、</w:t>
      </w:r>
      <w:r w:rsidRPr="000102A7">
        <w:rPr>
          <w:rFonts w:ascii="Times New Roman" w:eastAsia="黑体" w:hAnsi="黑体" w:cs="Times New Roman"/>
          <w:color w:val="000000"/>
          <w:kern w:val="2"/>
          <w:sz w:val="30"/>
          <w:szCs w:val="30"/>
        </w:rPr>
        <w:t>压力罐和卧式储罐等的控制要求，减少储油库油品储存泄漏及排放，严格管控收油与发油及设备与管线组件泄漏过程，提高储油库各个环节</w:t>
      </w:r>
      <w:r w:rsidRPr="000102A7">
        <w:rPr>
          <w:rFonts w:ascii="Times New Roman" w:eastAsia="黑体" w:hAnsi="黑体" w:cs="Times New Roman"/>
          <w:color w:val="000000"/>
          <w:kern w:val="2"/>
          <w:sz w:val="30"/>
          <w:szCs w:val="30"/>
        </w:rPr>
        <w:t>VOCs</w:t>
      </w:r>
      <w:r w:rsidRPr="000102A7">
        <w:rPr>
          <w:rFonts w:ascii="Times New Roman" w:eastAsia="黑体" w:hAnsi="黑体" w:cs="Times New Roman"/>
          <w:color w:val="000000"/>
          <w:kern w:val="2"/>
          <w:sz w:val="30"/>
          <w:szCs w:val="30"/>
        </w:rPr>
        <w:t>排放控制水平，依然有提升的空间和潜力。</w:t>
      </w:r>
    </w:p>
    <w:p w14:paraId="157753D5" w14:textId="0D188AEB" w:rsidR="00887B4E" w:rsidRPr="004E1767" w:rsidRDefault="00887B4E" w:rsidP="00887B4E"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   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为了高效开展</w:t>
      </w:r>
      <w:r w:rsidR="00DD3C1C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储油</w:t>
      </w:r>
      <w:r w:rsidR="000102A7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库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挥发性有机物治理，切实改善城市空气质量，实现细颗粒物和臭氧污染的协同防控，许昌市生态环境局和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“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一市一策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”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驻点跟踪研究工作组基于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2021-2022</w:t>
      </w:r>
      <w:r w:rsidRPr="006F7FB4">
        <w:rPr>
          <w:rFonts w:ascii="Times New Roman" w:eastAsia="黑体" w:hAnsi="黑体" w:cs="Times New Roman" w:hint="eastAsia"/>
          <w:color w:val="000000"/>
          <w:sz w:val="30"/>
          <w:szCs w:val="30"/>
        </w:rPr>
        <w:t>年</w:t>
      </w:r>
      <w:r w:rsidR="000102A7">
        <w:rPr>
          <w:rFonts w:ascii="Times New Roman" w:eastAsia="黑体" w:hAnsi="黑体" w:cs="Times New Roman" w:hint="eastAsia"/>
          <w:color w:val="000000"/>
          <w:sz w:val="30"/>
          <w:szCs w:val="30"/>
        </w:rPr>
        <w:t>储油库</w:t>
      </w:r>
      <w:r w:rsidRPr="006F7FB4">
        <w:rPr>
          <w:rFonts w:ascii="Times New Roman" w:eastAsia="黑体" w:hAnsi="黑体" w:cs="Times New Roman" w:hint="eastAsia"/>
          <w:color w:val="000000"/>
          <w:sz w:val="30"/>
          <w:szCs w:val="30"/>
        </w:rPr>
        <w:t>现场帮扶经验，组织行业专家编制了</w:t>
      </w:r>
      <w:r w:rsidR="000102A7">
        <w:rPr>
          <w:rFonts w:ascii="Times New Roman" w:eastAsia="黑体" w:hAnsi="黑体" w:cs="Times New Roman" w:hint="eastAsia"/>
          <w:color w:val="000000"/>
          <w:sz w:val="30"/>
          <w:szCs w:val="30"/>
        </w:rPr>
        <w:t>储油库</w:t>
      </w:r>
      <w:r w:rsidRPr="006F7FB4">
        <w:rPr>
          <w:rFonts w:ascii="Times New Roman" w:eastAsia="黑体" w:hAnsi="黑体" w:cs="Times New Roman" w:hint="eastAsia"/>
          <w:color w:val="000000"/>
          <w:sz w:val="30"/>
          <w:szCs w:val="30"/>
        </w:rPr>
        <w:t>挥发性有机物治理手册。本手册旨在指导管理部门和企业管理人员开展</w:t>
      </w:r>
      <w:r w:rsidRPr="006F7FB4">
        <w:rPr>
          <w:rFonts w:ascii="Times New Roman" w:eastAsia="黑体" w:hAnsi="Times New Roman" w:cs="Times New Roman"/>
          <w:color w:val="000000"/>
          <w:sz w:val="30"/>
          <w:szCs w:val="30"/>
        </w:rPr>
        <w:t>VOCs</w:t>
      </w:r>
      <w:r w:rsidRPr="006F7FB4">
        <w:rPr>
          <w:rFonts w:ascii="Times New Roman" w:eastAsia="黑体" w:hAnsi="黑体" w:cs="Times New Roman" w:hint="eastAsia"/>
          <w:color w:val="000000"/>
          <w:sz w:val="30"/>
          <w:szCs w:val="30"/>
        </w:rPr>
        <w:t>治理排查和自查，提升企业管理人员环保认知和污染物治理水平，促进全行业减排，实现大气污染防治区域联防联控。</w:t>
      </w:r>
    </w:p>
    <w:p w14:paraId="570D2CFF" w14:textId="1DD7C230" w:rsidR="00887B4E" w:rsidRPr="00887B4E" w:rsidRDefault="00887B4E">
      <w:pPr>
        <w:widowControl/>
        <w:jc w:val="left"/>
      </w:pPr>
    </w:p>
    <w:p w14:paraId="07E8BE63" w14:textId="77777777" w:rsidR="00887B4E" w:rsidRPr="00B81C00" w:rsidRDefault="00887B4E" w:rsidP="00B81C00">
      <w:pPr>
        <w:widowControl/>
        <w:jc w:val="left"/>
      </w:pPr>
    </w:p>
    <w:p w14:paraId="0458F57D" w14:textId="77777777" w:rsidR="00B81C00" w:rsidRPr="00B81C00" w:rsidRDefault="00B81C00" w:rsidP="00B81C00">
      <w:pPr>
        <w:widowControl/>
        <w:spacing w:line="360" w:lineRule="auto"/>
        <w:ind w:firstLine="964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81C00">
        <w:rPr>
          <w:rFonts w:ascii="Times New Roman" w:eastAsia="黑体" w:hAnsi="黑体" w:cs="Times New Roman" w:hint="eastAsia"/>
          <w:b/>
          <w:bCs/>
          <w:color w:val="000000"/>
          <w:sz w:val="48"/>
          <w:szCs w:val="48"/>
        </w:rPr>
        <w:t>目录</w:t>
      </w:r>
    </w:p>
    <w:p w14:paraId="63CE7E58" w14:textId="77777777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bookmarkStart w:id="0" w:name="_Hlk143524449"/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手册适用范围</w:t>
      </w:r>
    </w:p>
    <w:p w14:paraId="03D1F02E" w14:textId="55D01672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VOCs</w:t>
      </w: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排放限值</w:t>
      </w:r>
    </w:p>
    <w:p w14:paraId="27F7D201" w14:textId="2AFA03A9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主要产排污环节</w:t>
      </w:r>
    </w:p>
    <w:p w14:paraId="60045A3D" w14:textId="77777777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生产过程管理</w:t>
      </w:r>
    </w:p>
    <w:p w14:paraId="2206AF1A" w14:textId="77777777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末端治理</w:t>
      </w:r>
    </w:p>
    <w:p w14:paraId="75784339" w14:textId="77777777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监测监控</w:t>
      </w:r>
    </w:p>
    <w:p w14:paraId="21B7C630" w14:textId="77777777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台账记录</w:t>
      </w:r>
    </w:p>
    <w:p w14:paraId="4912C624" w14:textId="77777777" w:rsidR="00B81C00" w:rsidRPr="00B81C00" w:rsidRDefault="00B81C00" w:rsidP="00B81C00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36"/>
          <w:szCs w:val="24"/>
        </w:rPr>
      </w:pPr>
      <w:r w:rsidRPr="00B81C00"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  <w:t>参考文件</w:t>
      </w:r>
    </w:p>
    <w:bookmarkEnd w:id="0"/>
    <w:p w14:paraId="70482C04" w14:textId="77777777" w:rsidR="00B81C00" w:rsidRPr="00B81C00" w:rsidRDefault="00B81C00" w:rsidP="00B81C00"/>
    <w:p w14:paraId="1BCD8699" w14:textId="77777777" w:rsidR="00B81C00" w:rsidRPr="00B81C00" w:rsidRDefault="00B81C00" w:rsidP="00B81C00">
      <w:pPr>
        <w:widowControl/>
        <w:jc w:val="left"/>
      </w:pPr>
      <w:r w:rsidRPr="00B81C00">
        <w:br w:type="page"/>
      </w:r>
    </w:p>
    <w:p w14:paraId="36B159D9" w14:textId="2670FA00" w:rsidR="00B81C00" w:rsidRPr="00B81C00" w:rsidRDefault="00B81C00" w:rsidP="00B81C00">
      <w:pPr>
        <w:keepNext/>
        <w:keepLines/>
        <w:tabs>
          <w:tab w:val="num" w:pos="720"/>
        </w:tabs>
        <w:spacing w:line="360" w:lineRule="auto"/>
        <w:outlineLvl w:val="0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lastRenderedPageBreak/>
        <w:t>1</w:t>
      </w:r>
      <w:r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.  </w:t>
      </w:r>
      <w:r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>手册适用范围</w:t>
      </w:r>
    </w:p>
    <w:p w14:paraId="4CD0B17F" w14:textId="2C1BCD46" w:rsidR="00B81C00" w:rsidRPr="00DD3C1C" w:rsidRDefault="00DD3C1C" w:rsidP="00DD3C1C">
      <w:pPr>
        <w:widowControl/>
        <w:ind w:firstLineChars="200" w:firstLine="720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DD3C1C">
        <w:rPr>
          <w:rFonts w:ascii="Times New Roman" w:eastAsia="黑体" w:hAnsi="Times New Roman" w:cs="Times New Roman" w:hint="eastAsia"/>
          <w:sz w:val="36"/>
          <w:szCs w:val="36"/>
        </w:rPr>
        <w:t>储油库：指由储油罐组成并通过油罐汽车、铁路罐车、船舶或管道等方式收发（含储存）原油、成品油等油品的排污单位。具体行业类别：主要包括油气仓储（</w:t>
      </w:r>
      <w:r w:rsidRPr="00DD3C1C">
        <w:rPr>
          <w:rFonts w:ascii="Times New Roman" w:eastAsia="黑体" w:hAnsi="Times New Roman" w:cs="Times New Roman"/>
          <w:sz w:val="36"/>
          <w:szCs w:val="36"/>
        </w:rPr>
        <w:t>5941</w:t>
      </w:r>
      <w:r w:rsidRPr="00DD3C1C">
        <w:rPr>
          <w:rFonts w:ascii="Times New Roman" w:eastAsia="黑体" w:hAnsi="Times New Roman" w:cs="Times New Roman"/>
          <w:sz w:val="36"/>
          <w:szCs w:val="36"/>
        </w:rPr>
        <w:t>）等。</w:t>
      </w:r>
      <w:r w:rsidR="00B81C00" w:rsidRPr="00B81C00">
        <w:br w:type="page"/>
      </w:r>
    </w:p>
    <w:p w14:paraId="7D3642E7" w14:textId="399D10E2" w:rsidR="00B81C00" w:rsidRDefault="00B81C00" w:rsidP="00B81C0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lastRenderedPageBreak/>
        <w:t>2</w:t>
      </w:r>
      <w:r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>.  VOCs</w:t>
      </w:r>
      <w:r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t>排放限值</w:t>
      </w:r>
    </w:p>
    <w:p w14:paraId="08FF69E0" w14:textId="73665C8B" w:rsidR="006C6E6A" w:rsidRPr="00887B4E" w:rsidRDefault="006C6E6A" w:rsidP="00887B4E">
      <w:pPr>
        <w:ind w:firstLineChars="200" w:firstLine="720"/>
        <w:rPr>
          <w:rFonts w:ascii="Times New Roman" w:eastAsia="黑体" w:hAnsi="Times New Roman" w:cs="Times New Roman"/>
          <w:sz w:val="36"/>
          <w:szCs w:val="36"/>
        </w:rPr>
      </w:pPr>
      <w:r w:rsidRPr="00887B4E">
        <w:rPr>
          <w:rFonts w:ascii="Times New Roman" w:eastAsia="黑体" w:hAnsi="Times New Roman" w:cs="Times New Roman"/>
          <w:sz w:val="36"/>
          <w:szCs w:val="36"/>
        </w:rPr>
        <w:t>根据企业监测报告、在线监测、现场检测等方式判断油气回收处理装置排放浓度及处理效率满足《储油库大气污染物排放标准》（</w:t>
      </w:r>
      <w:r w:rsidRPr="00887B4E">
        <w:rPr>
          <w:rFonts w:ascii="Times New Roman" w:eastAsia="黑体" w:hAnsi="Times New Roman" w:cs="Times New Roman"/>
          <w:sz w:val="36"/>
          <w:szCs w:val="36"/>
        </w:rPr>
        <w:t>GB 20950— 77 2007</w:t>
      </w:r>
      <w:r w:rsidRPr="00887B4E">
        <w:rPr>
          <w:rFonts w:ascii="Times New Roman" w:eastAsia="黑体" w:hAnsi="Times New Roman" w:cs="Times New Roman"/>
          <w:sz w:val="36"/>
          <w:szCs w:val="36"/>
        </w:rPr>
        <w:t>），具体限值见表</w:t>
      </w:r>
    </w:p>
    <w:p w14:paraId="5081A91C" w14:textId="06EC2163" w:rsidR="006C6E6A" w:rsidRPr="00887B4E" w:rsidRDefault="006C6E6A" w:rsidP="00887B4E">
      <w:pPr>
        <w:widowControl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887B4E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油气处理装置油气排放限值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5"/>
        <w:gridCol w:w="2701"/>
      </w:tblGrid>
      <w:tr w:rsidR="006C6E6A" w:rsidRPr="006C6E6A" w14:paraId="3611A927" w14:textId="77777777" w:rsidTr="006C6E6A">
        <w:trPr>
          <w:trHeight w:val="390"/>
        </w:trPr>
        <w:tc>
          <w:tcPr>
            <w:tcW w:w="3372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7D8DDFB9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名称</w:t>
            </w:r>
          </w:p>
        </w:tc>
        <w:tc>
          <w:tcPr>
            <w:tcW w:w="162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6CCB391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限值要求</w:t>
            </w:r>
          </w:p>
        </w:tc>
      </w:tr>
      <w:tr w:rsidR="006C6E6A" w:rsidRPr="006C6E6A" w14:paraId="5C116A15" w14:textId="77777777" w:rsidTr="006C6E6A">
        <w:trPr>
          <w:trHeight w:val="465"/>
        </w:trPr>
        <w:tc>
          <w:tcPr>
            <w:tcW w:w="337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E931116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油气排放浓度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/(g/m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B03639D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≤25</w:t>
            </w:r>
          </w:p>
        </w:tc>
      </w:tr>
      <w:tr w:rsidR="006C6E6A" w:rsidRPr="006C6E6A" w14:paraId="3E3B143F" w14:textId="77777777" w:rsidTr="006C6E6A">
        <w:trPr>
          <w:trHeight w:val="405"/>
        </w:trPr>
        <w:tc>
          <w:tcPr>
            <w:tcW w:w="337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31F7E9F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油气处理效率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/%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A496F2F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≥95</w:t>
            </w:r>
          </w:p>
        </w:tc>
      </w:tr>
      <w:tr w:rsidR="006C6E6A" w:rsidRPr="006C6E6A" w14:paraId="3CFD02BB" w14:textId="77777777" w:rsidTr="006C6E6A">
        <w:trPr>
          <w:trHeight w:val="405"/>
        </w:trPr>
        <w:tc>
          <w:tcPr>
            <w:tcW w:w="337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B849B3C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油气体积分数浓度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/%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94451A5" w14:textId="7259BFFE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≤0.05</w:t>
            </w:r>
          </w:p>
        </w:tc>
      </w:tr>
      <w:tr w:rsidR="006C6E6A" w:rsidRPr="006C6E6A" w14:paraId="0A52A4C8" w14:textId="77777777" w:rsidTr="006C6E6A">
        <w:trPr>
          <w:trHeight w:val="405"/>
        </w:trPr>
        <w:tc>
          <w:tcPr>
            <w:tcW w:w="337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15E86F7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汽油泄漏量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/ml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26C9310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≤10</w:t>
            </w:r>
          </w:p>
        </w:tc>
      </w:tr>
    </w:tbl>
    <w:p w14:paraId="762C1058" w14:textId="77777777" w:rsidR="006C6E6A" w:rsidRPr="00B81C00" w:rsidRDefault="006C6E6A" w:rsidP="00B81C00"/>
    <w:p w14:paraId="29BE0815" w14:textId="77777777" w:rsidR="00B81C00" w:rsidRPr="00B81C00" w:rsidRDefault="00B81C00" w:rsidP="00B81C00">
      <w:pPr>
        <w:widowControl/>
        <w:jc w:val="left"/>
      </w:pPr>
      <w:r w:rsidRPr="00B81C00">
        <w:br w:type="page"/>
      </w:r>
    </w:p>
    <w:p w14:paraId="7A48CC6A" w14:textId="38F92A4C" w:rsidR="00B81C00" w:rsidRPr="00B81C00" w:rsidRDefault="00B81C00" w:rsidP="00B81C0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lastRenderedPageBreak/>
        <w:t>3</w:t>
      </w:r>
      <w:r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.  </w:t>
      </w:r>
      <w:r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t>主要产排污环节</w:t>
      </w:r>
    </w:p>
    <w:p w14:paraId="0A90AC4F" w14:textId="7D5DF264" w:rsidR="00DE373D" w:rsidRPr="00887B4E" w:rsidRDefault="00DE373D" w:rsidP="00887B4E">
      <w:pPr>
        <w:ind w:firstLineChars="200" w:firstLine="720"/>
        <w:rPr>
          <w:rFonts w:ascii="Times New Roman" w:eastAsia="黑体" w:hAnsi="Times New Roman" w:cs="Times New Roman"/>
          <w:sz w:val="36"/>
          <w:szCs w:val="36"/>
        </w:rPr>
      </w:pPr>
      <w:r w:rsidRPr="00887B4E">
        <w:rPr>
          <w:rFonts w:ascii="Times New Roman" w:eastAsia="黑体" w:hAnsi="Times New Roman" w:cs="Times New Roman"/>
          <w:sz w:val="36"/>
          <w:szCs w:val="36"/>
        </w:rPr>
        <w:t>储油库主要涉及的物料是各类油品，包括原油、汽油（包括含醇汽油、航空汽油）、航空煤油、石脑油等。</w:t>
      </w:r>
      <w:r w:rsidR="001F127C" w:rsidRPr="00887B4E">
        <w:rPr>
          <w:rFonts w:ascii="Times New Roman" w:eastAsia="黑体" w:hAnsi="Times New Roman" w:cs="Times New Roman"/>
          <w:sz w:val="36"/>
          <w:szCs w:val="36"/>
        </w:rPr>
        <w:t>各类油品中汽油的挥发性最强，柴油因沸点较高，不易挥发，因此汽油挥发形成的油气是储油库产生的主要</w:t>
      </w:r>
      <w:r w:rsidR="001F127C" w:rsidRPr="00887B4E">
        <w:rPr>
          <w:rFonts w:ascii="Times New Roman" w:eastAsia="黑体" w:hAnsi="Times New Roman" w:cs="Times New Roman"/>
          <w:sz w:val="36"/>
          <w:szCs w:val="36"/>
        </w:rPr>
        <w:t xml:space="preserve"> VOCs</w:t>
      </w:r>
      <w:r w:rsidR="001F127C" w:rsidRPr="00887B4E">
        <w:rPr>
          <w:rFonts w:ascii="Times New Roman" w:eastAsia="黑体" w:hAnsi="Times New Roman" w:cs="Times New Roman"/>
          <w:sz w:val="36"/>
          <w:szCs w:val="36"/>
        </w:rPr>
        <w:t>，其特征因子为非甲烷总烃。</w:t>
      </w:r>
      <w:r w:rsidR="007D7704" w:rsidRPr="00304EB9">
        <w:rPr>
          <w:rFonts w:ascii="Times New Roman" w:eastAsia="黑体" w:hAnsi="Times New Roman" w:cs="Times New Roman"/>
          <w:sz w:val="36"/>
          <w:szCs w:val="36"/>
        </w:rPr>
        <w:t>其中</w:t>
      </w:r>
      <w:r w:rsidR="007D7704">
        <w:rPr>
          <w:rFonts w:ascii="Times New Roman" w:eastAsia="黑体" w:hAnsi="Times New Roman" w:cs="Times New Roman" w:hint="eastAsia"/>
          <w:sz w:val="36"/>
          <w:szCs w:val="36"/>
        </w:rPr>
        <w:t>发</w:t>
      </w:r>
      <w:r w:rsidR="007D7704" w:rsidRPr="00304EB9">
        <w:rPr>
          <w:rFonts w:ascii="Times New Roman" w:eastAsia="黑体" w:hAnsi="Times New Roman" w:cs="Times New Roman"/>
          <w:sz w:val="36"/>
          <w:szCs w:val="36"/>
        </w:rPr>
        <w:t>油排放</w:t>
      </w:r>
      <w:r w:rsidR="007D7704">
        <w:rPr>
          <w:rFonts w:ascii="Times New Roman" w:eastAsia="黑体" w:hAnsi="Times New Roman" w:cs="Times New Roman" w:hint="eastAsia"/>
          <w:sz w:val="36"/>
          <w:szCs w:val="36"/>
        </w:rPr>
        <w:t>、装油</w:t>
      </w:r>
      <w:r w:rsidR="007D7704" w:rsidRPr="00304EB9">
        <w:rPr>
          <w:rFonts w:ascii="Times New Roman" w:eastAsia="黑体" w:hAnsi="Times New Roman" w:cs="Times New Roman"/>
          <w:sz w:val="36"/>
          <w:szCs w:val="36"/>
        </w:rPr>
        <w:t>排放</w:t>
      </w:r>
      <w:r w:rsidR="007D7704">
        <w:rPr>
          <w:rFonts w:ascii="Times New Roman" w:eastAsia="黑体" w:hAnsi="Times New Roman" w:cs="Times New Roman" w:hint="eastAsia"/>
          <w:sz w:val="36"/>
          <w:szCs w:val="36"/>
        </w:rPr>
        <w:t>和</w:t>
      </w:r>
      <w:r w:rsidR="007D7704" w:rsidRPr="00304EB9">
        <w:rPr>
          <w:rFonts w:ascii="Times New Roman" w:eastAsia="黑体" w:hAnsi="Times New Roman" w:cs="Times New Roman"/>
          <w:sz w:val="36"/>
          <w:szCs w:val="36"/>
        </w:rPr>
        <w:t>储油罐呼吸排放是</w:t>
      </w:r>
      <w:r w:rsidR="007D7704">
        <w:rPr>
          <w:rFonts w:ascii="Times New Roman" w:eastAsia="黑体" w:hAnsi="Times New Roman" w:cs="Times New Roman" w:hint="eastAsia"/>
          <w:sz w:val="36"/>
          <w:szCs w:val="36"/>
        </w:rPr>
        <w:t>储油库</w:t>
      </w:r>
      <w:r w:rsidR="007D7704" w:rsidRPr="00304EB9">
        <w:rPr>
          <w:rFonts w:ascii="Times New Roman" w:eastAsia="黑体" w:hAnsi="Times New Roman" w:cs="Times New Roman"/>
          <w:sz w:val="36"/>
          <w:szCs w:val="36"/>
        </w:rPr>
        <w:t>VOCs</w:t>
      </w:r>
      <w:r w:rsidR="007D7704" w:rsidRPr="00304EB9">
        <w:rPr>
          <w:rFonts w:ascii="Times New Roman" w:eastAsia="黑体" w:hAnsi="Times New Roman" w:cs="Times New Roman"/>
          <w:sz w:val="36"/>
          <w:szCs w:val="36"/>
        </w:rPr>
        <w:t>的主要排放环节</w:t>
      </w:r>
    </w:p>
    <w:p w14:paraId="7652944E" w14:textId="4077ECC5" w:rsidR="00DE373D" w:rsidRDefault="00DE373D" w:rsidP="007D7704">
      <w:pPr>
        <w:spacing w:line="480" w:lineRule="auto"/>
      </w:pPr>
      <w:r w:rsidRPr="00DE373D">
        <w:rPr>
          <w:noProof/>
        </w:rPr>
        <w:drawing>
          <wp:inline distT="0" distB="0" distL="0" distR="0" wp14:anchorId="53C3266B" wp14:editId="32003D76">
            <wp:extent cx="5274310" cy="1744345"/>
            <wp:effectExtent l="0" t="0" r="2540" b="8255"/>
            <wp:docPr id="7304636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63647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3432" w14:textId="3804DA30" w:rsidR="00DE373D" w:rsidRPr="007D7704" w:rsidRDefault="00DE373D" w:rsidP="00DE373D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7D7704">
        <w:rPr>
          <w:rFonts w:ascii="Times New Roman" w:eastAsia="黑体" w:hAnsi="Times New Roman" w:cs="Times New Roman"/>
          <w:sz w:val="36"/>
          <w:szCs w:val="36"/>
        </w:rPr>
        <w:t>储油库工艺流程示意图</w:t>
      </w:r>
    </w:p>
    <w:p w14:paraId="537E5626" w14:textId="6E0BCBD3" w:rsidR="00B81C00" w:rsidRPr="00B81C00" w:rsidRDefault="00B81C00" w:rsidP="00B81C00">
      <w:pPr>
        <w:widowControl/>
        <w:jc w:val="left"/>
      </w:pPr>
      <w:r w:rsidRPr="00B81C00">
        <w:br w:type="page"/>
      </w:r>
    </w:p>
    <w:p w14:paraId="30BBE272" w14:textId="3117CA8D" w:rsidR="00B81C00" w:rsidRPr="00B81C00" w:rsidRDefault="00887B4E" w:rsidP="00B81C0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44"/>
          <w:sz w:val="40"/>
          <w:szCs w:val="40"/>
        </w:rPr>
        <w:lastRenderedPageBreak/>
        <w:t>4</w:t>
      </w:r>
      <w:r w:rsidR="00B81C00"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. </w:t>
      </w:r>
      <w:r w:rsidR="007D7704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 </w:t>
      </w:r>
      <w:r w:rsidR="00B81C00"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t>生产过程管理</w:t>
      </w:r>
    </w:p>
    <w:p w14:paraId="32EB05CF" w14:textId="409BE8C3" w:rsidR="00B81C00" w:rsidRDefault="007D7704" w:rsidP="007D7704">
      <w:pPr>
        <w:widowControl/>
        <w:ind w:firstLineChars="200" w:firstLine="720"/>
        <w:jc w:val="left"/>
      </w:pPr>
      <w:r w:rsidRPr="007D7704">
        <w:rPr>
          <w:rFonts w:ascii="Times New Roman" w:eastAsia="黑体" w:hAnsi="Times New Roman" w:cs="Times New Roman" w:hint="eastAsia"/>
          <w:sz w:val="36"/>
          <w:szCs w:val="36"/>
        </w:rPr>
        <w:t>指定专人负责油气回收设施，组织日常检查，如实填写检查、维修记录</w:t>
      </w:r>
      <w:r>
        <w:rPr>
          <w:rFonts w:ascii="Times New Roman" w:eastAsia="黑体" w:hAnsi="Times New Roman" w:cs="Times New Roman" w:hint="eastAsia"/>
          <w:sz w:val="36"/>
          <w:szCs w:val="36"/>
        </w:rPr>
        <w:t>。</w:t>
      </w:r>
    </w:p>
    <w:tbl>
      <w:tblPr>
        <w:tblW w:w="9215" w:type="dxa"/>
        <w:tblInd w:w="-436" w:type="dxa"/>
        <w:tblLook w:val="04A0" w:firstRow="1" w:lastRow="0" w:firstColumn="1" w:lastColumn="0" w:noHBand="0" w:noVBand="1"/>
      </w:tblPr>
      <w:tblGrid>
        <w:gridCol w:w="852"/>
        <w:gridCol w:w="1417"/>
        <w:gridCol w:w="6946"/>
      </w:tblGrid>
      <w:tr w:rsidR="00A903AC" w:rsidRPr="00A903AC" w14:paraId="7C9524E6" w14:textId="77777777" w:rsidTr="00A903AC">
        <w:trPr>
          <w:trHeight w:val="390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3EEB6D2D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68C8280B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环节</w:t>
            </w:r>
          </w:p>
        </w:tc>
        <w:tc>
          <w:tcPr>
            <w:tcW w:w="69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61B51FE3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管理措施</w:t>
            </w:r>
          </w:p>
        </w:tc>
      </w:tr>
      <w:tr w:rsidR="00A903AC" w:rsidRPr="00A903AC" w14:paraId="11F02256" w14:textId="77777777" w:rsidTr="00A903AC">
        <w:trPr>
          <w:trHeight w:val="780"/>
        </w:trPr>
        <w:tc>
          <w:tcPr>
            <w:tcW w:w="85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0B578CE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CE82404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发油环节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0BA9B9A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油气处理装置应开启并能正常运行，因故障停用时不得进行发油作业，应急排空口应采用压力</w:t>
            </w: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/ </w:t>
            </w: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真空阀（</w:t>
            </w: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P/V </w:t>
            </w: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阀）密封。</w:t>
            </w:r>
          </w:p>
        </w:tc>
      </w:tr>
      <w:tr w:rsidR="00A903AC" w:rsidRPr="00A903AC" w14:paraId="3EF8E2D3" w14:textId="77777777" w:rsidTr="00A903AC">
        <w:trPr>
          <w:trHeight w:val="390"/>
        </w:trPr>
        <w:tc>
          <w:tcPr>
            <w:tcW w:w="85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620A58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33B3CB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A85180F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应采用底部发油，上装发油鹤管应拆除，未拆除的需封闭。</w:t>
            </w: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903AC" w:rsidRPr="00A903AC" w14:paraId="6C2FD542" w14:textId="77777777" w:rsidTr="00A903AC">
        <w:trPr>
          <w:trHeight w:val="390"/>
        </w:trPr>
        <w:tc>
          <w:tcPr>
            <w:tcW w:w="85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2285AD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6F338F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519DC94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与油罐车连接的发油鹤管和回气管应紧密连接，油气、汽油不得泄漏</w:t>
            </w:r>
          </w:p>
        </w:tc>
      </w:tr>
      <w:tr w:rsidR="00A903AC" w:rsidRPr="00A903AC" w14:paraId="792F55AF" w14:textId="77777777" w:rsidTr="00A903AC">
        <w:trPr>
          <w:trHeight w:val="765"/>
        </w:trPr>
        <w:tc>
          <w:tcPr>
            <w:tcW w:w="8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215275D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093BAEF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装油环节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E771361" w14:textId="12E8B0F4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应采用顶部浸没式或底部装油方式，顶部浸没式装油管出油口距离罐底高度应小于</w:t>
            </w: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200 mm</w:t>
            </w:r>
          </w:p>
        </w:tc>
      </w:tr>
      <w:tr w:rsidR="00A903AC" w:rsidRPr="00A903AC" w14:paraId="4188C37B" w14:textId="77777777" w:rsidTr="00A903AC">
        <w:trPr>
          <w:trHeight w:val="390"/>
        </w:trPr>
        <w:tc>
          <w:tcPr>
            <w:tcW w:w="85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7F7056C" w14:textId="77777777" w:rsidR="00A903AC" w:rsidRPr="00A903AC" w:rsidRDefault="00A903AC" w:rsidP="00A903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A97DAF9" w14:textId="5E1A2945" w:rsidR="00A903AC" w:rsidRPr="00A903AC" w:rsidRDefault="007D7704" w:rsidP="00A903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8"/>
                <w:szCs w:val="28"/>
              </w:rPr>
              <w:t>储存</w:t>
            </w:r>
            <w:r w:rsidR="00A903AC"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环节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EB85B06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储油库储存汽油应按照标准规定采用浮顶罐储油。</w:t>
            </w:r>
          </w:p>
        </w:tc>
      </w:tr>
      <w:tr w:rsidR="00A903AC" w:rsidRPr="00A903AC" w14:paraId="0AAEC5F6" w14:textId="77777777" w:rsidTr="00A903AC">
        <w:trPr>
          <w:trHeight w:val="1140"/>
        </w:trPr>
        <w:tc>
          <w:tcPr>
            <w:tcW w:w="85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C01868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7515A4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0CBEF78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新、改、扩建的内浮顶罐，浮盘与罐壁之间应采用液体镶嵌式、机械式鞋形、双封式等高效密封方式，新、改、扩建的外浮顶罐，浮盘与罐壁之间应采用双封式密封，且初级密封采用液体镶嵌式、机械式鞋形等高效密封方式。</w:t>
            </w:r>
          </w:p>
        </w:tc>
      </w:tr>
      <w:tr w:rsidR="00A903AC" w:rsidRPr="00A903AC" w14:paraId="7425DFB1" w14:textId="77777777" w:rsidTr="00A903AC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ED200B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F3303F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88EAA3E" w14:textId="77777777" w:rsidR="00A903AC" w:rsidRPr="00A903AC" w:rsidRDefault="00A903AC" w:rsidP="00A903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A903AC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浮顶罐所有密封结构不应有造成漏气的破损和开口，浮盘上所有可开启设施在非需要开启时都应保持密封状态，应定期对浮盘进行检查，并记录检查过程与结果。</w:t>
            </w:r>
          </w:p>
        </w:tc>
      </w:tr>
    </w:tbl>
    <w:p w14:paraId="320BC6F1" w14:textId="0B6CFEB7" w:rsidR="00B81C00" w:rsidRPr="00B81C00" w:rsidRDefault="00B81C00" w:rsidP="0064399A">
      <w:pPr>
        <w:widowControl/>
        <w:jc w:val="left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 w:rsidRPr="00B81C00">
        <w:br w:type="page"/>
      </w:r>
      <w:r w:rsidR="00887B4E">
        <w:rPr>
          <w:rFonts w:ascii="Times New Roman" w:hAnsi="Times New Roman" w:cs="Times New Roman"/>
          <w:b/>
          <w:bCs/>
          <w:kern w:val="44"/>
          <w:sz w:val="40"/>
          <w:szCs w:val="40"/>
        </w:rPr>
        <w:lastRenderedPageBreak/>
        <w:t>5</w:t>
      </w:r>
      <w:r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.  </w:t>
      </w:r>
      <w:r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t>末端治理</w:t>
      </w:r>
    </w:p>
    <w:p w14:paraId="346E3EA3" w14:textId="77777777" w:rsidR="007D7704" w:rsidRPr="00941264" w:rsidRDefault="007D7704" w:rsidP="007D7704">
      <w:pPr>
        <w:ind w:firstLineChars="200" w:firstLine="720"/>
        <w:rPr>
          <w:rFonts w:ascii="Times New Roman" w:eastAsia="黑体" w:hAnsi="Times New Roman" w:cs="Times New Roman"/>
          <w:sz w:val="36"/>
          <w:szCs w:val="36"/>
        </w:rPr>
      </w:pPr>
      <w:r w:rsidRPr="00941264">
        <w:rPr>
          <w:rFonts w:ascii="Times New Roman" w:eastAsia="黑体" w:hAnsi="Times New Roman" w:cs="Times New Roman" w:hint="eastAsia"/>
          <w:sz w:val="36"/>
          <w:szCs w:val="36"/>
        </w:rPr>
        <w:t>首先应关注安全要求，选用本质安全或安全风险可控技术；尤其关注采用密闭空间收集、燃烧法去除等的收集治理方式，收集治理设施应符合行业各类安全设计规范，确保运行过程安全可靠。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1"/>
        <w:gridCol w:w="1559"/>
        <w:gridCol w:w="1418"/>
        <w:gridCol w:w="4468"/>
      </w:tblGrid>
      <w:tr w:rsidR="007D7704" w:rsidRPr="00C4210E" w14:paraId="5D14EE73" w14:textId="77777777" w:rsidTr="002623C2">
        <w:trPr>
          <w:trHeight w:val="1053"/>
        </w:trPr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0465B96D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D8745A4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预防技术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59878383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治理技术</w:t>
            </w:r>
          </w:p>
        </w:tc>
        <w:tc>
          <w:tcPr>
            <w:tcW w:w="446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3ECD17C0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技术适用条件</w:t>
            </w:r>
          </w:p>
        </w:tc>
      </w:tr>
      <w:tr w:rsidR="007D7704" w:rsidRPr="00C4210E" w14:paraId="4ABA7FF4" w14:textId="77777777" w:rsidTr="002623C2">
        <w:trPr>
          <w:trHeight w:val="1530"/>
        </w:trPr>
        <w:tc>
          <w:tcPr>
            <w:tcW w:w="84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70C997B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加油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站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968C626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LDAR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技术、油气回收技术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38657B4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吸附技术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+ 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吸收技术</w:t>
            </w:r>
          </w:p>
        </w:tc>
        <w:tc>
          <w:tcPr>
            <w:tcW w:w="44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3DF5B33" w14:textId="77777777" w:rsidR="007D7704" w:rsidRPr="00C4210E" w:rsidRDefault="007D7704" w:rsidP="002623C2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适用于油气回收系统的油气处理，进系统的废气需满足不含粉尘、低湿、低粘度，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温度低于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40 ℃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。典型治理技术路线为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活性炭吸附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脱附再生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吸收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7D7704" w:rsidRPr="00C4210E" w14:paraId="3CD4C86D" w14:textId="77777777" w:rsidTr="002623C2">
        <w:trPr>
          <w:trHeight w:val="1140"/>
        </w:trPr>
        <w:tc>
          <w:tcPr>
            <w:tcW w:w="84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CB97F8" w14:textId="77777777" w:rsidR="007D7704" w:rsidRPr="00C4210E" w:rsidRDefault="007D7704" w:rsidP="002623C2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91E73F" w14:textId="77777777" w:rsidR="007D7704" w:rsidRPr="00C4210E" w:rsidRDefault="007D7704" w:rsidP="002623C2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8615A4B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吸附技术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冷凝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9D1B335" w14:textId="77777777" w:rsidR="007D7704" w:rsidRPr="00C4210E" w:rsidRDefault="007D7704" w:rsidP="002623C2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适用于油气回收系统的油气处理，典型治理技术路线为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活性炭吸附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脱附再生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冷凝回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收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。采用该技术能够产生经济效益。</w:t>
            </w:r>
          </w:p>
        </w:tc>
      </w:tr>
      <w:tr w:rsidR="007D7704" w:rsidRPr="00C4210E" w14:paraId="61745E71" w14:textId="77777777" w:rsidTr="002623C2">
        <w:trPr>
          <w:trHeight w:val="1515"/>
        </w:trPr>
        <w:tc>
          <w:tcPr>
            <w:tcW w:w="84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19E513" w14:textId="77777777" w:rsidR="007D7704" w:rsidRPr="00C4210E" w:rsidRDefault="007D7704" w:rsidP="002623C2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75DDD2" w14:textId="77777777" w:rsidR="007D7704" w:rsidRPr="00C4210E" w:rsidRDefault="007D7704" w:rsidP="002623C2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ACBABE9" w14:textId="77777777" w:rsidR="007D7704" w:rsidRPr="00C4210E" w:rsidRDefault="007D7704" w:rsidP="002623C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膜分离技术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吸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收技术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28EF5B1" w14:textId="77777777" w:rsidR="007D7704" w:rsidRPr="00C4210E" w:rsidRDefault="007D7704" w:rsidP="002623C2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适用于油气回收系统的油气处理，针对不同油品的分子大小选择合适孔径的膜，膜分离后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4210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浓缩的油气送入吸收塔进行反复喷淋吸收，未吸净的油气送回膜分离重复处理。</w:t>
            </w:r>
          </w:p>
        </w:tc>
      </w:tr>
    </w:tbl>
    <w:p w14:paraId="08DBC89F" w14:textId="77777777" w:rsidR="00B81C00" w:rsidRPr="007D7704" w:rsidRDefault="00B81C00" w:rsidP="00B81C00"/>
    <w:p w14:paraId="72AC30A9" w14:textId="77777777" w:rsidR="00B81C00" w:rsidRPr="00B81C00" w:rsidRDefault="00B81C00" w:rsidP="00B81C00">
      <w:pPr>
        <w:widowControl/>
        <w:jc w:val="left"/>
      </w:pPr>
      <w:r w:rsidRPr="00B81C00">
        <w:br w:type="page"/>
      </w:r>
    </w:p>
    <w:p w14:paraId="52D3A660" w14:textId="7875E7B8" w:rsidR="00B81C00" w:rsidRPr="00B81C00" w:rsidRDefault="00887B4E" w:rsidP="00B81C0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44"/>
          <w:sz w:val="40"/>
          <w:szCs w:val="40"/>
        </w:rPr>
        <w:lastRenderedPageBreak/>
        <w:t>6</w:t>
      </w:r>
      <w:r w:rsidR="00B81C00"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.  </w:t>
      </w:r>
      <w:r w:rsidR="00B81C00"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t>监测监控</w:t>
      </w:r>
    </w:p>
    <w:p w14:paraId="1CA288C5" w14:textId="1D4B4FED" w:rsidR="00B81C00" w:rsidRPr="00887B4E" w:rsidRDefault="006C6E6A" w:rsidP="00887B4E">
      <w:pPr>
        <w:ind w:firstLineChars="200" w:firstLine="720"/>
        <w:rPr>
          <w:rFonts w:ascii="Times New Roman" w:eastAsia="黑体" w:hAnsi="Times New Roman" w:cs="Times New Roman"/>
          <w:sz w:val="36"/>
          <w:szCs w:val="36"/>
        </w:rPr>
      </w:pPr>
      <w:r w:rsidRPr="00887B4E">
        <w:rPr>
          <w:rFonts w:ascii="Times New Roman" w:eastAsia="黑体" w:hAnsi="Times New Roman" w:cs="Times New Roman"/>
          <w:sz w:val="36"/>
          <w:szCs w:val="36"/>
        </w:rPr>
        <w:t>根据《储油库大气污染物排放标准》（</w:t>
      </w:r>
      <w:r w:rsidRPr="00887B4E">
        <w:rPr>
          <w:rFonts w:ascii="Times New Roman" w:eastAsia="黑体" w:hAnsi="Times New Roman" w:cs="Times New Roman"/>
          <w:sz w:val="36"/>
          <w:szCs w:val="36"/>
        </w:rPr>
        <w:t>GB 20950—2007</w:t>
      </w:r>
      <w:r w:rsidRPr="00887B4E">
        <w:rPr>
          <w:rFonts w:ascii="Times New Roman" w:eastAsia="黑体" w:hAnsi="Times New Roman" w:cs="Times New Roman"/>
          <w:sz w:val="36"/>
          <w:szCs w:val="36"/>
        </w:rPr>
        <w:t>）要求，现场检查企业是否按照标准要求开展定期监测，企业废气排放口的监测点位、监测项目及监测频次要求见表</w:t>
      </w:r>
      <w:r w:rsidR="00887B4E">
        <w:rPr>
          <w:rFonts w:ascii="Times New Roman" w:eastAsia="黑体" w:hAnsi="Times New Roman" w:cs="Times New Roman" w:hint="eastAsia"/>
          <w:sz w:val="36"/>
          <w:szCs w:val="36"/>
        </w:rPr>
        <w:t>。</w:t>
      </w:r>
    </w:p>
    <w:p w14:paraId="2468CC1D" w14:textId="572F5F18" w:rsidR="00887B4E" w:rsidRPr="00887B4E" w:rsidRDefault="00887B4E" w:rsidP="00887B4E">
      <w:pPr>
        <w:widowControl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887B4E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油气处理装置油气排放限值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1440"/>
        <w:gridCol w:w="4300"/>
        <w:gridCol w:w="1780"/>
        <w:gridCol w:w="1760"/>
      </w:tblGrid>
      <w:tr w:rsidR="006C6E6A" w:rsidRPr="006C6E6A" w14:paraId="3E22DDC4" w14:textId="77777777" w:rsidTr="00887B4E">
        <w:trPr>
          <w:trHeight w:val="390"/>
          <w:jc w:val="center"/>
        </w:trPr>
        <w:tc>
          <w:tcPr>
            <w:tcW w:w="57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79C2174B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监测点位</w:t>
            </w:r>
          </w:p>
        </w:tc>
        <w:tc>
          <w:tcPr>
            <w:tcW w:w="17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2604972D" w14:textId="77777777" w:rsidR="006C6E6A" w:rsidRPr="006C6E6A" w:rsidRDefault="006C6E6A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17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92867CD" w14:textId="77777777" w:rsidR="006C6E6A" w:rsidRPr="006C6E6A" w:rsidRDefault="006C6E6A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监测频次</w:t>
            </w:r>
          </w:p>
        </w:tc>
      </w:tr>
      <w:tr w:rsidR="006C6E6A" w:rsidRPr="006C6E6A" w14:paraId="01FB309C" w14:textId="77777777" w:rsidTr="00887B4E">
        <w:trPr>
          <w:trHeight w:val="1140"/>
          <w:jc w:val="center"/>
        </w:trPr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AA28E2E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有组织排放源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9355CB8" w14:textId="77777777" w:rsidR="006C6E6A" w:rsidRPr="006C6E6A" w:rsidRDefault="006C6E6A" w:rsidP="006C6E6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油气回收装置废气排气筒进出口浓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度（排放口距地平面高度应不低于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4 m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F32C8CB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VOCs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A4E1EA9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1 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次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/a</w:t>
            </w:r>
          </w:p>
        </w:tc>
      </w:tr>
      <w:tr w:rsidR="006C6E6A" w:rsidRPr="006C6E6A" w14:paraId="7EBC434E" w14:textId="77777777" w:rsidTr="00887B4E">
        <w:trPr>
          <w:trHeight w:val="765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C8483C7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无组织排放源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2C01821" w14:textId="77777777" w:rsidR="006C6E6A" w:rsidRPr="006C6E6A" w:rsidRDefault="006C6E6A" w:rsidP="006C6E6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汽油油气收集系统泄漏点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E6A6243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油气体积分数浓度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24867A1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1 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次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/a</w:t>
            </w:r>
          </w:p>
        </w:tc>
      </w:tr>
      <w:tr w:rsidR="006C6E6A" w:rsidRPr="006C6E6A" w14:paraId="59ECCC3F" w14:textId="77777777" w:rsidTr="00887B4E">
        <w:trPr>
          <w:trHeight w:val="11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6F13E7" w14:textId="77777777" w:rsidR="006C6E6A" w:rsidRPr="006C6E6A" w:rsidRDefault="006C6E6A" w:rsidP="006C6E6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B5B5578" w14:textId="77777777" w:rsidR="006C6E6A" w:rsidRPr="006C6E6A" w:rsidRDefault="006C6E6A" w:rsidP="006C6E6A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汽油油罐车底部发油结束断开快速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接头泄漏点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9EA9A30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汽油泄漏量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829E2C0" w14:textId="77777777" w:rsidR="006C6E6A" w:rsidRPr="006C6E6A" w:rsidRDefault="006C6E6A" w:rsidP="006C6E6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E6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底部装油结束并断开快接头时检测</w:t>
            </w:r>
          </w:p>
        </w:tc>
      </w:tr>
    </w:tbl>
    <w:p w14:paraId="4CF086B4" w14:textId="77777777" w:rsidR="006C6E6A" w:rsidRPr="006C6E6A" w:rsidRDefault="006C6E6A" w:rsidP="00B81C00"/>
    <w:p w14:paraId="2265A384" w14:textId="77777777" w:rsidR="00B81C00" w:rsidRPr="00B81C00" w:rsidRDefault="00B81C00" w:rsidP="00B81C00">
      <w:pPr>
        <w:widowControl/>
        <w:jc w:val="left"/>
      </w:pPr>
      <w:r w:rsidRPr="00B81C00">
        <w:br w:type="page"/>
      </w:r>
    </w:p>
    <w:p w14:paraId="303ED067" w14:textId="78DAD72C" w:rsidR="00B81C00" w:rsidRPr="00B81C00" w:rsidRDefault="00887B4E" w:rsidP="00B81C0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44"/>
          <w:sz w:val="40"/>
          <w:szCs w:val="40"/>
        </w:rPr>
        <w:lastRenderedPageBreak/>
        <w:t>7</w:t>
      </w:r>
      <w:r w:rsidR="00B81C00"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.  </w:t>
      </w:r>
      <w:r w:rsidR="00B81C00"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t>台账记录</w:t>
      </w:r>
    </w:p>
    <w:p w14:paraId="569B2EB5" w14:textId="79A8EB3E" w:rsidR="00887B4E" w:rsidRDefault="00887B4E" w:rsidP="00887B4E">
      <w:pPr>
        <w:ind w:firstLineChars="200" w:firstLine="720"/>
        <w:rPr>
          <w:rFonts w:ascii="Times New Roman" w:eastAsia="黑体" w:hAnsi="Times New Roman" w:cs="Times New Roman"/>
          <w:sz w:val="36"/>
          <w:szCs w:val="36"/>
        </w:rPr>
      </w:pPr>
      <w:r w:rsidRPr="00887B4E">
        <w:rPr>
          <w:rFonts w:ascii="Times New Roman" w:eastAsia="黑体" w:hAnsi="Times New Roman" w:cs="Times New Roman"/>
          <w:sz w:val="36"/>
          <w:szCs w:val="36"/>
        </w:rPr>
        <w:t>进行相关台账记录。重点关注废气收集处理设施台账</w:t>
      </w:r>
      <w:r w:rsidRPr="00887B4E">
        <w:rPr>
          <w:rFonts w:ascii="Times New Roman" w:eastAsia="黑体" w:hAnsi="Times New Roman" w:cs="Times New Roman" w:hint="eastAsia"/>
          <w:sz w:val="36"/>
          <w:szCs w:val="36"/>
        </w:rPr>
        <w:t>.</w:t>
      </w:r>
      <w:r w:rsidRPr="00887B4E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FD0F9F">
        <w:rPr>
          <w:rFonts w:ascii="Times New Roman" w:eastAsia="黑体" w:hAnsi="Times New Roman" w:cs="Times New Roman"/>
          <w:sz w:val="36"/>
          <w:szCs w:val="36"/>
        </w:rPr>
        <w:t>企业台账是</w:t>
      </w:r>
      <w:r w:rsidRPr="00FD0F9F"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FD0F9F">
        <w:rPr>
          <w:rFonts w:ascii="Times New Roman" w:eastAsia="黑体" w:hAnsi="Times New Roman" w:cs="Times New Roman"/>
          <w:sz w:val="36"/>
          <w:szCs w:val="36"/>
        </w:rPr>
        <w:t>完整，内容齐全，记录规范</w:t>
      </w:r>
      <w:r w:rsidRPr="00FD0F9F">
        <w:rPr>
          <w:rFonts w:ascii="Times New Roman" w:eastAsia="黑体" w:hAnsi="Times New Roman" w:cs="Times New Roman" w:hint="eastAsia"/>
          <w:sz w:val="36"/>
          <w:szCs w:val="36"/>
        </w:rPr>
        <w:t>。</w:t>
      </w:r>
    </w:p>
    <w:p w14:paraId="74CDC3E6" w14:textId="65B48F22" w:rsidR="00B81C00" w:rsidRPr="00887B4E" w:rsidRDefault="00887B4E" w:rsidP="00887B4E">
      <w:pPr>
        <w:widowControl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887B4E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储油库台账记录要求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4"/>
        <w:gridCol w:w="6312"/>
      </w:tblGrid>
      <w:tr w:rsidR="00887B4E" w:rsidRPr="00887B4E" w14:paraId="2448F73F" w14:textId="77777777" w:rsidTr="00887B4E">
        <w:trPr>
          <w:trHeight w:val="390"/>
        </w:trPr>
        <w:tc>
          <w:tcPr>
            <w:tcW w:w="119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4A74D482" w14:textId="77777777" w:rsidR="00887B4E" w:rsidRPr="00887B4E" w:rsidRDefault="00887B4E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重点环节</w:t>
            </w:r>
          </w:p>
        </w:tc>
        <w:tc>
          <w:tcPr>
            <w:tcW w:w="380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7F095684" w14:textId="77777777" w:rsidR="00887B4E" w:rsidRPr="00887B4E" w:rsidRDefault="00887B4E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FFFFFF"/>
                <w:kern w:val="0"/>
                <w:sz w:val="28"/>
                <w:szCs w:val="28"/>
              </w:rPr>
              <w:t>台账记录要求</w:t>
            </w:r>
          </w:p>
        </w:tc>
      </w:tr>
      <w:tr w:rsidR="00887B4E" w:rsidRPr="00887B4E" w14:paraId="7B0F4207" w14:textId="77777777" w:rsidTr="00887B4E">
        <w:trPr>
          <w:trHeight w:val="390"/>
        </w:trPr>
        <w:tc>
          <w:tcPr>
            <w:tcW w:w="119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E41F7F1" w14:textId="77777777" w:rsidR="00887B4E" w:rsidRPr="00887B4E" w:rsidRDefault="00887B4E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380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3D19A09" w14:textId="77777777" w:rsidR="00887B4E" w:rsidRPr="00887B4E" w:rsidRDefault="00887B4E" w:rsidP="00887B4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油品种类、周转量等</w:t>
            </w:r>
          </w:p>
        </w:tc>
      </w:tr>
      <w:tr w:rsidR="00887B4E" w:rsidRPr="00887B4E" w14:paraId="719BC36A" w14:textId="77777777" w:rsidTr="00887B4E">
        <w:trPr>
          <w:trHeight w:val="765"/>
        </w:trPr>
        <w:tc>
          <w:tcPr>
            <w:tcW w:w="119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36502ED" w14:textId="77777777" w:rsidR="00887B4E" w:rsidRPr="00887B4E" w:rsidRDefault="00887B4E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密封点</w:t>
            </w:r>
          </w:p>
        </w:tc>
        <w:tc>
          <w:tcPr>
            <w:tcW w:w="380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52E05A8" w14:textId="77777777" w:rsidR="00887B4E" w:rsidRPr="00887B4E" w:rsidRDefault="00887B4E" w:rsidP="00887B4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检测方法、检测结果、修复时间、采取的修复措施、修复后检测结果等</w:t>
            </w:r>
          </w:p>
        </w:tc>
      </w:tr>
      <w:tr w:rsidR="00887B4E" w:rsidRPr="00887B4E" w14:paraId="2B4D038C" w14:textId="77777777" w:rsidTr="00887B4E">
        <w:trPr>
          <w:trHeight w:val="1140"/>
        </w:trPr>
        <w:tc>
          <w:tcPr>
            <w:tcW w:w="119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FA49AFC" w14:textId="77777777" w:rsidR="00887B4E" w:rsidRPr="00887B4E" w:rsidRDefault="00887B4E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收发油</w:t>
            </w:r>
          </w:p>
        </w:tc>
        <w:tc>
          <w:tcPr>
            <w:tcW w:w="380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8DAC1E3" w14:textId="77777777" w:rsidR="00887B4E" w:rsidRPr="00887B4E" w:rsidRDefault="00887B4E" w:rsidP="00887B4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收发油时间、油品种类、数量，油品来源；气液比检测时间与结果，修复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时间、采取的修复措施等；油气收集系统压力检测时间与结果，修复时间、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采取的修复措施等</w:t>
            </w:r>
          </w:p>
        </w:tc>
      </w:tr>
      <w:tr w:rsidR="00887B4E" w:rsidRPr="00887B4E" w14:paraId="07178A6F" w14:textId="77777777" w:rsidTr="00887B4E">
        <w:trPr>
          <w:trHeight w:val="1515"/>
        </w:trPr>
        <w:tc>
          <w:tcPr>
            <w:tcW w:w="119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48DE2C8" w14:textId="77777777" w:rsidR="00887B4E" w:rsidRPr="00887B4E" w:rsidRDefault="00887B4E" w:rsidP="00887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油气处理装置</w:t>
            </w:r>
          </w:p>
        </w:tc>
        <w:tc>
          <w:tcPr>
            <w:tcW w:w="380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241F318" w14:textId="77777777" w:rsidR="00887B4E" w:rsidRPr="00887B4E" w:rsidRDefault="00887B4E" w:rsidP="00887B4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进口压力、温度、流量，出口浓度、压力、温度、流量，修复时间、采取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的修复措施等；一次性吸附剂更换时间和更换量，再生型吸附剂再生周期、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7B4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更换情况，废吸附剂储存、处置情况等</w:t>
            </w:r>
          </w:p>
        </w:tc>
      </w:tr>
    </w:tbl>
    <w:p w14:paraId="3DB83BAC" w14:textId="77777777" w:rsidR="00887B4E" w:rsidRPr="00887B4E" w:rsidRDefault="00887B4E" w:rsidP="00B81C00"/>
    <w:p w14:paraId="14E14F82" w14:textId="77777777" w:rsidR="00B81C00" w:rsidRPr="00B81C00" w:rsidRDefault="00B81C00" w:rsidP="00B81C00">
      <w:pPr>
        <w:widowControl/>
        <w:jc w:val="left"/>
      </w:pPr>
      <w:r w:rsidRPr="00B81C00">
        <w:br w:type="page"/>
      </w:r>
    </w:p>
    <w:p w14:paraId="22B3F8EF" w14:textId="6D45FD6A" w:rsidR="00B81C00" w:rsidRPr="00B81C00" w:rsidRDefault="00887B4E" w:rsidP="00B81C0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kern w:val="44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44"/>
          <w:sz w:val="40"/>
          <w:szCs w:val="40"/>
        </w:rPr>
        <w:lastRenderedPageBreak/>
        <w:t>8</w:t>
      </w:r>
      <w:r w:rsidR="00B81C00" w:rsidRPr="00B81C00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. </w:t>
      </w:r>
      <w:r w:rsidR="007D7704">
        <w:rPr>
          <w:rFonts w:ascii="Times New Roman" w:hAnsi="Times New Roman" w:cs="Times New Roman"/>
          <w:b/>
          <w:bCs/>
          <w:kern w:val="44"/>
          <w:sz w:val="40"/>
          <w:szCs w:val="40"/>
        </w:rPr>
        <w:t xml:space="preserve"> </w:t>
      </w:r>
      <w:r w:rsidR="00B81C00" w:rsidRPr="00B81C00">
        <w:rPr>
          <w:rFonts w:ascii="Times New Roman" w:hAnsi="Times New Roman" w:cs="Times New Roman" w:hint="eastAsia"/>
          <w:b/>
          <w:bCs/>
          <w:kern w:val="44"/>
          <w:sz w:val="40"/>
          <w:szCs w:val="40"/>
        </w:rPr>
        <w:t>参考文件</w:t>
      </w:r>
    </w:p>
    <w:p w14:paraId="5A19DF0B" w14:textId="00537DC9" w:rsidR="0064399A" w:rsidRPr="008C264C" w:rsidRDefault="0064399A" w:rsidP="0064399A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64399A">
        <w:rPr>
          <w:rFonts w:ascii="Times New Roman" w:eastAsia="黑体" w:hAnsi="Times New Roman" w:cs="Times New Roman" w:hint="eastAsia"/>
          <w:sz w:val="36"/>
          <w:szCs w:val="36"/>
        </w:rPr>
        <w:t>《储油库大气污染物排放标准》（</w:t>
      </w:r>
      <w:r w:rsidRPr="0064399A">
        <w:rPr>
          <w:rFonts w:ascii="Times New Roman" w:eastAsia="黑体" w:hAnsi="Times New Roman" w:cs="Times New Roman"/>
          <w:sz w:val="36"/>
          <w:szCs w:val="36"/>
        </w:rPr>
        <w:t>GB 20950—2020</w:t>
      </w:r>
      <w:r w:rsidRPr="0064399A">
        <w:rPr>
          <w:rFonts w:ascii="Times New Roman" w:eastAsia="黑体" w:hAnsi="Times New Roman" w:cs="Times New Roman"/>
          <w:sz w:val="36"/>
          <w:szCs w:val="36"/>
        </w:rPr>
        <w:t>）</w:t>
      </w:r>
      <w:r w:rsidRPr="008C264C">
        <w:rPr>
          <w:rFonts w:ascii="Times New Roman" w:eastAsia="黑体" w:hAnsi="Times New Roman" w:cs="Times New Roman" w:hint="eastAsia"/>
          <w:sz w:val="36"/>
          <w:szCs w:val="36"/>
        </w:rPr>
        <w:t>《油品储运销挥发性有机物治理实用手册》</w:t>
      </w:r>
    </w:p>
    <w:p w14:paraId="2D8E91E6" w14:textId="77777777" w:rsidR="0064399A" w:rsidRPr="008C264C" w:rsidRDefault="0064399A" w:rsidP="0064399A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8C264C">
        <w:rPr>
          <w:rFonts w:ascii="Times New Roman" w:eastAsia="黑体" w:hAnsi="Times New Roman" w:cs="Times New Roman" w:hint="eastAsia"/>
          <w:sz w:val="36"/>
          <w:szCs w:val="36"/>
        </w:rPr>
        <w:t>《挥发性有机物治理实用手册》</w:t>
      </w:r>
    </w:p>
    <w:p w14:paraId="517FE36B" w14:textId="77777777" w:rsidR="0064399A" w:rsidRPr="008C264C" w:rsidRDefault="0064399A" w:rsidP="0064399A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8C264C">
        <w:rPr>
          <w:rFonts w:ascii="Times New Roman" w:eastAsia="黑体" w:hAnsi="Times New Roman" w:cs="Times New Roman" w:hint="eastAsia"/>
          <w:sz w:val="36"/>
          <w:szCs w:val="36"/>
        </w:rPr>
        <w:t>《重点行业企业挥发性有机物现场检查指南（试行）》</w:t>
      </w:r>
    </w:p>
    <w:p w14:paraId="324468EC" w14:textId="77777777" w:rsidR="0064399A" w:rsidRPr="008C264C" w:rsidRDefault="0064399A" w:rsidP="0064399A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8C264C">
        <w:rPr>
          <w:rFonts w:ascii="Times New Roman" w:eastAsia="黑体" w:hAnsi="Times New Roman" w:cs="Times New Roman" w:hint="eastAsia"/>
          <w:sz w:val="36"/>
          <w:szCs w:val="36"/>
        </w:rPr>
        <w:t>《浙江省挥发性有机物污染防治可行技术指南</w:t>
      </w:r>
      <w:r w:rsidRPr="008C264C">
        <w:rPr>
          <w:rFonts w:ascii="Times New Roman" w:eastAsia="黑体" w:hAnsi="Times New Roman" w:cs="Times New Roman"/>
          <w:sz w:val="36"/>
          <w:szCs w:val="36"/>
        </w:rPr>
        <w:t xml:space="preserve">  </w:t>
      </w:r>
      <w:r w:rsidRPr="008C264C">
        <w:rPr>
          <w:rFonts w:ascii="Times New Roman" w:eastAsia="黑体" w:hAnsi="Times New Roman" w:cs="Times New Roman"/>
          <w:sz w:val="36"/>
          <w:szCs w:val="36"/>
        </w:rPr>
        <w:t>油品、液体化工物料储存和运输</w:t>
      </w:r>
      <w:r w:rsidRPr="008C264C">
        <w:rPr>
          <w:rFonts w:ascii="Times New Roman" w:eastAsia="黑体" w:hAnsi="Times New Roman" w:cs="Times New Roman" w:hint="eastAsia"/>
          <w:sz w:val="36"/>
          <w:szCs w:val="36"/>
        </w:rPr>
        <w:t>》</w:t>
      </w:r>
    </w:p>
    <w:p w14:paraId="6D619FF8" w14:textId="77777777" w:rsidR="00B81C00" w:rsidRPr="0064399A" w:rsidRDefault="00B81C00" w:rsidP="00B81C00"/>
    <w:p w14:paraId="6358644F" w14:textId="77777777" w:rsidR="008C6E59" w:rsidRDefault="008C6E59"/>
    <w:sectPr w:rsidR="008C6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C7DE" w14:textId="77777777" w:rsidR="00DE1614" w:rsidRDefault="00DE1614" w:rsidP="00B81C00">
      <w:r>
        <w:separator/>
      </w:r>
    </w:p>
  </w:endnote>
  <w:endnote w:type="continuationSeparator" w:id="0">
    <w:p w14:paraId="56046175" w14:textId="77777777" w:rsidR="00DE1614" w:rsidRDefault="00DE1614" w:rsidP="00B8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86B4" w14:textId="77777777" w:rsidR="00DE1614" w:rsidRDefault="00DE1614" w:rsidP="00B81C00">
      <w:r>
        <w:separator/>
      </w:r>
    </w:p>
  </w:footnote>
  <w:footnote w:type="continuationSeparator" w:id="0">
    <w:p w14:paraId="48B565EB" w14:textId="77777777" w:rsidR="00DE1614" w:rsidRDefault="00DE1614" w:rsidP="00B8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18B4"/>
    <w:multiLevelType w:val="hybridMultilevel"/>
    <w:tmpl w:val="C0F4D2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23D49"/>
    <w:multiLevelType w:val="hybridMultilevel"/>
    <w:tmpl w:val="C0F4D212"/>
    <w:lvl w:ilvl="0" w:tplc="9112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A7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A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44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87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E9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AE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26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4E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389194">
    <w:abstractNumId w:val="1"/>
  </w:num>
  <w:num w:numId="2" w16cid:durableId="127967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4D"/>
    <w:rsid w:val="000102A7"/>
    <w:rsid w:val="000C7D4D"/>
    <w:rsid w:val="0017583D"/>
    <w:rsid w:val="001E7EFB"/>
    <w:rsid w:val="001F127C"/>
    <w:rsid w:val="00451D32"/>
    <w:rsid w:val="0064399A"/>
    <w:rsid w:val="006C6E6A"/>
    <w:rsid w:val="007D7704"/>
    <w:rsid w:val="00887B4E"/>
    <w:rsid w:val="008C6E59"/>
    <w:rsid w:val="00A903AC"/>
    <w:rsid w:val="00B81C00"/>
    <w:rsid w:val="00C145EE"/>
    <w:rsid w:val="00DD3C1C"/>
    <w:rsid w:val="00DE1614"/>
    <w:rsid w:val="00D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02FE3"/>
  <w15:chartTrackingRefBased/>
  <w15:docId w15:val="{AC292C38-2A1F-4892-9763-65F3C53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C0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C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87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浩哲</dc:creator>
  <cp:keywords/>
  <dc:description/>
  <cp:lastModifiedBy>浩哲 盛</cp:lastModifiedBy>
  <cp:revision>7</cp:revision>
  <dcterms:created xsi:type="dcterms:W3CDTF">2023-08-21T07:41:00Z</dcterms:created>
  <dcterms:modified xsi:type="dcterms:W3CDTF">2023-08-28T00:46:00Z</dcterms:modified>
</cp:coreProperties>
</file>