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7C627" w14:textId="77777777" w:rsidR="006E5D21" w:rsidRDefault="006E5D21" w:rsidP="006E5D21">
      <w:pPr>
        <w:pStyle w:val="a7"/>
        <w:spacing w:before="0" w:beforeAutospacing="0" w:after="0" w:afterAutospacing="0" w:line="360" w:lineRule="auto"/>
        <w:jc w:val="center"/>
        <w:rPr>
          <w:rFonts w:ascii="Times New Roman" w:eastAsia="黑体" w:hAnsi="黑体" w:cs="Times New Roman"/>
          <w:b/>
          <w:bCs/>
          <w:color w:val="000000"/>
          <w:kern w:val="2"/>
          <w:sz w:val="80"/>
          <w:szCs w:val="80"/>
        </w:rPr>
      </w:pPr>
    </w:p>
    <w:p w14:paraId="62D06C38" w14:textId="77777777" w:rsidR="006E5D21" w:rsidRDefault="006E5D21" w:rsidP="006E5D21">
      <w:pPr>
        <w:pStyle w:val="a7"/>
        <w:spacing w:before="0" w:beforeAutospacing="0" w:after="0" w:afterAutospacing="0" w:line="360" w:lineRule="auto"/>
        <w:jc w:val="center"/>
        <w:rPr>
          <w:rFonts w:ascii="Times New Roman" w:eastAsia="黑体" w:hAnsi="黑体" w:cs="Times New Roman"/>
          <w:b/>
          <w:bCs/>
          <w:color w:val="000000"/>
          <w:kern w:val="2"/>
          <w:sz w:val="80"/>
          <w:szCs w:val="80"/>
        </w:rPr>
      </w:pPr>
    </w:p>
    <w:p w14:paraId="045AFAF5" w14:textId="56E9CFA9" w:rsidR="006E5D21" w:rsidRDefault="006E5D21" w:rsidP="006E5D21">
      <w:pPr>
        <w:pStyle w:val="a7"/>
        <w:spacing w:before="0" w:beforeAutospacing="0" w:after="0" w:afterAutospacing="0" w:line="360" w:lineRule="auto"/>
        <w:jc w:val="center"/>
      </w:pPr>
      <w:bookmarkStart w:id="0" w:name="_Hlk143524963"/>
      <w:r>
        <w:rPr>
          <w:rFonts w:ascii="Times New Roman" w:eastAsia="黑体" w:hAnsi="黑体" w:cs="Times New Roman" w:hint="eastAsia"/>
          <w:b/>
          <w:bCs/>
          <w:color w:val="000000"/>
          <w:kern w:val="2"/>
          <w:sz w:val="80"/>
          <w:szCs w:val="80"/>
        </w:rPr>
        <w:t>加油站挥发性有机物治理手册</w:t>
      </w:r>
    </w:p>
    <w:p w14:paraId="6F89A730" w14:textId="18ECCEBC" w:rsidR="004E1767" w:rsidRDefault="004E1767"/>
    <w:p w14:paraId="4FC3BB51" w14:textId="77777777" w:rsidR="004E1767" w:rsidRDefault="004E1767">
      <w:pPr>
        <w:widowControl/>
        <w:jc w:val="left"/>
      </w:pPr>
      <w:r>
        <w:br w:type="page"/>
      </w:r>
    </w:p>
    <w:p w14:paraId="22F5F509" w14:textId="77777777" w:rsidR="004E1767" w:rsidRDefault="004E1767" w:rsidP="004E1767">
      <w:pPr>
        <w:pStyle w:val="a7"/>
        <w:spacing w:before="0" w:beforeAutospacing="0" w:after="0" w:afterAutospacing="0" w:line="360" w:lineRule="auto"/>
        <w:jc w:val="center"/>
      </w:pPr>
      <w:r>
        <w:rPr>
          <w:rFonts w:ascii="Times New Roman" w:eastAsia="黑体" w:hAnsi="黑体" w:cs="Times New Roman" w:hint="eastAsia"/>
          <w:b/>
          <w:bCs/>
          <w:color w:val="000000"/>
          <w:kern w:val="2"/>
          <w:sz w:val="48"/>
          <w:szCs w:val="48"/>
        </w:rPr>
        <w:lastRenderedPageBreak/>
        <w:t>前言</w:t>
      </w:r>
    </w:p>
    <w:p w14:paraId="50C60F3E" w14:textId="7A5FDD80" w:rsidR="004E1767" w:rsidRDefault="004E1767" w:rsidP="00012046">
      <w:pPr>
        <w:pStyle w:val="a7"/>
        <w:spacing w:before="0" w:beforeAutospacing="0" w:after="0" w:afterAutospacing="0" w:line="360" w:lineRule="auto"/>
        <w:ind w:firstLine="690"/>
        <w:jc w:val="both"/>
        <w:rPr>
          <w:rFonts w:ascii="Times New Roman" w:eastAsia="黑体" w:hAnsi="黑体" w:cs="Times New Roman"/>
          <w:color w:val="000000"/>
          <w:kern w:val="2"/>
          <w:sz w:val="30"/>
          <w:szCs w:val="30"/>
        </w:rPr>
      </w:pPr>
      <w:r w:rsidRPr="006F7FB4">
        <w:rPr>
          <w:rFonts w:ascii="Times New Roman" w:eastAsia="黑体" w:hAnsi="Times New Roman" w:cs="Times New Roman"/>
          <w:color w:val="000000"/>
          <w:kern w:val="2"/>
          <w:sz w:val="30"/>
          <w:szCs w:val="30"/>
        </w:rPr>
        <w:t>挥发性有机物（</w:t>
      </w:r>
      <w:r w:rsidRPr="006F7FB4">
        <w:rPr>
          <w:rFonts w:ascii="Times New Roman" w:eastAsia="黑体" w:hAnsi="Times New Roman" w:cs="Times New Roman"/>
          <w:color w:val="000000"/>
          <w:kern w:val="2"/>
          <w:sz w:val="30"/>
          <w:szCs w:val="30"/>
        </w:rPr>
        <w:t>VOCs</w:t>
      </w:r>
      <w:r w:rsidRPr="006F7FB4">
        <w:rPr>
          <w:rFonts w:ascii="Times New Roman" w:eastAsia="黑体" w:hAnsi="黑体" w:cs="Times New Roman" w:hint="eastAsia"/>
          <w:color w:val="000000"/>
          <w:kern w:val="2"/>
          <w:sz w:val="30"/>
          <w:szCs w:val="30"/>
        </w:rPr>
        <w:t>）指参与大气光化学反应的有机化合物，即在标准状况下，饱和蒸汽压较高、沸点较低（</w:t>
      </w:r>
      <w:r w:rsidRPr="006F7FB4">
        <w:rPr>
          <w:rFonts w:ascii="Times New Roman" w:eastAsia="黑体" w:hAnsi="Times New Roman" w:cs="Times New Roman"/>
          <w:color w:val="000000"/>
          <w:kern w:val="2"/>
          <w:sz w:val="30"/>
          <w:szCs w:val="30"/>
        </w:rPr>
        <w:t>50—260℃</w:t>
      </w:r>
      <w:r w:rsidRPr="006F7FB4">
        <w:rPr>
          <w:rFonts w:ascii="Times New Roman" w:eastAsia="黑体" w:hAnsi="Times New Roman" w:cs="Times New Roman"/>
          <w:color w:val="000000"/>
          <w:kern w:val="2"/>
          <w:sz w:val="30"/>
          <w:szCs w:val="30"/>
        </w:rPr>
        <w:t>）、易挥发的有机化合物。</w:t>
      </w:r>
      <w:r w:rsidRPr="006F7FB4">
        <w:rPr>
          <w:rFonts w:ascii="Times New Roman" w:eastAsia="黑体" w:hAnsi="Times New Roman" w:cs="Times New Roman"/>
          <w:color w:val="000000"/>
          <w:kern w:val="2"/>
          <w:sz w:val="30"/>
          <w:szCs w:val="30"/>
        </w:rPr>
        <w:t>VOCs</w:t>
      </w:r>
      <w:r w:rsidRPr="006F7FB4">
        <w:rPr>
          <w:rFonts w:ascii="Times New Roman" w:eastAsia="黑体" w:hAnsi="黑体" w:cs="Times New Roman" w:hint="eastAsia"/>
          <w:color w:val="000000"/>
          <w:kern w:val="2"/>
          <w:sz w:val="30"/>
          <w:szCs w:val="30"/>
        </w:rPr>
        <w:t>是大气环境中臭氧和颗粒物的重要前体物，显著影响人体呼吸系统、神经系统、新陈代谢等功能。</w:t>
      </w:r>
      <w:r w:rsidRPr="006F7FB4">
        <w:rPr>
          <w:rFonts w:ascii="Times New Roman" w:eastAsia="黑体" w:hAnsi="Times New Roman" w:cs="Times New Roman"/>
          <w:color w:val="000000"/>
          <w:kern w:val="2"/>
          <w:sz w:val="30"/>
          <w:szCs w:val="30"/>
        </w:rPr>
        <w:t>VOCs</w:t>
      </w:r>
      <w:r w:rsidRPr="006F7FB4">
        <w:rPr>
          <w:rFonts w:ascii="Times New Roman" w:eastAsia="黑体" w:hAnsi="黑体" w:cs="Times New Roman" w:hint="eastAsia"/>
          <w:color w:val="000000"/>
          <w:kern w:val="2"/>
          <w:sz w:val="30"/>
          <w:szCs w:val="30"/>
        </w:rPr>
        <w:t>治理是全面落实大气污染防治，有效提升空气质量的重要手段，也是“十四五”大气环境质量的约束性指标。</w:t>
      </w:r>
    </w:p>
    <w:p w14:paraId="5943A779" w14:textId="6BAB53B6" w:rsidR="004E1767" w:rsidRPr="00012046" w:rsidRDefault="00012046" w:rsidP="00012046">
      <w:pPr>
        <w:pStyle w:val="a7"/>
        <w:spacing w:before="0" w:beforeAutospacing="0" w:after="0" w:afterAutospacing="0" w:line="360" w:lineRule="auto"/>
        <w:ind w:firstLine="690"/>
        <w:jc w:val="both"/>
        <w:rPr>
          <w:rFonts w:ascii="Times New Roman" w:eastAsia="黑体" w:hAnsi="黑体" w:cs="Times New Roman"/>
          <w:color w:val="000000"/>
          <w:kern w:val="2"/>
          <w:sz w:val="30"/>
          <w:szCs w:val="30"/>
        </w:rPr>
      </w:pPr>
      <w:r w:rsidRPr="00012046">
        <w:rPr>
          <w:rFonts w:ascii="Times New Roman" w:eastAsia="黑体" w:hAnsi="黑体" w:cs="Times New Roman" w:hint="eastAsia"/>
          <w:color w:val="000000"/>
          <w:kern w:val="2"/>
          <w:sz w:val="30"/>
          <w:szCs w:val="30"/>
        </w:rPr>
        <w:t>汽油是</w:t>
      </w:r>
      <w:r w:rsidRPr="00012046">
        <w:rPr>
          <w:rFonts w:ascii="Times New Roman" w:eastAsia="黑体" w:hAnsi="黑体" w:cs="Times New Roman"/>
          <w:color w:val="000000"/>
          <w:kern w:val="2"/>
          <w:sz w:val="30"/>
          <w:szCs w:val="30"/>
        </w:rPr>
        <w:t>VOCs</w:t>
      </w:r>
      <w:r w:rsidRPr="00012046">
        <w:rPr>
          <w:rFonts w:ascii="Times New Roman" w:eastAsia="黑体" w:hAnsi="黑体" w:cs="Times New Roman"/>
          <w:color w:val="000000"/>
          <w:kern w:val="2"/>
          <w:sz w:val="30"/>
          <w:szCs w:val="30"/>
        </w:rPr>
        <w:t>排放大户，制备</w:t>
      </w:r>
      <w:r w:rsidRPr="00012046">
        <w:rPr>
          <w:rFonts w:ascii="Times New Roman" w:eastAsia="黑体" w:hAnsi="黑体" w:cs="Times New Roman"/>
          <w:color w:val="000000"/>
          <w:kern w:val="2"/>
          <w:sz w:val="30"/>
          <w:szCs w:val="30"/>
        </w:rPr>
        <w:t>-</w:t>
      </w:r>
      <w:r w:rsidRPr="00012046">
        <w:rPr>
          <w:rFonts w:ascii="Times New Roman" w:eastAsia="黑体" w:hAnsi="黑体" w:cs="Times New Roman"/>
          <w:color w:val="000000"/>
          <w:kern w:val="2"/>
          <w:sz w:val="30"/>
          <w:szCs w:val="30"/>
        </w:rPr>
        <w:t>运输</w:t>
      </w:r>
      <w:r w:rsidRPr="00012046">
        <w:rPr>
          <w:rFonts w:ascii="Times New Roman" w:eastAsia="黑体" w:hAnsi="黑体" w:cs="Times New Roman"/>
          <w:color w:val="000000"/>
          <w:kern w:val="2"/>
          <w:sz w:val="30"/>
          <w:szCs w:val="30"/>
        </w:rPr>
        <w:t>-</w:t>
      </w:r>
      <w:r w:rsidRPr="00012046">
        <w:rPr>
          <w:rFonts w:ascii="Times New Roman" w:eastAsia="黑体" w:hAnsi="黑体" w:cs="Times New Roman"/>
          <w:color w:val="000000"/>
          <w:kern w:val="2"/>
          <w:sz w:val="30"/>
          <w:szCs w:val="30"/>
        </w:rPr>
        <w:t>储存</w:t>
      </w:r>
      <w:r w:rsidRPr="00012046">
        <w:rPr>
          <w:rFonts w:ascii="Times New Roman" w:eastAsia="黑体" w:hAnsi="黑体" w:cs="Times New Roman"/>
          <w:color w:val="000000"/>
          <w:kern w:val="2"/>
          <w:sz w:val="30"/>
          <w:szCs w:val="30"/>
        </w:rPr>
        <w:t>-</w:t>
      </w:r>
      <w:r w:rsidRPr="00012046">
        <w:rPr>
          <w:rFonts w:ascii="Times New Roman" w:eastAsia="黑体" w:hAnsi="黑体" w:cs="Times New Roman"/>
          <w:color w:val="000000"/>
          <w:kern w:val="2"/>
          <w:sz w:val="30"/>
          <w:szCs w:val="30"/>
        </w:rPr>
        <w:t>使用等一系列流程均会造成</w:t>
      </w:r>
      <w:r w:rsidRPr="00012046">
        <w:rPr>
          <w:rFonts w:ascii="Times New Roman" w:eastAsia="黑体" w:hAnsi="黑体" w:cs="Times New Roman"/>
          <w:color w:val="000000"/>
          <w:kern w:val="2"/>
          <w:sz w:val="30"/>
          <w:szCs w:val="30"/>
        </w:rPr>
        <w:t>VOCs</w:t>
      </w:r>
      <w:r w:rsidRPr="00012046">
        <w:rPr>
          <w:rFonts w:ascii="Times New Roman" w:eastAsia="黑体" w:hAnsi="黑体" w:cs="Times New Roman"/>
          <w:color w:val="000000"/>
          <w:kern w:val="2"/>
          <w:sz w:val="30"/>
          <w:szCs w:val="30"/>
        </w:rPr>
        <w:t>逸散。加油站区域</w:t>
      </w:r>
      <w:r w:rsidRPr="00012046">
        <w:rPr>
          <w:rFonts w:ascii="Times New Roman" w:eastAsia="黑体" w:hAnsi="黑体" w:cs="Times New Roman"/>
          <w:color w:val="000000"/>
          <w:kern w:val="2"/>
          <w:sz w:val="30"/>
          <w:szCs w:val="30"/>
        </w:rPr>
        <w:t>VOCs</w:t>
      </w:r>
      <w:r w:rsidRPr="00012046">
        <w:rPr>
          <w:rFonts w:ascii="Times New Roman" w:eastAsia="黑体" w:hAnsi="黑体" w:cs="Times New Roman"/>
          <w:color w:val="000000"/>
          <w:kern w:val="2"/>
          <w:sz w:val="30"/>
          <w:szCs w:val="30"/>
        </w:rPr>
        <w:t>逸散会更为明显。</w:t>
      </w:r>
      <w:r w:rsidRPr="00012046">
        <w:rPr>
          <w:rFonts w:ascii="Times New Roman" w:eastAsia="黑体" w:hAnsi="黑体" w:cs="Times New Roman" w:hint="eastAsia"/>
          <w:color w:val="000000"/>
          <w:kern w:val="2"/>
          <w:sz w:val="30"/>
          <w:szCs w:val="30"/>
        </w:rPr>
        <w:t>很多加油站油气回收设施常处于不正常运行状态或无法起到预期的油气回收效果，亟需加强加油站的运行维护以及各个排放环节的控制与监管</w:t>
      </w:r>
      <w:r>
        <w:rPr>
          <w:rFonts w:ascii="Times New Roman" w:eastAsia="黑体" w:hAnsi="黑体" w:cs="Times New Roman" w:hint="eastAsia"/>
          <w:color w:val="000000"/>
          <w:kern w:val="2"/>
          <w:sz w:val="30"/>
          <w:szCs w:val="30"/>
        </w:rPr>
        <w:t>。</w:t>
      </w:r>
    </w:p>
    <w:p w14:paraId="191D6D0A" w14:textId="3F5EEF6A" w:rsidR="001671A8" w:rsidRDefault="004E1767" w:rsidP="00012046">
      <w:pPr>
        <w:ind w:firstLine="600"/>
        <w:rPr>
          <w:rFonts w:ascii="Times New Roman" w:eastAsia="黑体" w:hAnsi="黑体" w:cs="Times New Roman"/>
          <w:color w:val="000000"/>
          <w:sz w:val="30"/>
          <w:szCs w:val="30"/>
        </w:rPr>
      </w:pPr>
      <w:r w:rsidRPr="006F7FB4">
        <w:rPr>
          <w:rFonts w:ascii="Times New Roman" w:eastAsia="黑体" w:hAnsi="Times New Roman" w:cs="Times New Roman"/>
          <w:color w:val="000000"/>
          <w:sz w:val="30"/>
          <w:szCs w:val="30"/>
        </w:rPr>
        <w:t>为了高效开展</w:t>
      </w:r>
      <w:r w:rsidR="00DA7620">
        <w:rPr>
          <w:rFonts w:ascii="Times New Roman" w:eastAsia="黑体" w:hAnsi="Times New Roman" w:cs="Times New Roman" w:hint="eastAsia"/>
          <w:color w:val="000000"/>
          <w:sz w:val="30"/>
          <w:szCs w:val="30"/>
        </w:rPr>
        <w:t>加油站</w:t>
      </w:r>
      <w:r w:rsidRPr="006F7FB4">
        <w:rPr>
          <w:rFonts w:ascii="Times New Roman" w:eastAsia="黑体" w:hAnsi="Times New Roman" w:cs="Times New Roman"/>
          <w:color w:val="000000"/>
          <w:sz w:val="30"/>
          <w:szCs w:val="30"/>
        </w:rPr>
        <w:t>挥发性有机物治理，切实改善城市空气质量，实现细颗粒物和臭氧污染的协同防控，许昌市生态环境局和</w:t>
      </w:r>
      <w:r w:rsidRPr="006F7FB4">
        <w:rPr>
          <w:rFonts w:ascii="Times New Roman" w:eastAsia="黑体" w:hAnsi="Times New Roman" w:cs="Times New Roman"/>
          <w:color w:val="000000"/>
          <w:sz w:val="30"/>
          <w:szCs w:val="30"/>
        </w:rPr>
        <w:t>“</w:t>
      </w:r>
      <w:r w:rsidRPr="006F7FB4">
        <w:rPr>
          <w:rFonts w:ascii="Times New Roman" w:eastAsia="黑体" w:hAnsi="Times New Roman" w:cs="Times New Roman"/>
          <w:color w:val="000000"/>
          <w:sz w:val="30"/>
          <w:szCs w:val="30"/>
        </w:rPr>
        <w:t>一市一策</w:t>
      </w:r>
      <w:r w:rsidRPr="006F7FB4">
        <w:rPr>
          <w:rFonts w:ascii="Times New Roman" w:eastAsia="黑体" w:hAnsi="Times New Roman" w:cs="Times New Roman"/>
          <w:color w:val="000000"/>
          <w:sz w:val="30"/>
          <w:szCs w:val="30"/>
        </w:rPr>
        <w:t>”</w:t>
      </w:r>
      <w:r w:rsidRPr="006F7FB4">
        <w:rPr>
          <w:rFonts w:ascii="Times New Roman" w:eastAsia="黑体" w:hAnsi="Times New Roman" w:cs="Times New Roman"/>
          <w:color w:val="000000"/>
          <w:sz w:val="30"/>
          <w:szCs w:val="30"/>
        </w:rPr>
        <w:t>驻点跟踪研究工作组基于</w:t>
      </w:r>
      <w:r w:rsidRPr="006F7FB4">
        <w:rPr>
          <w:rFonts w:ascii="Times New Roman" w:eastAsia="黑体" w:hAnsi="Times New Roman" w:cs="Times New Roman"/>
          <w:color w:val="000000"/>
          <w:sz w:val="30"/>
          <w:szCs w:val="30"/>
        </w:rPr>
        <w:t>2021-2022</w:t>
      </w:r>
      <w:r w:rsidRPr="006F7FB4">
        <w:rPr>
          <w:rFonts w:ascii="Times New Roman" w:eastAsia="黑体" w:hAnsi="黑体" w:cs="Times New Roman" w:hint="eastAsia"/>
          <w:color w:val="000000"/>
          <w:sz w:val="30"/>
          <w:szCs w:val="30"/>
        </w:rPr>
        <w:t>年</w:t>
      </w:r>
      <w:r w:rsidR="00012046">
        <w:rPr>
          <w:rFonts w:ascii="Times New Roman" w:eastAsia="黑体" w:hAnsi="黑体" w:cs="Times New Roman" w:hint="eastAsia"/>
          <w:color w:val="000000"/>
          <w:sz w:val="30"/>
          <w:szCs w:val="30"/>
        </w:rPr>
        <w:t>加油站</w:t>
      </w:r>
      <w:r w:rsidRPr="006F7FB4">
        <w:rPr>
          <w:rFonts w:ascii="Times New Roman" w:eastAsia="黑体" w:hAnsi="黑体" w:cs="Times New Roman" w:hint="eastAsia"/>
          <w:color w:val="000000"/>
          <w:sz w:val="30"/>
          <w:szCs w:val="30"/>
        </w:rPr>
        <w:t>现场帮扶经验，组织行业专家编制了</w:t>
      </w:r>
      <w:r w:rsidR="00012046">
        <w:rPr>
          <w:rFonts w:ascii="Times New Roman" w:eastAsia="黑体" w:hAnsi="黑体" w:cs="Times New Roman" w:hint="eastAsia"/>
          <w:color w:val="000000"/>
          <w:sz w:val="30"/>
          <w:szCs w:val="30"/>
        </w:rPr>
        <w:t>加油站</w:t>
      </w:r>
      <w:r w:rsidRPr="006F7FB4">
        <w:rPr>
          <w:rFonts w:ascii="Times New Roman" w:eastAsia="黑体" w:hAnsi="黑体" w:cs="Times New Roman" w:hint="eastAsia"/>
          <w:color w:val="000000"/>
          <w:sz w:val="30"/>
          <w:szCs w:val="30"/>
        </w:rPr>
        <w:t>挥发性有机物治理手册。本手册旨在指导管理部门和企业管理人员开展</w:t>
      </w:r>
      <w:r w:rsidRPr="006F7FB4">
        <w:rPr>
          <w:rFonts w:ascii="Times New Roman" w:eastAsia="黑体" w:hAnsi="Times New Roman" w:cs="Times New Roman"/>
          <w:color w:val="000000"/>
          <w:sz w:val="30"/>
          <w:szCs w:val="30"/>
        </w:rPr>
        <w:t>VOCs</w:t>
      </w:r>
      <w:r w:rsidRPr="006F7FB4">
        <w:rPr>
          <w:rFonts w:ascii="Times New Roman" w:eastAsia="黑体" w:hAnsi="黑体" w:cs="Times New Roman" w:hint="eastAsia"/>
          <w:color w:val="000000"/>
          <w:sz w:val="30"/>
          <w:szCs w:val="30"/>
        </w:rPr>
        <w:t>治理排查和自查，提升企业管理人员环保认知和污染物治理水平，促进全行业减排，实现大气污染防治区域联防联控。</w:t>
      </w:r>
    </w:p>
    <w:p w14:paraId="7444AF15" w14:textId="77777777" w:rsidR="00012046" w:rsidRDefault="00012046" w:rsidP="00012046">
      <w:pPr>
        <w:ind w:firstLine="600"/>
        <w:rPr>
          <w:rFonts w:ascii="Times New Roman" w:eastAsia="黑体" w:hAnsi="黑体" w:cs="Times New Roman"/>
          <w:color w:val="000000"/>
          <w:sz w:val="30"/>
          <w:szCs w:val="30"/>
        </w:rPr>
      </w:pPr>
    </w:p>
    <w:p w14:paraId="7FDC3505" w14:textId="77777777" w:rsidR="00012046" w:rsidRDefault="00012046" w:rsidP="00012046">
      <w:pPr>
        <w:ind w:firstLine="600"/>
        <w:rPr>
          <w:rFonts w:ascii="Times New Roman" w:eastAsia="黑体" w:hAnsi="黑体" w:cs="Times New Roman"/>
          <w:color w:val="000000"/>
          <w:sz w:val="30"/>
          <w:szCs w:val="30"/>
        </w:rPr>
      </w:pPr>
    </w:p>
    <w:p w14:paraId="79204AC1" w14:textId="77777777" w:rsidR="00012046" w:rsidRPr="004E1767" w:rsidRDefault="00012046" w:rsidP="00012046">
      <w:pPr>
        <w:ind w:firstLine="600"/>
      </w:pPr>
    </w:p>
    <w:p w14:paraId="1F437D6C" w14:textId="77777777" w:rsidR="00712D4A" w:rsidRDefault="00712D4A" w:rsidP="00712D4A">
      <w:pPr>
        <w:pStyle w:val="a7"/>
        <w:spacing w:before="0" w:beforeAutospacing="0" w:after="0" w:afterAutospacing="0" w:line="360" w:lineRule="auto"/>
        <w:ind w:firstLine="964"/>
        <w:jc w:val="center"/>
      </w:pPr>
      <w:r>
        <w:rPr>
          <w:rFonts w:ascii="Times New Roman" w:eastAsia="黑体" w:hAnsi="黑体" w:cs="Times New Roman" w:hint="eastAsia"/>
          <w:b/>
          <w:bCs/>
          <w:color w:val="000000"/>
          <w:kern w:val="2"/>
          <w:sz w:val="48"/>
          <w:szCs w:val="48"/>
        </w:rPr>
        <w:lastRenderedPageBreak/>
        <w:t>目录</w:t>
      </w:r>
    </w:p>
    <w:p w14:paraId="14ADAA90" w14:textId="77777777" w:rsidR="00712D4A" w:rsidRPr="006541E4" w:rsidRDefault="00712D4A" w:rsidP="00712D4A">
      <w:pPr>
        <w:pStyle w:val="a8"/>
        <w:numPr>
          <w:ilvl w:val="0"/>
          <w:numId w:val="1"/>
        </w:numPr>
        <w:spacing w:line="360" w:lineRule="auto"/>
        <w:ind w:firstLineChars="0"/>
        <w:rPr>
          <w:rFonts w:ascii="Times New Roman" w:hAnsi="Times New Roman" w:cs="Times New Roman"/>
          <w:sz w:val="36"/>
        </w:rPr>
      </w:pPr>
      <w:bookmarkStart w:id="1" w:name="_Hlk143524449"/>
      <w:r w:rsidRPr="006541E4">
        <w:rPr>
          <w:rFonts w:ascii="Times New Roman" w:eastAsia="黑体" w:hAnsi="Times New Roman" w:cs="Times New Roman"/>
          <w:b/>
          <w:bCs/>
          <w:color w:val="000000"/>
          <w:kern w:val="2"/>
          <w:sz w:val="36"/>
          <w:szCs w:val="36"/>
        </w:rPr>
        <w:t>手册适用范围</w:t>
      </w:r>
    </w:p>
    <w:p w14:paraId="65751EB1" w14:textId="66E0BE81" w:rsidR="00712D4A" w:rsidRPr="006541E4" w:rsidRDefault="00712D4A" w:rsidP="00712D4A">
      <w:pPr>
        <w:pStyle w:val="a8"/>
        <w:numPr>
          <w:ilvl w:val="0"/>
          <w:numId w:val="1"/>
        </w:numPr>
        <w:spacing w:line="360" w:lineRule="auto"/>
        <w:ind w:firstLineChars="0"/>
        <w:rPr>
          <w:rFonts w:ascii="Times New Roman" w:hAnsi="Times New Roman" w:cs="Times New Roman"/>
          <w:sz w:val="36"/>
        </w:rPr>
      </w:pPr>
      <w:r w:rsidRPr="006541E4">
        <w:rPr>
          <w:rFonts w:ascii="Times New Roman" w:eastAsia="黑体" w:hAnsi="Times New Roman" w:cs="Times New Roman"/>
          <w:b/>
          <w:bCs/>
          <w:color w:val="000000"/>
          <w:kern w:val="2"/>
          <w:sz w:val="36"/>
          <w:szCs w:val="36"/>
        </w:rPr>
        <w:t>VOCs</w:t>
      </w:r>
      <w:r w:rsidRPr="006541E4">
        <w:rPr>
          <w:rFonts w:ascii="Times New Roman" w:eastAsia="黑体" w:hAnsi="Times New Roman" w:cs="Times New Roman"/>
          <w:b/>
          <w:bCs/>
          <w:color w:val="000000"/>
          <w:kern w:val="2"/>
          <w:sz w:val="36"/>
          <w:szCs w:val="36"/>
        </w:rPr>
        <w:t>排放限值</w:t>
      </w:r>
    </w:p>
    <w:p w14:paraId="592757F9" w14:textId="56F94662" w:rsidR="00712D4A" w:rsidRPr="006541E4" w:rsidRDefault="00712D4A" w:rsidP="00712D4A">
      <w:pPr>
        <w:pStyle w:val="a8"/>
        <w:numPr>
          <w:ilvl w:val="0"/>
          <w:numId w:val="1"/>
        </w:numPr>
        <w:spacing w:line="360" w:lineRule="auto"/>
        <w:ind w:firstLineChars="0"/>
        <w:rPr>
          <w:rFonts w:ascii="Times New Roman" w:hAnsi="Times New Roman" w:cs="Times New Roman"/>
          <w:sz w:val="36"/>
        </w:rPr>
      </w:pPr>
      <w:r w:rsidRPr="006541E4">
        <w:rPr>
          <w:rFonts w:ascii="Times New Roman" w:eastAsia="黑体" w:hAnsi="Times New Roman" w:cs="Times New Roman"/>
          <w:b/>
          <w:bCs/>
          <w:color w:val="000000"/>
          <w:kern w:val="2"/>
          <w:sz w:val="36"/>
          <w:szCs w:val="36"/>
        </w:rPr>
        <w:t>主要产排污环节</w:t>
      </w:r>
    </w:p>
    <w:p w14:paraId="62C5A51E" w14:textId="77777777" w:rsidR="00712D4A" w:rsidRPr="006541E4" w:rsidRDefault="00712D4A" w:rsidP="00712D4A">
      <w:pPr>
        <w:pStyle w:val="a8"/>
        <w:numPr>
          <w:ilvl w:val="0"/>
          <w:numId w:val="1"/>
        </w:numPr>
        <w:spacing w:line="360" w:lineRule="auto"/>
        <w:ind w:firstLineChars="0"/>
        <w:rPr>
          <w:rFonts w:ascii="Times New Roman" w:hAnsi="Times New Roman" w:cs="Times New Roman"/>
          <w:sz w:val="36"/>
        </w:rPr>
      </w:pPr>
      <w:r w:rsidRPr="006541E4">
        <w:rPr>
          <w:rFonts w:ascii="Times New Roman" w:eastAsia="黑体" w:hAnsi="Times New Roman" w:cs="Times New Roman"/>
          <w:b/>
          <w:bCs/>
          <w:color w:val="000000"/>
          <w:kern w:val="2"/>
          <w:sz w:val="36"/>
          <w:szCs w:val="36"/>
        </w:rPr>
        <w:t>生产过程管理</w:t>
      </w:r>
    </w:p>
    <w:p w14:paraId="535C4A90" w14:textId="77777777" w:rsidR="00712D4A" w:rsidRPr="006541E4" w:rsidRDefault="00712D4A" w:rsidP="00712D4A">
      <w:pPr>
        <w:pStyle w:val="a8"/>
        <w:numPr>
          <w:ilvl w:val="0"/>
          <w:numId w:val="1"/>
        </w:numPr>
        <w:spacing w:line="360" w:lineRule="auto"/>
        <w:ind w:firstLineChars="0"/>
        <w:rPr>
          <w:rFonts w:ascii="Times New Roman" w:hAnsi="Times New Roman" w:cs="Times New Roman"/>
          <w:sz w:val="36"/>
        </w:rPr>
      </w:pPr>
      <w:r w:rsidRPr="006541E4">
        <w:rPr>
          <w:rFonts w:ascii="Times New Roman" w:eastAsia="黑体" w:hAnsi="Times New Roman" w:cs="Times New Roman"/>
          <w:b/>
          <w:bCs/>
          <w:color w:val="000000"/>
          <w:kern w:val="2"/>
          <w:sz w:val="36"/>
          <w:szCs w:val="36"/>
        </w:rPr>
        <w:t>末端治理</w:t>
      </w:r>
    </w:p>
    <w:p w14:paraId="16A547EA" w14:textId="77777777" w:rsidR="00712D4A" w:rsidRPr="006541E4" w:rsidRDefault="00712D4A" w:rsidP="00712D4A">
      <w:pPr>
        <w:pStyle w:val="a8"/>
        <w:numPr>
          <w:ilvl w:val="0"/>
          <w:numId w:val="1"/>
        </w:numPr>
        <w:spacing w:line="360" w:lineRule="auto"/>
        <w:ind w:firstLineChars="0"/>
        <w:rPr>
          <w:rFonts w:ascii="Times New Roman" w:hAnsi="Times New Roman" w:cs="Times New Roman"/>
          <w:sz w:val="36"/>
        </w:rPr>
      </w:pPr>
      <w:r w:rsidRPr="006541E4">
        <w:rPr>
          <w:rFonts w:ascii="Times New Roman" w:eastAsia="黑体" w:hAnsi="Times New Roman" w:cs="Times New Roman"/>
          <w:b/>
          <w:bCs/>
          <w:color w:val="000000"/>
          <w:kern w:val="2"/>
          <w:sz w:val="36"/>
          <w:szCs w:val="36"/>
        </w:rPr>
        <w:t>监测监控</w:t>
      </w:r>
    </w:p>
    <w:p w14:paraId="5DC48810" w14:textId="77777777" w:rsidR="00712D4A" w:rsidRPr="006541E4" w:rsidRDefault="00712D4A" w:rsidP="00712D4A">
      <w:pPr>
        <w:pStyle w:val="a8"/>
        <w:numPr>
          <w:ilvl w:val="0"/>
          <w:numId w:val="1"/>
        </w:numPr>
        <w:spacing w:line="360" w:lineRule="auto"/>
        <w:ind w:firstLineChars="0"/>
        <w:rPr>
          <w:rFonts w:ascii="Times New Roman" w:hAnsi="Times New Roman" w:cs="Times New Roman"/>
          <w:sz w:val="36"/>
        </w:rPr>
      </w:pPr>
      <w:r w:rsidRPr="006541E4">
        <w:rPr>
          <w:rFonts w:ascii="Times New Roman" w:eastAsia="黑体" w:hAnsi="Times New Roman" w:cs="Times New Roman"/>
          <w:b/>
          <w:bCs/>
          <w:color w:val="000000"/>
          <w:kern w:val="2"/>
          <w:sz w:val="36"/>
          <w:szCs w:val="36"/>
        </w:rPr>
        <w:t>台账记录</w:t>
      </w:r>
    </w:p>
    <w:p w14:paraId="6760CE0E" w14:textId="77777777" w:rsidR="00712D4A" w:rsidRPr="006541E4" w:rsidRDefault="00712D4A" w:rsidP="00712D4A">
      <w:pPr>
        <w:pStyle w:val="a8"/>
        <w:numPr>
          <w:ilvl w:val="0"/>
          <w:numId w:val="1"/>
        </w:numPr>
        <w:spacing w:line="360" w:lineRule="auto"/>
        <w:ind w:firstLineChars="0"/>
        <w:rPr>
          <w:rFonts w:ascii="Times New Roman" w:hAnsi="Times New Roman" w:cs="Times New Roman"/>
          <w:sz w:val="36"/>
        </w:rPr>
      </w:pPr>
      <w:r w:rsidRPr="006541E4">
        <w:rPr>
          <w:rFonts w:ascii="Times New Roman" w:eastAsia="黑体" w:hAnsi="Times New Roman" w:cs="Times New Roman"/>
          <w:b/>
          <w:bCs/>
          <w:color w:val="000000"/>
          <w:kern w:val="2"/>
          <w:sz w:val="36"/>
          <w:szCs w:val="36"/>
        </w:rPr>
        <w:t>参考文件</w:t>
      </w:r>
    </w:p>
    <w:bookmarkEnd w:id="1"/>
    <w:p w14:paraId="17908B7A" w14:textId="77777777" w:rsidR="00712D4A" w:rsidRDefault="00712D4A"/>
    <w:p w14:paraId="6D89F2C1" w14:textId="77777777" w:rsidR="001671A8" w:rsidRDefault="001671A8">
      <w:pPr>
        <w:widowControl/>
        <w:jc w:val="left"/>
      </w:pPr>
      <w:r>
        <w:br w:type="page"/>
      </w:r>
    </w:p>
    <w:p w14:paraId="5D39F25B" w14:textId="3A3E72CA" w:rsidR="001671A8" w:rsidRPr="00F92A67" w:rsidRDefault="00F92A67" w:rsidP="00F92A67">
      <w:pPr>
        <w:pStyle w:val="1"/>
      </w:pPr>
      <w:r>
        <w:rPr>
          <w:rFonts w:hint="eastAsia"/>
        </w:rPr>
        <w:lastRenderedPageBreak/>
        <w:t>1</w:t>
      </w:r>
      <w:r>
        <w:t xml:space="preserve">.  </w:t>
      </w:r>
      <w:r w:rsidR="00712D4A" w:rsidRPr="00F92A67">
        <w:t>手册适用范围</w:t>
      </w:r>
    </w:p>
    <w:p w14:paraId="3D0753CD" w14:textId="77777777" w:rsidR="00586085" w:rsidRDefault="00712D4A" w:rsidP="004E1767">
      <w:pPr>
        <w:widowControl/>
        <w:ind w:firstLineChars="200" w:firstLine="720"/>
        <w:jc w:val="left"/>
        <w:rPr>
          <w:rFonts w:ascii="Times New Roman" w:eastAsia="黑体" w:hAnsi="Times New Roman" w:cs="Times New Roman"/>
          <w:sz w:val="36"/>
          <w:szCs w:val="36"/>
        </w:rPr>
      </w:pPr>
      <w:r w:rsidRPr="004E1767">
        <w:rPr>
          <w:rFonts w:ascii="Times New Roman" w:eastAsia="黑体" w:hAnsi="Times New Roman" w:cs="Times New Roman"/>
          <w:sz w:val="36"/>
          <w:szCs w:val="36"/>
        </w:rPr>
        <w:t>加油站：指由储油罐、加油机及油枪等组成为机动车添加成品油的排污单位。具体行业类别：主要包括机动车燃油零售（</w:t>
      </w:r>
      <w:r w:rsidRPr="004E1767">
        <w:rPr>
          <w:rFonts w:ascii="Times New Roman" w:eastAsia="黑体" w:hAnsi="Times New Roman" w:cs="Times New Roman"/>
          <w:sz w:val="36"/>
          <w:szCs w:val="36"/>
        </w:rPr>
        <w:t>5265</w:t>
      </w:r>
      <w:r w:rsidRPr="004E1767">
        <w:rPr>
          <w:rFonts w:ascii="Times New Roman" w:eastAsia="黑体" w:hAnsi="Times New Roman" w:cs="Times New Roman"/>
          <w:sz w:val="36"/>
          <w:szCs w:val="36"/>
        </w:rPr>
        <w:t>）等。</w:t>
      </w:r>
    </w:p>
    <w:p w14:paraId="30471341" w14:textId="220F1819" w:rsidR="00586085" w:rsidRDefault="00586085" w:rsidP="00586085">
      <w:pPr>
        <w:widowControl/>
        <w:jc w:val="left"/>
        <w:rPr>
          <w:rFonts w:ascii="Times New Roman" w:eastAsia="黑体" w:hAnsi="Times New Roman" w:cs="Times New Roman"/>
          <w:sz w:val="36"/>
          <w:szCs w:val="36"/>
        </w:rPr>
      </w:pPr>
      <w:r w:rsidRPr="00586085">
        <w:rPr>
          <w:rFonts w:ascii="Times New Roman" w:eastAsia="黑体" w:hAnsi="Times New Roman" w:cs="Times New Roman"/>
          <w:noProof/>
          <w:sz w:val="36"/>
          <w:szCs w:val="36"/>
        </w:rPr>
        <w:drawing>
          <wp:inline distT="0" distB="0" distL="0" distR="0" wp14:anchorId="381C32A7" wp14:editId="11AD724C">
            <wp:extent cx="5274310" cy="2423160"/>
            <wp:effectExtent l="0" t="0" r="2540" b="0"/>
            <wp:docPr id="18565070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507034" name=""/>
                    <pic:cNvPicPr/>
                  </pic:nvPicPr>
                  <pic:blipFill>
                    <a:blip r:embed="rId8"/>
                    <a:stretch>
                      <a:fillRect/>
                    </a:stretch>
                  </pic:blipFill>
                  <pic:spPr>
                    <a:xfrm>
                      <a:off x="0" y="0"/>
                      <a:ext cx="5274310" cy="2423160"/>
                    </a:xfrm>
                    <a:prstGeom prst="rect">
                      <a:avLst/>
                    </a:prstGeom>
                  </pic:spPr>
                </pic:pic>
              </a:graphicData>
            </a:graphic>
          </wp:inline>
        </w:drawing>
      </w:r>
    </w:p>
    <w:p w14:paraId="063370E5" w14:textId="16BCA757" w:rsidR="00586085" w:rsidRPr="00764EDB" w:rsidRDefault="00586085" w:rsidP="00586085">
      <w:pPr>
        <w:widowControl/>
        <w:jc w:val="center"/>
        <w:rPr>
          <w:rFonts w:ascii="Times New Roman" w:eastAsia="黑体" w:hAnsi="Times New Roman" w:cs="Times New Roman"/>
          <w:sz w:val="36"/>
          <w:szCs w:val="36"/>
        </w:rPr>
      </w:pPr>
      <w:r w:rsidRPr="00764EDB">
        <w:rPr>
          <w:rFonts w:ascii="Times New Roman" w:eastAsia="黑体" w:hAnsi="Times New Roman" w:cs="Times New Roman"/>
          <w:sz w:val="36"/>
          <w:szCs w:val="36"/>
        </w:rPr>
        <w:t>加油站卸油、加油工艺流程图</w:t>
      </w:r>
    </w:p>
    <w:p w14:paraId="4B233D71" w14:textId="3068BC2A" w:rsidR="001671A8" w:rsidRDefault="001671A8" w:rsidP="004E1767">
      <w:pPr>
        <w:widowControl/>
        <w:ind w:firstLineChars="200" w:firstLine="420"/>
        <w:jc w:val="left"/>
      </w:pPr>
      <w:r>
        <w:br w:type="page"/>
      </w:r>
    </w:p>
    <w:p w14:paraId="7C71432D" w14:textId="0460F62B" w:rsidR="00712D4A" w:rsidRPr="00B97EC2" w:rsidRDefault="00712D4A" w:rsidP="00712D4A">
      <w:pPr>
        <w:pStyle w:val="1"/>
      </w:pPr>
      <w:r w:rsidRPr="00BB5B02">
        <w:rPr>
          <w:rFonts w:hint="eastAsia"/>
        </w:rPr>
        <w:lastRenderedPageBreak/>
        <w:t>2</w:t>
      </w:r>
      <w:r w:rsidRPr="00BB5B02">
        <w:t>.</w:t>
      </w:r>
      <w:r>
        <w:t xml:space="preserve"> </w:t>
      </w:r>
      <w:r w:rsidR="00E709D1">
        <w:t xml:space="preserve"> </w:t>
      </w:r>
      <w:r w:rsidRPr="00B97EC2">
        <w:t>VOCs</w:t>
      </w:r>
      <w:r w:rsidRPr="00B97EC2">
        <w:rPr>
          <w:rFonts w:hint="eastAsia"/>
        </w:rPr>
        <w:t>排放限值</w:t>
      </w:r>
    </w:p>
    <w:p w14:paraId="3C5F7E0D" w14:textId="553523AF" w:rsidR="00586085" w:rsidRPr="00586085" w:rsidRDefault="00586085" w:rsidP="00586085">
      <w:pPr>
        <w:ind w:firstLineChars="200" w:firstLine="720"/>
        <w:rPr>
          <w:rFonts w:ascii="Times New Roman" w:eastAsia="黑体" w:hAnsi="Times New Roman" w:cs="Times New Roman"/>
          <w:sz w:val="36"/>
          <w:szCs w:val="36"/>
        </w:rPr>
      </w:pPr>
      <w:r w:rsidRPr="00586085">
        <w:rPr>
          <w:rFonts w:ascii="Times New Roman" w:eastAsia="黑体" w:hAnsi="Times New Roman" w:cs="Times New Roman" w:hint="eastAsia"/>
          <w:sz w:val="36"/>
          <w:szCs w:val="36"/>
        </w:rPr>
        <w:t>依据</w:t>
      </w:r>
      <w:r w:rsidRPr="00586085">
        <w:rPr>
          <w:rFonts w:ascii="Times New Roman" w:eastAsia="黑体" w:hAnsi="Times New Roman" w:cs="Times New Roman"/>
          <w:sz w:val="36"/>
          <w:szCs w:val="36"/>
        </w:rPr>
        <w:t>加油站大气污染物排放标准</w:t>
      </w:r>
      <w:r w:rsidRPr="00586085">
        <w:rPr>
          <w:rFonts w:ascii="Times New Roman" w:eastAsia="黑体" w:hAnsi="Times New Roman" w:cs="Times New Roman" w:hint="eastAsia"/>
          <w:sz w:val="36"/>
          <w:szCs w:val="36"/>
        </w:rPr>
        <w:t>(</w:t>
      </w:r>
      <w:r w:rsidRPr="00586085">
        <w:rPr>
          <w:rFonts w:ascii="Times New Roman" w:eastAsia="黑体" w:hAnsi="Times New Roman" w:cs="Times New Roman"/>
          <w:sz w:val="36"/>
          <w:szCs w:val="36"/>
        </w:rPr>
        <w:t>GB 20952—2020)</w:t>
      </w:r>
      <w:r w:rsidRPr="00586085">
        <w:rPr>
          <w:rFonts w:ascii="Times New Roman" w:eastAsia="黑体" w:hAnsi="Times New Roman" w:cs="Times New Roman" w:hint="eastAsia"/>
          <w:sz w:val="36"/>
          <w:szCs w:val="36"/>
        </w:rPr>
        <w:t>，加油油气回收管线液阻检测值应小于</w:t>
      </w:r>
      <w:r w:rsidRPr="00586085">
        <w:rPr>
          <w:rFonts w:ascii="Times New Roman" w:eastAsia="黑体" w:hAnsi="Times New Roman" w:cs="Times New Roman"/>
          <w:sz w:val="36"/>
          <w:szCs w:val="36"/>
        </w:rPr>
        <w:t>规定的最大压力限值</w:t>
      </w:r>
      <w:r w:rsidRPr="00586085">
        <w:rPr>
          <w:rFonts w:ascii="Times New Roman" w:eastAsia="黑体" w:hAnsi="Times New Roman" w:cs="Times New Roman" w:hint="eastAsia"/>
          <w:sz w:val="36"/>
          <w:szCs w:val="36"/>
        </w:rPr>
        <w:t>。</w:t>
      </w:r>
      <w:r w:rsidRPr="00586085">
        <w:rPr>
          <w:rFonts w:ascii="Times New Roman" w:eastAsia="黑体" w:hAnsi="Times New Roman" w:cs="Times New Roman"/>
          <w:sz w:val="36"/>
          <w:szCs w:val="36"/>
        </w:rPr>
        <w:t>各种加油油气回收系统的气液比均应在大于等于</w:t>
      </w:r>
      <w:r w:rsidRPr="00586085">
        <w:rPr>
          <w:rFonts w:ascii="Times New Roman" w:eastAsia="黑体" w:hAnsi="Times New Roman" w:cs="Times New Roman"/>
          <w:sz w:val="36"/>
          <w:szCs w:val="36"/>
        </w:rPr>
        <w:t xml:space="preserve"> 1.0 </w:t>
      </w:r>
      <w:r w:rsidRPr="00586085">
        <w:rPr>
          <w:rFonts w:ascii="Times New Roman" w:eastAsia="黑体" w:hAnsi="Times New Roman" w:cs="Times New Roman"/>
          <w:sz w:val="36"/>
          <w:szCs w:val="36"/>
        </w:rPr>
        <w:t>和小于等于</w:t>
      </w:r>
      <w:r w:rsidRPr="00586085">
        <w:rPr>
          <w:rFonts w:ascii="Times New Roman" w:eastAsia="黑体" w:hAnsi="Times New Roman" w:cs="Times New Roman"/>
          <w:sz w:val="36"/>
          <w:szCs w:val="36"/>
        </w:rPr>
        <w:t xml:space="preserve"> 1.2 </w:t>
      </w:r>
      <w:r w:rsidRPr="00586085">
        <w:rPr>
          <w:rFonts w:ascii="Times New Roman" w:eastAsia="黑体" w:hAnsi="Times New Roman" w:cs="Times New Roman"/>
          <w:sz w:val="36"/>
          <w:szCs w:val="36"/>
        </w:rPr>
        <w:t>范围内</w:t>
      </w:r>
      <w:r w:rsidRPr="00586085">
        <w:rPr>
          <w:rFonts w:ascii="Times New Roman" w:eastAsia="黑体" w:hAnsi="Times New Roman" w:cs="Times New Roman" w:hint="eastAsia"/>
          <w:sz w:val="36"/>
          <w:szCs w:val="36"/>
        </w:rPr>
        <w:t>。</w:t>
      </w:r>
      <w:r w:rsidRPr="00586085">
        <w:rPr>
          <w:rFonts w:ascii="Times New Roman" w:eastAsia="黑体" w:hAnsi="Times New Roman" w:cs="Times New Roman"/>
          <w:sz w:val="36"/>
          <w:szCs w:val="36"/>
        </w:rPr>
        <w:t>油气处理装置的油气排放浓度</w:t>
      </w:r>
      <w:r w:rsidRPr="00586085">
        <w:rPr>
          <w:rFonts w:ascii="Times New Roman" w:eastAsia="黑体" w:hAnsi="Times New Roman" w:cs="Times New Roman"/>
          <w:sz w:val="36"/>
          <w:szCs w:val="36"/>
        </w:rPr>
        <w:t xml:space="preserve"> 1 </w:t>
      </w:r>
      <w:r w:rsidRPr="00586085">
        <w:rPr>
          <w:rFonts w:ascii="Times New Roman" w:eastAsia="黑体" w:hAnsi="Times New Roman" w:cs="Times New Roman"/>
          <w:sz w:val="36"/>
          <w:szCs w:val="36"/>
        </w:rPr>
        <w:t>小时平均浓度值应小于等于</w:t>
      </w:r>
      <w:r w:rsidRPr="00586085">
        <w:rPr>
          <w:rFonts w:ascii="Times New Roman" w:eastAsia="黑体" w:hAnsi="Times New Roman" w:cs="Times New Roman"/>
          <w:sz w:val="36"/>
          <w:szCs w:val="36"/>
        </w:rPr>
        <w:t xml:space="preserve"> 25g/m3</w:t>
      </w:r>
      <w:r w:rsidRPr="00586085">
        <w:rPr>
          <w:rFonts w:ascii="Times New Roman" w:eastAsia="黑体" w:hAnsi="Times New Roman" w:cs="Times New Roman"/>
          <w:sz w:val="36"/>
          <w:szCs w:val="36"/>
        </w:rPr>
        <w:t>。油气回收系统密闭性压力检测值应大于等于规定的最小剩余压力限值</w:t>
      </w:r>
      <w:r w:rsidRPr="00586085">
        <w:rPr>
          <w:rFonts w:ascii="Times New Roman" w:eastAsia="黑体" w:hAnsi="Times New Roman" w:cs="Times New Roman" w:hint="eastAsia"/>
          <w:sz w:val="36"/>
          <w:szCs w:val="36"/>
        </w:rPr>
        <w:t>。加油站企业边界油气浓度无组织排放限值应满足</w:t>
      </w:r>
      <w:r w:rsidRPr="00586085">
        <w:rPr>
          <w:rFonts w:ascii="Times New Roman" w:eastAsia="黑体" w:hAnsi="Times New Roman" w:cs="Times New Roman"/>
          <w:sz w:val="36"/>
          <w:szCs w:val="36"/>
        </w:rPr>
        <w:t>要求</w:t>
      </w:r>
      <w:r>
        <w:rPr>
          <w:rFonts w:ascii="Times New Roman" w:eastAsia="黑体" w:hAnsi="Times New Roman" w:cs="Times New Roman" w:hint="eastAsia"/>
          <w:sz w:val="36"/>
          <w:szCs w:val="36"/>
        </w:rPr>
        <w:t>。</w:t>
      </w:r>
    </w:p>
    <w:p w14:paraId="1794475A" w14:textId="726589AC" w:rsidR="001671A8" w:rsidRPr="00CF3D18" w:rsidRDefault="00586085" w:rsidP="00CF3D18">
      <w:pPr>
        <w:spacing w:line="560" w:lineRule="exact"/>
        <w:ind w:firstLineChars="200" w:firstLine="720"/>
        <w:jc w:val="center"/>
        <w:rPr>
          <w:rFonts w:ascii="Times New Roman" w:hAnsi="Times New Roman" w:cs="Times New Roman"/>
          <w:b/>
          <w:bCs/>
          <w:color w:val="4472C4" w:themeColor="accent1"/>
          <w:sz w:val="36"/>
          <w:szCs w:val="36"/>
        </w:rPr>
      </w:pPr>
      <w:r w:rsidRPr="00CF3D18">
        <w:rPr>
          <w:rFonts w:ascii="Times New Roman" w:hAnsi="Times New Roman" w:cs="Times New Roman" w:hint="eastAsia"/>
          <w:b/>
          <w:bCs/>
          <w:color w:val="4472C4" w:themeColor="accent1"/>
          <w:sz w:val="36"/>
          <w:szCs w:val="36"/>
        </w:rPr>
        <w:t>加油站油气回收管线液阻最大压力限值</w:t>
      </w:r>
    </w:p>
    <w:tbl>
      <w:tblPr>
        <w:tblW w:w="8354" w:type="dxa"/>
        <w:tblLook w:val="04A0" w:firstRow="1" w:lastRow="0" w:firstColumn="1" w:lastColumn="0" w:noHBand="0" w:noVBand="1"/>
      </w:tblPr>
      <w:tblGrid>
        <w:gridCol w:w="3392"/>
        <w:gridCol w:w="4962"/>
      </w:tblGrid>
      <w:tr w:rsidR="00586085" w:rsidRPr="00586085" w14:paraId="1505E187" w14:textId="77777777" w:rsidTr="00586085">
        <w:trPr>
          <w:trHeight w:val="765"/>
        </w:trPr>
        <w:tc>
          <w:tcPr>
            <w:tcW w:w="3392" w:type="dxa"/>
            <w:tcBorders>
              <w:top w:val="single" w:sz="8" w:space="0" w:color="FFFFFF"/>
              <w:left w:val="single" w:sz="8" w:space="0" w:color="FFFFFF"/>
              <w:bottom w:val="single" w:sz="12" w:space="0" w:color="FFFFFF"/>
              <w:right w:val="single" w:sz="8" w:space="0" w:color="FFFFFF"/>
            </w:tcBorders>
            <w:shd w:val="clear" w:color="000000" w:fill="4472C4"/>
            <w:vAlign w:val="center"/>
            <w:hideMark/>
          </w:tcPr>
          <w:p w14:paraId="78FE347B" w14:textId="77777777" w:rsidR="00586085" w:rsidRPr="00586085" w:rsidRDefault="00586085" w:rsidP="00586085">
            <w:pPr>
              <w:widowControl/>
              <w:jc w:val="center"/>
              <w:rPr>
                <w:rFonts w:ascii="黑体" w:eastAsia="黑体" w:hAnsi="黑体" w:cs="宋体"/>
                <w:color w:val="FFFFFF"/>
                <w:kern w:val="0"/>
                <w:sz w:val="28"/>
                <w:szCs w:val="28"/>
              </w:rPr>
            </w:pPr>
            <w:r w:rsidRPr="00586085">
              <w:rPr>
                <w:rFonts w:ascii="黑体" w:eastAsia="黑体" w:hAnsi="黑体" w:cs="宋体" w:hint="eastAsia"/>
                <w:color w:val="FFFFFF"/>
                <w:kern w:val="0"/>
                <w:sz w:val="28"/>
                <w:szCs w:val="28"/>
              </w:rPr>
              <w:t>通入氮气流量/（L/min）</w:t>
            </w:r>
          </w:p>
        </w:tc>
        <w:tc>
          <w:tcPr>
            <w:tcW w:w="4962" w:type="dxa"/>
            <w:tcBorders>
              <w:top w:val="single" w:sz="8" w:space="0" w:color="FFFFFF"/>
              <w:left w:val="nil"/>
              <w:bottom w:val="single" w:sz="12" w:space="0" w:color="FFFFFF"/>
              <w:right w:val="single" w:sz="8" w:space="0" w:color="FFFFFF"/>
            </w:tcBorders>
            <w:shd w:val="clear" w:color="000000" w:fill="4472C4"/>
            <w:vAlign w:val="center"/>
            <w:hideMark/>
          </w:tcPr>
          <w:p w14:paraId="4B303FA1" w14:textId="77777777" w:rsidR="00586085" w:rsidRPr="00586085" w:rsidRDefault="00586085" w:rsidP="00586085">
            <w:pPr>
              <w:widowControl/>
              <w:jc w:val="center"/>
              <w:rPr>
                <w:rFonts w:ascii="黑体" w:eastAsia="黑体" w:hAnsi="黑体" w:cs="宋体"/>
                <w:color w:val="FFFFFF"/>
                <w:kern w:val="0"/>
                <w:sz w:val="28"/>
                <w:szCs w:val="28"/>
              </w:rPr>
            </w:pPr>
            <w:r w:rsidRPr="00586085">
              <w:rPr>
                <w:rFonts w:ascii="黑体" w:eastAsia="黑体" w:hAnsi="黑体" w:cs="宋体" w:hint="eastAsia"/>
                <w:color w:val="FFFFFF"/>
                <w:kern w:val="0"/>
                <w:sz w:val="28"/>
                <w:szCs w:val="28"/>
              </w:rPr>
              <w:t>最大压力/Pa</w:t>
            </w:r>
          </w:p>
        </w:tc>
      </w:tr>
      <w:tr w:rsidR="00586085" w:rsidRPr="00586085" w14:paraId="6921B998" w14:textId="77777777" w:rsidTr="00586085">
        <w:trPr>
          <w:trHeight w:val="405"/>
        </w:trPr>
        <w:tc>
          <w:tcPr>
            <w:tcW w:w="3392" w:type="dxa"/>
            <w:tcBorders>
              <w:top w:val="single" w:sz="8" w:space="0" w:color="FFFFFF"/>
              <w:left w:val="single" w:sz="8" w:space="0" w:color="FFFFFF"/>
              <w:bottom w:val="single" w:sz="8" w:space="0" w:color="FFFFFF"/>
              <w:right w:val="single" w:sz="8" w:space="0" w:color="FFFFFF"/>
            </w:tcBorders>
            <w:shd w:val="clear" w:color="000000" w:fill="E9EBF5"/>
            <w:vAlign w:val="center"/>
            <w:hideMark/>
          </w:tcPr>
          <w:p w14:paraId="1DA9A9F3" w14:textId="77777777" w:rsidR="00586085" w:rsidRPr="00586085" w:rsidRDefault="00586085" w:rsidP="00586085">
            <w:pPr>
              <w:widowControl/>
              <w:jc w:val="center"/>
              <w:rPr>
                <w:rFonts w:ascii="Times New Roman" w:eastAsia="等线" w:hAnsi="Times New Roman" w:cs="Times New Roman"/>
                <w:color w:val="000000"/>
                <w:kern w:val="0"/>
                <w:sz w:val="28"/>
                <w:szCs w:val="28"/>
              </w:rPr>
            </w:pPr>
            <w:r w:rsidRPr="00586085">
              <w:rPr>
                <w:rFonts w:ascii="Times New Roman" w:eastAsia="等线" w:hAnsi="Times New Roman" w:cs="Times New Roman"/>
                <w:color w:val="000000"/>
                <w:kern w:val="0"/>
                <w:sz w:val="28"/>
                <w:szCs w:val="28"/>
              </w:rPr>
              <w:t>18</w:t>
            </w:r>
          </w:p>
        </w:tc>
        <w:tc>
          <w:tcPr>
            <w:tcW w:w="4962" w:type="dxa"/>
            <w:tcBorders>
              <w:top w:val="single" w:sz="8" w:space="0" w:color="FFFFFF"/>
              <w:left w:val="nil"/>
              <w:bottom w:val="single" w:sz="8" w:space="0" w:color="FFFFFF"/>
              <w:right w:val="single" w:sz="8" w:space="0" w:color="FFFFFF"/>
            </w:tcBorders>
            <w:shd w:val="clear" w:color="000000" w:fill="E9EBF5"/>
            <w:vAlign w:val="center"/>
            <w:hideMark/>
          </w:tcPr>
          <w:p w14:paraId="10E981B5" w14:textId="77777777" w:rsidR="00586085" w:rsidRPr="00586085" w:rsidRDefault="00586085" w:rsidP="00586085">
            <w:pPr>
              <w:widowControl/>
              <w:jc w:val="center"/>
              <w:rPr>
                <w:rFonts w:ascii="Times New Roman" w:eastAsia="等线" w:hAnsi="Times New Roman" w:cs="Times New Roman"/>
                <w:color w:val="000000"/>
                <w:kern w:val="0"/>
                <w:sz w:val="28"/>
                <w:szCs w:val="28"/>
              </w:rPr>
            </w:pPr>
            <w:r w:rsidRPr="00586085">
              <w:rPr>
                <w:rFonts w:ascii="Times New Roman" w:eastAsia="等线" w:hAnsi="Times New Roman" w:cs="Times New Roman"/>
                <w:color w:val="000000"/>
                <w:kern w:val="0"/>
                <w:sz w:val="28"/>
                <w:szCs w:val="28"/>
              </w:rPr>
              <w:t>40</w:t>
            </w:r>
          </w:p>
        </w:tc>
      </w:tr>
      <w:tr w:rsidR="00586085" w:rsidRPr="00586085" w14:paraId="5667EE19" w14:textId="77777777" w:rsidTr="00586085">
        <w:trPr>
          <w:trHeight w:val="390"/>
        </w:trPr>
        <w:tc>
          <w:tcPr>
            <w:tcW w:w="3392" w:type="dxa"/>
            <w:tcBorders>
              <w:top w:val="nil"/>
              <w:left w:val="single" w:sz="8" w:space="0" w:color="FFFFFF"/>
              <w:bottom w:val="single" w:sz="8" w:space="0" w:color="FFFFFF"/>
              <w:right w:val="single" w:sz="8" w:space="0" w:color="FFFFFF"/>
            </w:tcBorders>
            <w:shd w:val="clear" w:color="000000" w:fill="E9EBF5"/>
            <w:vAlign w:val="center"/>
            <w:hideMark/>
          </w:tcPr>
          <w:p w14:paraId="4DD9E8F0" w14:textId="77777777" w:rsidR="00586085" w:rsidRPr="00586085" w:rsidRDefault="00586085" w:rsidP="00586085">
            <w:pPr>
              <w:widowControl/>
              <w:jc w:val="center"/>
              <w:rPr>
                <w:rFonts w:ascii="Times New Roman" w:eastAsia="等线" w:hAnsi="Times New Roman" w:cs="Times New Roman"/>
                <w:color w:val="000000"/>
                <w:kern w:val="0"/>
                <w:sz w:val="28"/>
                <w:szCs w:val="28"/>
              </w:rPr>
            </w:pPr>
            <w:r w:rsidRPr="00586085">
              <w:rPr>
                <w:rFonts w:ascii="Times New Roman" w:eastAsia="等线" w:hAnsi="Times New Roman" w:cs="Times New Roman"/>
                <w:color w:val="000000"/>
                <w:kern w:val="0"/>
                <w:sz w:val="28"/>
                <w:szCs w:val="28"/>
              </w:rPr>
              <w:t>28</w:t>
            </w:r>
          </w:p>
        </w:tc>
        <w:tc>
          <w:tcPr>
            <w:tcW w:w="4962" w:type="dxa"/>
            <w:tcBorders>
              <w:top w:val="nil"/>
              <w:left w:val="nil"/>
              <w:bottom w:val="single" w:sz="8" w:space="0" w:color="FFFFFF"/>
              <w:right w:val="single" w:sz="8" w:space="0" w:color="FFFFFF"/>
            </w:tcBorders>
            <w:shd w:val="clear" w:color="000000" w:fill="E9EBF5"/>
            <w:vAlign w:val="center"/>
            <w:hideMark/>
          </w:tcPr>
          <w:p w14:paraId="3BCA2E88" w14:textId="77777777" w:rsidR="00586085" w:rsidRPr="00586085" w:rsidRDefault="00586085" w:rsidP="00586085">
            <w:pPr>
              <w:widowControl/>
              <w:jc w:val="center"/>
              <w:rPr>
                <w:rFonts w:ascii="Times New Roman" w:eastAsia="等线" w:hAnsi="Times New Roman" w:cs="Times New Roman"/>
                <w:color w:val="000000"/>
                <w:kern w:val="0"/>
                <w:sz w:val="28"/>
                <w:szCs w:val="28"/>
              </w:rPr>
            </w:pPr>
            <w:r w:rsidRPr="00586085">
              <w:rPr>
                <w:rFonts w:ascii="Times New Roman" w:eastAsia="等线" w:hAnsi="Times New Roman" w:cs="Times New Roman"/>
                <w:color w:val="000000"/>
                <w:kern w:val="0"/>
                <w:sz w:val="28"/>
                <w:szCs w:val="28"/>
              </w:rPr>
              <w:t>90</w:t>
            </w:r>
          </w:p>
        </w:tc>
      </w:tr>
      <w:tr w:rsidR="00586085" w:rsidRPr="00586085" w14:paraId="7B160163" w14:textId="77777777" w:rsidTr="00586085">
        <w:trPr>
          <w:trHeight w:val="390"/>
        </w:trPr>
        <w:tc>
          <w:tcPr>
            <w:tcW w:w="3392" w:type="dxa"/>
            <w:tcBorders>
              <w:top w:val="nil"/>
              <w:left w:val="single" w:sz="8" w:space="0" w:color="FFFFFF"/>
              <w:bottom w:val="single" w:sz="8" w:space="0" w:color="FFFFFF"/>
              <w:right w:val="single" w:sz="8" w:space="0" w:color="FFFFFF"/>
            </w:tcBorders>
            <w:shd w:val="clear" w:color="000000" w:fill="E9EBF5"/>
            <w:vAlign w:val="center"/>
            <w:hideMark/>
          </w:tcPr>
          <w:p w14:paraId="6C2614FD" w14:textId="77777777" w:rsidR="00586085" w:rsidRPr="00586085" w:rsidRDefault="00586085" w:rsidP="00586085">
            <w:pPr>
              <w:widowControl/>
              <w:jc w:val="center"/>
              <w:rPr>
                <w:rFonts w:ascii="Times New Roman" w:eastAsia="等线" w:hAnsi="Times New Roman" w:cs="Times New Roman"/>
                <w:color w:val="000000"/>
                <w:kern w:val="0"/>
                <w:sz w:val="28"/>
                <w:szCs w:val="28"/>
              </w:rPr>
            </w:pPr>
            <w:r w:rsidRPr="00586085">
              <w:rPr>
                <w:rFonts w:ascii="Times New Roman" w:eastAsia="等线" w:hAnsi="Times New Roman" w:cs="Times New Roman"/>
                <w:color w:val="000000"/>
                <w:kern w:val="0"/>
                <w:sz w:val="28"/>
                <w:szCs w:val="28"/>
              </w:rPr>
              <w:t>38</w:t>
            </w:r>
          </w:p>
        </w:tc>
        <w:tc>
          <w:tcPr>
            <w:tcW w:w="4962" w:type="dxa"/>
            <w:tcBorders>
              <w:top w:val="nil"/>
              <w:left w:val="nil"/>
              <w:bottom w:val="single" w:sz="8" w:space="0" w:color="FFFFFF"/>
              <w:right w:val="single" w:sz="8" w:space="0" w:color="FFFFFF"/>
            </w:tcBorders>
            <w:shd w:val="clear" w:color="000000" w:fill="E9EBF5"/>
            <w:vAlign w:val="center"/>
            <w:hideMark/>
          </w:tcPr>
          <w:p w14:paraId="0C001AEF" w14:textId="77777777" w:rsidR="00586085" w:rsidRPr="00586085" w:rsidRDefault="00586085" w:rsidP="00586085">
            <w:pPr>
              <w:widowControl/>
              <w:jc w:val="center"/>
              <w:rPr>
                <w:rFonts w:ascii="Times New Roman" w:eastAsia="等线" w:hAnsi="Times New Roman" w:cs="Times New Roman"/>
                <w:color w:val="000000"/>
                <w:kern w:val="0"/>
                <w:sz w:val="28"/>
                <w:szCs w:val="28"/>
              </w:rPr>
            </w:pPr>
            <w:r w:rsidRPr="00586085">
              <w:rPr>
                <w:rFonts w:ascii="Times New Roman" w:eastAsia="等线" w:hAnsi="Times New Roman" w:cs="Times New Roman"/>
                <w:color w:val="000000"/>
                <w:kern w:val="0"/>
                <w:sz w:val="28"/>
                <w:szCs w:val="28"/>
              </w:rPr>
              <w:t>155</w:t>
            </w:r>
          </w:p>
        </w:tc>
      </w:tr>
    </w:tbl>
    <w:p w14:paraId="1EF02164" w14:textId="77777777" w:rsidR="00BC3B99" w:rsidRDefault="00BC3B99"/>
    <w:p w14:paraId="43EC5693" w14:textId="0DCC51A9" w:rsidR="00586085" w:rsidRPr="00CF3D18" w:rsidRDefault="00586085" w:rsidP="00CF3D18">
      <w:pPr>
        <w:spacing w:line="560" w:lineRule="exact"/>
        <w:ind w:firstLineChars="200" w:firstLine="720"/>
        <w:jc w:val="center"/>
        <w:rPr>
          <w:rFonts w:ascii="Times New Roman" w:hAnsi="Times New Roman" w:cs="Times New Roman"/>
          <w:b/>
          <w:bCs/>
          <w:color w:val="4472C4" w:themeColor="accent1"/>
          <w:sz w:val="36"/>
          <w:szCs w:val="36"/>
        </w:rPr>
      </w:pPr>
      <w:r w:rsidRPr="00CF3D18">
        <w:rPr>
          <w:rFonts w:ascii="Times New Roman" w:hAnsi="Times New Roman" w:cs="Times New Roman" w:hint="eastAsia"/>
          <w:b/>
          <w:bCs/>
          <w:color w:val="4472C4" w:themeColor="accent1"/>
          <w:sz w:val="36"/>
          <w:szCs w:val="36"/>
        </w:rPr>
        <w:t>油气浓度无组织排放限值</w:t>
      </w:r>
    </w:p>
    <w:tbl>
      <w:tblPr>
        <w:tblW w:w="8354" w:type="dxa"/>
        <w:tblLook w:val="04A0" w:firstRow="1" w:lastRow="0" w:firstColumn="1" w:lastColumn="0" w:noHBand="0" w:noVBand="1"/>
      </w:tblPr>
      <w:tblGrid>
        <w:gridCol w:w="1120"/>
        <w:gridCol w:w="820"/>
        <w:gridCol w:w="3080"/>
        <w:gridCol w:w="3334"/>
      </w:tblGrid>
      <w:tr w:rsidR="00586085" w:rsidRPr="00C4210E" w14:paraId="27D6C725" w14:textId="77777777" w:rsidTr="00586085">
        <w:trPr>
          <w:trHeight w:val="765"/>
        </w:trPr>
        <w:tc>
          <w:tcPr>
            <w:tcW w:w="1120" w:type="dxa"/>
            <w:tcBorders>
              <w:top w:val="single" w:sz="8" w:space="0" w:color="FFFFFF"/>
              <w:left w:val="single" w:sz="8" w:space="0" w:color="FFFFFF"/>
              <w:bottom w:val="single" w:sz="12" w:space="0" w:color="FFFFFF"/>
              <w:right w:val="single" w:sz="8" w:space="0" w:color="FFFFFF"/>
            </w:tcBorders>
            <w:shd w:val="clear" w:color="000000" w:fill="4472C4"/>
            <w:vAlign w:val="center"/>
            <w:hideMark/>
          </w:tcPr>
          <w:p w14:paraId="6828CD3D" w14:textId="77777777" w:rsidR="00586085" w:rsidRPr="00C4210E" w:rsidRDefault="00586085" w:rsidP="00586085">
            <w:pPr>
              <w:widowControl/>
              <w:jc w:val="center"/>
              <w:rPr>
                <w:rFonts w:ascii="Times New Roman" w:eastAsia="黑体" w:hAnsi="Times New Roman" w:cs="Times New Roman"/>
                <w:color w:val="FFFFFF"/>
                <w:kern w:val="0"/>
                <w:sz w:val="28"/>
                <w:szCs w:val="28"/>
              </w:rPr>
            </w:pPr>
            <w:r w:rsidRPr="00C4210E">
              <w:rPr>
                <w:rFonts w:ascii="Times New Roman" w:eastAsia="黑体" w:hAnsi="Times New Roman" w:cs="Times New Roman"/>
                <w:color w:val="FFFFFF"/>
                <w:kern w:val="0"/>
                <w:sz w:val="28"/>
                <w:szCs w:val="28"/>
              </w:rPr>
              <w:t>污染物项目</w:t>
            </w:r>
          </w:p>
        </w:tc>
        <w:tc>
          <w:tcPr>
            <w:tcW w:w="820" w:type="dxa"/>
            <w:tcBorders>
              <w:top w:val="single" w:sz="8" w:space="0" w:color="FFFFFF"/>
              <w:left w:val="nil"/>
              <w:bottom w:val="single" w:sz="12" w:space="0" w:color="FFFFFF"/>
              <w:right w:val="single" w:sz="8" w:space="0" w:color="FFFFFF"/>
            </w:tcBorders>
            <w:shd w:val="clear" w:color="000000" w:fill="4472C4"/>
            <w:vAlign w:val="center"/>
            <w:hideMark/>
          </w:tcPr>
          <w:p w14:paraId="00568697" w14:textId="77777777" w:rsidR="00586085" w:rsidRPr="00C4210E" w:rsidRDefault="00586085" w:rsidP="00586085">
            <w:pPr>
              <w:widowControl/>
              <w:jc w:val="center"/>
              <w:rPr>
                <w:rFonts w:ascii="Times New Roman" w:eastAsia="黑体" w:hAnsi="Times New Roman" w:cs="Times New Roman"/>
                <w:color w:val="FFFFFF"/>
                <w:kern w:val="0"/>
                <w:sz w:val="28"/>
                <w:szCs w:val="28"/>
              </w:rPr>
            </w:pPr>
            <w:r w:rsidRPr="00C4210E">
              <w:rPr>
                <w:rFonts w:ascii="Times New Roman" w:eastAsia="黑体" w:hAnsi="Times New Roman" w:cs="Times New Roman"/>
                <w:color w:val="FFFFFF"/>
                <w:kern w:val="0"/>
                <w:sz w:val="28"/>
                <w:szCs w:val="28"/>
              </w:rPr>
              <w:t>排放限值</w:t>
            </w:r>
          </w:p>
        </w:tc>
        <w:tc>
          <w:tcPr>
            <w:tcW w:w="3080" w:type="dxa"/>
            <w:tcBorders>
              <w:top w:val="single" w:sz="8" w:space="0" w:color="FFFFFF"/>
              <w:left w:val="nil"/>
              <w:bottom w:val="single" w:sz="12" w:space="0" w:color="FFFFFF"/>
              <w:right w:val="single" w:sz="8" w:space="0" w:color="FFFFFF"/>
            </w:tcBorders>
            <w:shd w:val="clear" w:color="000000" w:fill="4472C4"/>
            <w:vAlign w:val="center"/>
            <w:hideMark/>
          </w:tcPr>
          <w:p w14:paraId="1275F1C6" w14:textId="77777777" w:rsidR="00586085" w:rsidRPr="00C4210E" w:rsidRDefault="00586085" w:rsidP="00586085">
            <w:pPr>
              <w:widowControl/>
              <w:jc w:val="center"/>
              <w:rPr>
                <w:rFonts w:ascii="Times New Roman" w:eastAsia="黑体" w:hAnsi="Times New Roman" w:cs="Times New Roman"/>
                <w:color w:val="FFFFFF"/>
                <w:kern w:val="0"/>
                <w:sz w:val="28"/>
                <w:szCs w:val="28"/>
              </w:rPr>
            </w:pPr>
            <w:r w:rsidRPr="00C4210E">
              <w:rPr>
                <w:rFonts w:ascii="Times New Roman" w:eastAsia="黑体" w:hAnsi="Times New Roman" w:cs="Times New Roman"/>
                <w:color w:val="FFFFFF"/>
                <w:kern w:val="0"/>
                <w:sz w:val="28"/>
                <w:szCs w:val="28"/>
              </w:rPr>
              <w:t>限值含义</w:t>
            </w:r>
          </w:p>
        </w:tc>
        <w:tc>
          <w:tcPr>
            <w:tcW w:w="3334" w:type="dxa"/>
            <w:tcBorders>
              <w:top w:val="single" w:sz="8" w:space="0" w:color="FFFFFF"/>
              <w:left w:val="nil"/>
              <w:bottom w:val="single" w:sz="12" w:space="0" w:color="FFFFFF"/>
              <w:right w:val="single" w:sz="8" w:space="0" w:color="FFFFFF"/>
            </w:tcBorders>
            <w:shd w:val="clear" w:color="000000" w:fill="4472C4"/>
            <w:vAlign w:val="center"/>
            <w:hideMark/>
          </w:tcPr>
          <w:p w14:paraId="51C90522" w14:textId="77777777" w:rsidR="00586085" w:rsidRPr="00C4210E" w:rsidRDefault="00586085" w:rsidP="00586085">
            <w:pPr>
              <w:widowControl/>
              <w:jc w:val="center"/>
              <w:rPr>
                <w:rFonts w:ascii="Times New Roman" w:eastAsia="黑体" w:hAnsi="Times New Roman" w:cs="Times New Roman"/>
                <w:color w:val="FFFFFF"/>
                <w:kern w:val="0"/>
                <w:sz w:val="28"/>
                <w:szCs w:val="28"/>
              </w:rPr>
            </w:pPr>
            <w:r w:rsidRPr="00C4210E">
              <w:rPr>
                <w:rFonts w:ascii="Times New Roman" w:eastAsia="黑体" w:hAnsi="Times New Roman" w:cs="Times New Roman"/>
                <w:color w:val="FFFFFF"/>
                <w:kern w:val="0"/>
                <w:sz w:val="28"/>
                <w:szCs w:val="28"/>
              </w:rPr>
              <w:t>无组织排放监控位置</w:t>
            </w:r>
          </w:p>
        </w:tc>
      </w:tr>
      <w:tr w:rsidR="00586085" w:rsidRPr="00C4210E" w14:paraId="6DD86E49" w14:textId="77777777" w:rsidTr="00586085">
        <w:trPr>
          <w:trHeight w:val="780"/>
        </w:trPr>
        <w:tc>
          <w:tcPr>
            <w:tcW w:w="1120" w:type="dxa"/>
            <w:tcBorders>
              <w:top w:val="single" w:sz="8" w:space="0" w:color="FFFFFF"/>
              <w:left w:val="single" w:sz="8" w:space="0" w:color="FFFFFF"/>
              <w:bottom w:val="single" w:sz="8" w:space="0" w:color="FFFFFF"/>
              <w:right w:val="single" w:sz="8" w:space="0" w:color="FFFFFF"/>
            </w:tcBorders>
            <w:shd w:val="clear" w:color="000000" w:fill="E9EBF5"/>
            <w:vAlign w:val="center"/>
            <w:hideMark/>
          </w:tcPr>
          <w:p w14:paraId="75A2A1AB" w14:textId="77777777" w:rsidR="00586085" w:rsidRPr="00C4210E" w:rsidRDefault="00586085" w:rsidP="00586085">
            <w:pPr>
              <w:widowControl/>
              <w:jc w:val="center"/>
              <w:rPr>
                <w:rFonts w:ascii="Times New Roman" w:eastAsia="黑体" w:hAnsi="Times New Roman" w:cs="Times New Roman"/>
                <w:color w:val="000000"/>
                <w:kern w:val="0"/>
                <w:sz w:val="28"/>
                <w:szCs w:val="28"/>
              </w:rPr>
            </w:pPr>
            <w:r w:rsidRPr="00C4210E">
              <w:rPr>
                <w:rFonts w:ascii="Times New Roman" w:eastAsia="黑体" w:hAnsi="Times New Roman" w:cs="Times New Roman"/>
                <w:color w:val="000000"/>
                <w:kern w:val="0"/>
                <w:sz w:val="28"/>
                <w:szCs w:val="28"/>
              </w:rPr>
              <w:t>非甲烷总烃</w:t>
            </w:r>
          </w:p>
        </w:tc>
        <w:tc>
          <w:tcPr>
            <w:tcW w:w="820" w:type="dxa"/>
            <w:tcBorders>
              <w:top w:val="single" w:sz="8" w:space="0" w:color="FFFFFF"/>
              <w:left w:val="nil"/>
              <w:bottom w:val="single" w:sz="8" w:space="0" w:color="FFFFFF"/>
              <w:right w:val="single" w:sz="8" w:space="0" w:color="FFFFFF"/>
            </w:tcBorders>
            <w:shd w:val="clear" w:color="000000" w:fill="E9EBF5"/>
            <w:vAlign w:val="center"/>
            <w:hideMark/>
          </w:tcPr>
          <w:p w14:paraId="7B21050B" w14:textId="77777777" w:rsidR="00586085" w:rsidRPr="00C4210E" w:rsidRDefault="00586085" w:rsidP="00586085">
            <w:pPr>
              <w:widowControl/>
              <w:jc w:val="center"/>
              <w:rPr>
                <w:rFonts w:ascii="Times New Roman" w:eastAsia="黑体" w:hAnsi="Times New Roman" w:cs="Times New Roman"/>
                <w:color w:val="000000"/>
                <w:kern w:val="0"/>
                <w:sz w:val="28"/>
                <w:szCs w:val="28"/>
              </w:rPr>
            </w:pPr>
            <w:r w:rsidRPr="00C4210E">
              <w:rPr>
                <w:rFonts w:ascii="Times New Roman" w:eastAsia="黑体" w:hAnsi="Times New Roman" w:cs="Times New Roman"/>
                <w:color w:val="000000"/>
                <w:kern w:val="0"/>
                <w:sz w:val="28"/>
                <w:szCs w:val="28"/>
              </w:rPr>
              <w:t>4</w:t>
            </w:r>
          </w:p>
        </w:tc>
        <w:tc>
          <w:tcPr>
            <w:tcW w:w="3080" w:type="dxa"/>
            <w:tcBorders>
              <w:top w:val="single" w:sz="8" w:space="0" w:color="FFFFFF"/>
              <w:left w:val="nil"/>
              <w:bottom w:val="single" w:sz="8" w:space="0" w:color="FFFFFF"/>
              <w:right w:val="single" w:sz="8" w:space="0" w:color="FFFFFF"/>
            </w:tcBorders>
            <w:shd w:val="clear" w:color="000000" w:fill="E9EBF5"/>
            <w:vAlign w:val="center"/>
            <w:hideMark/>
          </w:tcPr>
          <w:p w14:paraId="3CCB74CD" w14:textId="77777777" w:rsidR="00586085" w:rsidRPr="00C4210E" w:rsidRDefault="00586085" w:rsidP="00586085">
            <w:pPr>
              <w:widowControl/>
              <w:jc w:val="center"/>
              <w:rPr>
                <w:rFonts w:ascii="Times New Roman" w:eastAsia="黑体" w:hAnsi="Times New Roman" w:cs="Times New Roman"/>
                <w:color w:val="000000"/>
                <w:kern w:val="0"/>
                <w:sz w:val="28"/>
                <w:szCs w:val="28"/>
              </w:rPr>
            </w:pPr>
            <w:r w:rsidRPr="00C4210E">
              <w:rPr>
                <w:rFonts w:ascii="Times New Roman" w:eastAsia="黑体" w:hAnsi="Times New Roman" w:cs="Times New Roman"/>
                <w:color w:val="000000"/>
                <w:kern w:val="0"/>
                <w:sz w:val="28"/>
                <w:szCs w:val="28"/>
              </w:rPr>
              <w:t>监控点处</w:t>
            </w:r>
            <w:r w:rsidRPr="00C4210E">
              <w:rPr>
                <w:rFonts w:ascii="Times New Roman" w:eastAsia="黑体" w:hAnsi="Times New Roman" w:cs="Times New Roman"/>
                <w:color w:val="000000"/>
                <w:kern w:val="0"/>
                <w:sz w:val="28"/>
                <w:szCs w:val="28"/>
              </w:rPr>
              <w:t xml:space="preserve"> 1 </w:t>
            </w:r>
            <w:r w:rsidRPr="00C4210E">
              <w:rPr>
                <w:rFonts w:ascii="Times New Roman" w:eastAsia="黑体" w:hAnsi="Times New Roman" w:cs="Times New Roman"/>
                <w:color w:val="000000"/>
                <w:kern w:val="0"/>
                <w:sz w:val="28"/>
                <w:szCs w:val="28"/>
              </w:rPr>
              <w:t>小时平均浓度值</w:t>
            </w:r>
          </w:p>
        </w:tc>
        <w:tc>
          <w:tcPr>
            <w:tcW w:w="3334" w:type="dxa"/>
            <w:tcBorders>
              <w:top w:val="single" w:sz="8" w:space="0" w:color="FFFFFF"/>
              <w:left w:val="nil"/>
              <w:bottom w:val="single" w:sz="8" w:space="0" w:color="FFFFFF"/>
              <w:right w:val="single" w:sz="8" w:space="0" w:color="FFFFFF"/>
            </w:tcBorders>
            <w:shd w:val="clear" w:color="000000" w:fill="E9EBF5"/>
            <w:vAlign w:val="center"/>
            <w:hideMark/>
          </w:tcPr>
          <w:p w14:paraId="644CB569" w14:textId="77777777" w:rsidR="00586085" w:rsidRPr="00C4210E" w:rsidRDefault="00586085" w:rsidP="00586085">
            <w:pPr>
              <w:widowControl/>
              <w:jc w:val="center"/>
              <w:rPr>
                <w:rFonts w:ascii="Times New Roman" w:eastAsia="黑体" w:hAnsi="Times New Roman" w:cs="Times New Roman"/>
                <w:color w:val="000000"/>
                <w:kern w:val="0"/>
                <w:sz w:val="28"/>
                <w:szCs w:val="28"/>
              </w:rPr>
            </w:pPr>
            <w:r w:rsidRPr="00C4210E">
              <w:rPr>
                <w:rFonts w:ascii="Times New Roman" w:eastAsia="黑体" w:hAnsi="Times New Roman" w:cs="Times New Roman"/>
                <w:color w:val="000000"/>
                <w:kern w:val="0"/>
                <w:sz w:val="28"/>
                <w:szCs w:val="28"/>
              </w:rPr>
              <w:t>参照</w:t>
            </w:r>
            <w:r w:rsidRPr="00C4210E">
              <w:rPr>
                <w:rFonts w:ascii="Times New Roman" w:eastAsia="黑体" w:hAnsi="Times New Roman" w:cs="Times New Roman"/>
                <w:color w:val="000000"/>
                <w:kern w:val="0"/>
                <w:sz w:val="28"/>
                <w:szCs w:val="28"/>
              </w:rPr>
              <w:t xml:space="preserve"> HJ/T 55 </w:t>
            </w:r>
            <w:r w:rsidRPr="00C4210E">
              <w:rPr>
                <w:rFonts w:ascii="Times New Roman" w:eastAsia="黑体" w:hAnsi="Times New Roman" w:cs="Times New Roman"/>
                <w:color w:val="000000"/>
                <w:kern w:val="0"/>
                <w:sz w:val="28"/>
                <w:szCs w:val="28"/>
              </w:rPr>
              <w:t>规定</w:t>
            </w:r>
          </w:p>
        </w:tc>
      </w:tr>
    </w:tbl>
    <w:p w14:paraId="1F4672E9" w14:textId="77777777" w:rsidR="00586085" w:rsidRDefault="00586085"/>
    <w:p w14:paraId="4D462133" w14:textId="77777777" w:rsidR="001671A8" w:rsidRDefault="001671A8">
      <w:pPr>
        <w:widowControl/>
        <w:jc w:val="left"/>
      </w:pPr>
      <w:r>
        <w:br w:type="page"/>
      </w:r>
    </w:p>
    <w:p w14:paraId="54F37B0F" w14:textId="16D09322" w:rsidR="00712D4A" w:rsidRPr="00B97EC2" w:rsidRDefault="00712D4A" w:rsidP="00712D4A">
      <w:pPr>
        <w:pStyle w:val="1"/>
      </w:pPr>
      <w:r w:rsidRPr="00BB5B02">
        <w:rPr>
          <w:rFonts w:hint="eastAsia"/>
        </w:rPr>
        <w:lastRenderedPageBreak/>
        <w:t>3</w:t>
      </w:r>
      <w:r w:rsidRPr="00BB5B02">
        <w:t>.</w:t>
      </w:r>
      <w:r>
        <w:t xml:space="preserve"> </w:t>
      </w:r>
      <w:r w:rsidR="00E709D1">
        <w:t xml:space="preserve"> </w:t>
      </w:r>
      <w:r w:rsidRPr="00B97EC2">
        <w:rPr>
          <w:rFonts w:hint="eastAsia"/>
        </w:rPr>
        <w:t>主要产排污环节</w:t>
      </w:r>
    </w:p>
    <w:p w14:paraId="72EDECF5" w14:textId="03530956" w:rsidR="00A329D3" w:rsidRPr="00304EB9" w:rsidRDefault="00853C4B" w:rsidP="00304EB9">
      <w:pPr>
        <w:ind w:firstLineChars="200" w:firstLine="720"/>
        <w:rPr>
          <w:rFonts w:ascii="Times New Roman" w:eastAsia="黑体" w:hAnsi="Times New Roman" w:cs="Times New Roman"/>
          <w:sz w:val="36"/>
          <w:szCs w:val="36"/>
        </w:rPr>
      </w:pPr>
      <w:r w:rsidRPr="00304EB9">
        <w:rPr>
          <w:rFonts w:ascii="Times New Roman" w:eastAsia="黑体" w:hAnsi="Times New Roman" w:cs="Times New Roman" w:hint="eastAsia"/>
          <w:sz w:val="36"/>
          <w:szCs w:val="36"/>
        </w:rPr>
        <w:t>加油站主要有</w:t>
      </w:r>
      <w:r w:rsidRPr="00304EB9">
        <w:rPr>
          <w:rFonts w:ascii="Times New Roman" w:eastAsia="黑体" w:hAnsi="Times New Roman" w:cs="Times New Roman"/>
          <w:sz w:val="36"/>
          <w:szCs w:val="36"/>
        </w:rPr>
        <w:t>5</w:t>
      </w:r>
      <w:r w:rsidRPr="00304EB9">
        <w:rPr>
          <w:rFonts w:ascii="Times New Roman" w:eastAsia="黑体" w:hAnsi="Times New Roman" w:cs="Times New Roman"/>
          <w:sz w:val="36"/>
          <w:szCs w:val="36"/>
        </w:rPr>
        <w:t>项作业环节涉及到</w:t>
      </w:r>
      <w:r w:rsidRPr="00304EB9">
        <w:rPr>
          <w:rFonts w:ascii="Times New Roman" w:eastAsia="黑体" w:hAnsi="Times New Roman" w:cs="Times New Roman"/>
          <w:sz w:val="36"/>
          <w:szCs w:val="36"/>
        </w:rPr>
        <w:t>VOCs</w:t>
      </w:r>
      <w:r w:rsidRPr="00304EB9">
        <w:rPr>
          <w:rFonts w:ascii="Times New Roman" w:eastAsia="黑体" w:hAnsi="Times New Roman" w:cs="Times New Roman"/>
          <w:sz w:val="36"/>
          <w:szCs w:val="36"/>
        </w:rPr>
        <w:t>排放，分别是油罐车卸油排放、加油过程排放、储油罐呼吸排放、加油枪滴油和胶管渗透。其中卸油排放和加油排放是加油站</w:t>
      </w:r>
      <w:r w:rsidRPr="00304EB9">
        <w:rPr>
          <w:rFonts w:ascii="Times New Roman" w:eastAsia="黑体" w:hAnsi="Times New Roman" w:cs="Times New Roman"/>
          <w:sz w:val="36"/>
          <w:szCs w:val="36"/>
        </w:rPr>
        <w:t>VOCs</w:t>
      </w:r>
      <w:r w:rsidRPr="00304EB9">
        <w:rPr>
          <w:rFonts w:ascii="Times New Roman" w:eastAsia="黑体" w:hAnsi="Times New Roman" w:cs="Times New Roman"/>
          <w:sz w:val="36"/>
          <w:szCs w:val="36"/>
        </w:rPr>
        <w:t>的主要排放环节，其次是储油罐呼吸排放。</w:t>
      </w:r>
    </w:p>
    <w:tbl>
      <w:tblPr>
        <w:tblW w:w="8312" w:type="dxa"/>
        <w:tblLook w:val="04A0" w:firstRow="1" w:lastRow="0" w:firstColumn="1" w:lastColumn="0" w:noHBand="0" w:noVBand="1"/>
      </w:tblPr>
      <w:tblGrid>
        <w:gridCol w:w="841"/>
        <w:gridCol w:w="1417"/>
        <w:gridCol w:w="6054"/>
      </w:tblGrid>
      <w:tr w:rsidR="00362642" w:rsidRPr="00C4210E" w14:paraId="2CC6677E" w14:textId="77777777" w:rsidTr="00362642">
        <w:trPr>
          <w:trHeight w:val="408"/>
        </w:trPr>
        <w:tc>
          <w:tcPr>
            <w:tcW w:w="841" w:type="dxa"/>
            <w:tcBorders>
              <w:top w:val="single" w:sz="8" w:space="0" w:color="FFFFFF"/>
              <w:left w:val="single" w:sz="8" w:space="0" w:color="FFFFFF"/>
              <w:bottom w:val="single" w:sz="12" w:space="0" w:color="FFFFFF"/>
              <w:right w:val="single" w:sz="8" w:space="0" w:color="FFFFFF"/>
            </w:tcBorders>
            <w:shd w:val="clear" w:color="000000" w:fill="4472C4"/>
            <w:vAlign w:val="center"/>
            <w:hideMark/>
          </w:tcPr>
          <w:p w14:paraId="0FA2DB72" w14:textId="77777777" w:rsidR="00362642" w:rsidRPr="00C4210E" w:rsidRDefault="00362642" w:rsidP="00362642">
            <w:pPr>
              <w:widowControl/>
              <w:jc w:val="center"/>
              <w:rPr>
                <w:rFonts w:ascii="Times New Roman" w:eastAsia="黑体" w:hAnsi="Times New Roman" w:cs="Times New Roman"/>
                <w:kern w:val="0"/>
                <w:sz w:val="28"/>
                <w:szCs w:val="28"/>
              </w:rPr>
            </w:pPr>
            <w:r w:rsidRPr="00C4210E">
              <w:rPr>
                <w:rFonts w:ascii="Times New Roman" w:eastAsia="黑体" w:hAnsi="Times New Roman" w:cs="Times New Roman"/>
                <w:color w:val="FFFFFF"/>
                <w:kern w:val="0"/>
                <w:sz w:val="28"/>
                <w:szCs w:val="28"/>
              </w:rPr>
              <w:t>序号</w:t>
            </w:r>
          </w:p>
        </w:tc>
        <w:tc>
          <w:tcPr>
            <w:tcW w:w="1417" w:type="dxa"/>
            <w:tcBorders>
              <w:top w:val="single" w:sz="8" w:space="0" w:color="FFFFFF"/>
              <w:left w:val="nil"/>
              <w:bottom w:val="single" w:sz="12" w:space="0" w:color="FFFFFF"/>
              <w:right w:val="single" w:sz="8" w:space="0" w:color="FFFFFF"/>
            </w:tcBorders>
            <w:shd w:val="clear" w:color="000000" w:fill="4472C4"/>
            <w:vAlign w:val="center"/>
            <w:hideMark/>
          </w:tcPr>
          <w:p w14:paraId="75C967EC" w14:textId="77777777" w:rsidR="00362642" w:rsidRPr="00C4210E" w:rsidRDefault="00362642" w:rsidP="00362642">
            <w:pPr>
              <w:widowControl/>
              <w:jc w:val="center"/>
              <w:rPr>
                <w:rFonts w:ascii="Times New Roman" w:eastAsia="黑体" w:hAnsi="Times New Roman" w:cs="Times New Roman"/>
                <w:color w:val="FFFFFF"/>
                <w:kern w:val="0"/>
                <w:sz w:val="28"/>
                <w:szCs w:val="28"/>
              </w:rPr>
            </w:pPr>
            <w:r w:rsidRPr="00C4210E">
              <w:rPr>
                <w:rFonts w:ascii="Times New Roman" w:eastAsia="黑体" w:hAnsi="Times New Roman" w:cs="Times New Roman"/>
                <w:color w:val="FFFFFF"/>
                <w:kern w:val="0"/>
                <w:sz w:val="28"/>
                <w:szCs w:val="28"/>
              </w:rPr>
              <w:t>产排环节</w:t>
            </w:r>
          </w:p>
        </w:tc>
        <w:tc>
          <w:tcPr>
            <w:tcW w:w="6054" w:type="dxa"/>
            <w:tcBorders>
              <w:top w:val="single" w:sz="8" w:space="0" w:color="FFFFFF"/>
              <w:left w:val="nil"/>
              <w:bottom w:val="single" w:sz="12" w:space="0" w:color="FFFFFF"/>
              <w:right w:val="single" w:sz="8" w:space="0" w:color="FFFFFF"/>
            </w:tcBorders>
            <w:shd w:val="clear" w:color="000000" w:fill="4472C4"/>
            <w:vAlign w:val="center"/>
            <w:hideMark/>
          </w:tcPr>
          <w:p w14:paraId="4AA4BBD3" w14:textId="77777777" w:rsidR="00362642" w:rsidRPr="00C4210E" w:rsidRDefault="00362642" w:rsidP="00362642">
            <w:pPr>
              <w:widowControl/>
              <w:jc w:val="center"/>
              <w:rPr>
                <w:rFonts w:ascii="Times New Roman" w:eastAsia="黑体" w:hAnsi="Times New Roman" w:cs="Times New Roman"/>
                <w:color w:val="FFFFFF"/>
                <w:kern w:val="0"/>
                <w:sz w:val="28"/>
                <w:szCs w:val="28"/>
              </w:rPr>
            </w:pPr>
            <w:r w:rsidRPr="00C4210E">
              <w:rPr>
                <w:rFonts w:ascii="Times New Roman" w:eastAsia="黑体" w:hAnsi="Times New Roman" w:cs="Times New Roman"/>
                <w:color w:val="FFFFFF"/>
                <w:kern w:val="0"/>
                <w:sz w:val="28"/>
                <w:szCs w:val="28"/>
              </w:rPr>
              <w:t>产排机制</w:t>
            </w:r>
          </w:p>
        </w:tc>
      </w:tr>
      <w:tr w:rsidR="00362642" w:rsidRPr="00C4210E" w14:paraId="00B27E92" w14:textId="77777777" w:rsidTr="00362642">
        <w:trPr>
          <w:trHeight w:val="816"/>
        </w:trPr>
        <w:tc>
          <w:tcPr>
            <w:tcW w:w="841" w:type="dxa"/>
            <w:tcBorders>
              <w:top w:val="single" w:sz="8" w:space="0" w:color="FFFFFF"/>
              <w:left w:val="single" w:sz="8" w:space="0" w:color="FFFFFF"/>
              <w:bottom w:val="single" w:sz="8" w:space="0" w:color="FFFFFF"/>
              <w:right w:val="single" w:sz="8" w:space="0" w:color="FFFFFF"/>
            </w:tcBorders>
            <w:shd w:val="clear" w:color="000000" w:fill="E9EBF5"/>
            <w:vAlign w:val="center"/>
            <w:hideMark/>
          </w:tcPr>
          <w:p w14:paraId="527D1E72" w14:textId="77777777" w:rsidR="00362642" w:rsidRPr="00C4210E" w:rsidRDefault="00362642" w:rsidP="00362642">
            <w:pPr>
              <w:widowControl/>
              <w:jc w:val="center"/>
              <w:rPr>
                <w:rFonts w:ascii="Times New Roman" w:eastAsia="黑体" w:hAnsi="Times New Roman" w:cs="Times New Roman"/>
                <w:color w:val="000000"/>
                <w:kern w:val="0"/>
                <w:sz w:val="28"/>
                <w:szCs w:val="28"/>
              </w:rPr>
            </w:pPr>
            <w:r w:rsidRPr="00C4210E">
              <w:rPr>
                <w:rFonts w:ascii="Times New Roman" w:eastAsia="黑体" w:hAnsi="Times New Roman" w:cs="Times New Roman"/>
                <w:color w:val="000000"/>
                <w:kern w:val="0"/>
                <w:sz w:val="28"/>
                <w:szCs w:val="28"/>
              </w:rPr>
              <w:t>1</w:t>
            </w:r>
          </w:p>
        </w:tc>
        <w:tc>
          <w:tcPr>
            <w:tcW w:w="1417" w:type="dxa"/>
            <w:tcBorders>
              <w:top w:val="single" w:sz="8" w:space="0" w:color="FFFFFF"/>
              <w:left w:val="nil"/>
              <w:bottom w:val="single" w:sz="8" w:space="0" w:color="FFFFFF"/>
              <w:right w:val="single" w:sz="8" w:space="0" w:color="FFFFFF"/>
            </w:tcBorders>
            <w:shd w:val="clear" w:color="000000" w:fill="E9EBF5"/>
            <w:vAlign w:val="center"/>
            <w:hideMark/>
          </w:tcPr>
          <w:p w14:paraId="2505D4CE" w14:textId="77777777" w:rsidR="00362642" w:rsidRPr="00C4210E" w:rsidRDefault="00362642" w:rsidP="00362642">
            <w:pPr>
              <w:widowControl/>
              <w:jc w:val="center"/>
              <w:rPr>
                <w:rFonts w:ascii="Times New Roman" w:eastAsia="黑体" w:hAnsi="Times New Roman" w:cs="Times New Roman"/>
                <w:color w:val="000000"/>
                <w:kern w:val="0"/>
                <w:sz w:val="28"/>
                <w:szCs w:val="28"/>
              </w:rPr>
            </w:pPr>
            <w:r w:rsidRPr="00C4210E">
              <w:rPr>
                <w:rFonts w:ascii="Times New Roman" w:eastAsia="黑体" w:hAnsi="Times New Roman" w:cs="Times New Roman"/>
                <w:color w:val="000000"/>
                <w:kern w:val="0"/>
                <w:sz w:val="28"/>
                <w:szCs w:val="28"/>
              </w:rPr>
              <w:t>卸油环节</w:t>
            </w:r>
          </w:p>
        </w:tc>
        <w:tc>
          <w:tcPr>
            <w:tcW w:w="6054" w:type="dxa"/>
            <w:tcBorders>
              <w:top w:val="single" w:sz="8" w:space="0" w:color="FFFFFF"/>
              <w:left w:val="nil"/>
              <w:bottom w:val="single" w:sz="8" w:space="0" w:color="FFFFFF"/>
              <w:right w:val="single" w:sz="8" w:space="0" w:color="FFFFFF"/>
            </w:tcBorders>
            <w:shd w:val="clear" w:color="000000" w:fill="E9EBF5"/>
            <w:vAlign w:val="center"/>
            <w:hideMark/>
          </w:tcPr>
          <w:p w14:paraId="6BC1B10F" w14:textId="739EE579" w:rsidR="00362642" w:rsidRPr="00C4210E" w:rsidRDefault="00362642" w:rsidP="00362642">
            <w:pPr>
              <w:widowControl/>
              <w:jc w:val="left"/>
              <w:rPr>
                <w:rFonts w:ascii="Times New Roman" w:eastAsia="黑体" w:hAnsi="Times New Roman" w:cs="Times New Roman"/>
                <w:color w:val="000000"/>
                <w:kern w:val="0"/>
                <w:sz w:val="28"/>
                <w:szCs w:val="28"/>
              </w:rPr>
            </w:pPr>
            <w:r w:rsidRPr="00C4210E">
              <w:rPr>
                <w:rFonts w:ascii="Times New Roman" w:eastAsia="黑体" w:hAnsi="Times New Roman" w:cs="Times New Roman"/>
                <w:color w:val="000000"/>
                <w:kern w:val="0"/>
                <w:sz w:val="28"/>
                <w:szCs w:val="28"/>
              </w:rPr>
              <w:t>在卸油环节，油罐车通过输油管线向地下储油罐内卸油，地下储油罐内的液面上升而形成正压，罐内的饱和油气通过排气管向大气中排出（大呼吸）。</w:t>
            </w:r>
          </w:p>
        </w:tc>
      </w:tr>
      <w:tr w:rsidR="00362642" w:rsidRPr="00C4210E" w14:paraId="3FF6473C" w14:textId="77777777" w:rsidTr="00362642">
        <w:trPr>
          <w:trHeight w:val="1586"/>
        </w:trPr>
        <w:tc>
          <w:tcPr>
            <w:tcW w:w="841" w:type="dxa"/>
            <w:tcBorders>
              <w:top w:val="nil"/>
              <w:left w:val="single" w:sz="8" w:space="0" w:color="FFFFFF"/>
              <w:bottom w:val="single" w:sz="8" w:space="0" w:color="FFFFFF"/>
              <w:right w:val="single" w:sz="8" w:space="0" w:color="FFFFFF"/>
            </w:tcBorders>
            <w:shd w:val="clear" w:color="000000" w:fill="E9EBF5"/>
            <w:vAlign w:val="center"/>
            <w:hideMark/>
          </w:tcPr>
          <w:p w14:paraId="5AAE4CBA" w14:textId="77777777" w:rsidR="00362642" w:rsidRPr="00C4210E" w:rsidRDefault="00362642" w:rsidP="00362642">
            <w:pPr>
              <w:widowControl/>
              <w:jc w:val="center"/>
              <w:rPr>
                <w:rFonts w:ascii="Times New Roman" w:eastAsia="黑体" w:hAnsi="Times New Roman" w:cs="Times New Roman"/>
                <w:color w:val="000000"/>
                <w:kern w:val="0"/>
                <w:sz w:val="28"/>
                <w:szCs w:val="28"/>
              </w:rPr>
            </w:pPr>
            <w:r w:rsidRPr="00C4210E">
              <w:rPr>
                <w:rFonts w:ascii="Times New Roman" w:eastAsia="黑体" w:hAnsi="Times New Roman" w:cs="Times New Roman"/>
                <w:color w:val="000000"/>
                <w:kern w:val="0"/>
                <w:sz w:val="28"/>
                <w:szCs w:val="28"/>
              </w:rPr>
              <w:t>2</w:t>
            </w:r>
          </w:p>
        </w:tc>
        <w:tc>
          <w:tcPr>
            <w:tcW w:w="1417" w:type="dxa"/>
            <w:tcBorders>
              <w:top w:val="nil"/>
              <w:left w:val="nil"/>
              <w:bottom w:val="single" w:sz="8" w:space="0" w:color="FFFFFF"/>
              <w:right w:val="single" w:sz="8" w:space="0" w:color="FFFFFF"/>
            </w:tcBorders>
            <w:shd w:val="clear" w:color="000000" w:fill="E9EBF5"/>
            <w:vAlign w:val="center"/>
            <w:hideMark/>
          </w:tcPr>
          <w:p w14:paraId="6BC2636B" w14:textId="77777777" w:rsidR="00362642" w:rsidRPr="00C4210E" w:rsidRDefault="00362642" w:rsidP="00362642">
            <w:pPr>
              <w:widowControl/>
              <w:jc w:val="center"/>
              <w:rPr>
                <w:rFonts w:ascii="Times New Roman" w:eastAsia="黑体" w:hAnsi="Times New Roman" w:cs="Times New Roman"/>
                <w:color w:val="000000"/>
                <w:kern w:val="0"/>
                <w:sz w:val="28"/>
                <w:szCs w:val="28"/>
              </w:rPr>
            </w:pPr>
            <w:r w:rsidRPr="00C4210E">
              <w:rPr>
                <w:rFonts w:ascii="Times New Roman" w:eastAsia="黑体" w:hAnsi="Times New Roman" w:cs="Times New Roman"/>
                <w:color w:val="000000"/>
                <w:kern w:val="0"/>
                <w:sz w:val="28"/>
                <w:szCs w:val="28"/>
              </w:rPr>
              <w:t>储存环节</w:t>
            </w:r>
          </w:p>
        </w:tc>
        <w:tc>
          <w:tcPr>
            <w:tcW w:w="6054" w:type="dxa"/>
            <w:tcBorders>
              <w:top w:val="nil"/>
              <w:left w:val="nil"/>
              <w:bottom w:val="single" w:sz="8" w:space="0" w:color="FFFFFF"/>
              <w:right w:val="single" w:sz="8" w:space="0" w:color="FFFFFF"/>
            </w:tcBorders>
            <w:shd w:val="clear" w:color="000000" w:fill="E9EBF5"/>
            <w:vAlign w:val="center"/>
            <w:hideMark/>
          </w:tcPr>
          <w:p w14:paraId="1B6D0219" w14:textId="6187F87C" w:rsidR="00362642" w:rsidRPr="00C4210E" w:rsidRDefault="00362642" w:rsidP="00362642">
            <w:pPr>
              <w:widowControl/>
              <w:jc w:val="left"/>
              <w:rPr>
                <w:rFonts w:ascii="Times New Roman" w:eastAsia="黑体" w:hAnsi="Times New Roman" w:cs="Times New Roman"/>
                <w:color w:val="000000"/>
                <w:kern w:val="0"/>
                <w:sz w:val="28"/>
                <w:szCs w:val="28"/>
              </w:rPr>
            </w:pPr>
            <w:r w:rsidRPr="00C4210E">
              <w:rPr>
                <w:rFonts w:ascii="Times New Roman" w:eastAsia="黑体" w:hAnsi="Times New Roman" w:cs="Times New Roman"/>
                <w:color w:val="000000"/>
                <w:kern w:val="0"/>
                <w:sz w:val="28"/>
                <w:szCs w:val="28"/>
              </w:rPr>
              <w:t>成品油在储油罐内静置储存过程中，储油罐温度昼夜有规律地变化，白天温度升高，热量使油气膨胀，压力升高，造成油气的挥发。晚间温度降低，罐内气体压力降低，吸入新鲜空气，为平衡蒸汽压，油气从液相中蒸发，直至油液面上的气体达到新的饱和蒸汽压，造成油气的挥发。上述过程昼夜交替进行，形成油气排放（小呼吸）。</w:t>
            </w:r>
          </w:p>
        </w:tc>
      </w:tr>
      <w:tr w:rsidR="00362642" w:rsidRPr="00C4210E" w14:paraId="5D47B7CE" w14:textId="77777777" w:rsidTr="00362642">
        <w:trPr>
          <w:trHeight w:val="801"/>
        </w:trPr>
        <w:tc>
          <w:tcPr>
            <w:tcW w:w="841" w:type="dxa"/>
            <w:tcBorders>
              <w:top w:val="nil"/>
              <w:left w:val="single" w:sz="8" w:space="0" w:color="FFFFFF"/>
              <w:bottom w:val="single" w:sz="8" w:space="0" w:color="FFFFFF"/>
              <w:right w:val="single" w:sz="8" w:space="0" w:color="FFFFFF"/>
            </w:tcBorders>
            <w:shd w:val="clear" w:color="000000" w:fill="E9EBF5"/>
            <w:vAlign w:val="center"/>
            <w:hideMark/>
          </w:tcPr>
          <w:p w14:paraId="66178D94" w14:textId="77777777" w:rsidR="00362642" w:rsidRPr="00C4210E" w:rsidRDefault="00362642" w:rsidP="00362642">
            <w:pPr>
              <w:widowControl/>
              <w:jc w:val="center"/>
              <w:rPr>
                <w:rFonts w:ascii="Times New Roman" w:eastAsia="黑体" w:hAnsi="Times New Roman" w:cs="Times New Roman"/>
                <w:color w:val="000000"/>
                <w:kern w:val="0"/>
                <w:sz w:val="28"/>
                <w:szCs w:val="28"/>
              </w:rPr>
            </w:pPr>
            <w:r w:rsidRPr="00C4210E">
              <w:rPr>
                <w:rFonts w:ascii="Times New Roman" w:eastAsia="黑体" w:hAnsi="Times New Roman" w:cs="Times New Roman"/>
                <w:color w:val="000000"/>
                <w:kern w:val="0"/>
                <w:sz w:val="28"/>
                <w:szCs w:val="28"/>
              </w:rPr>
              <w:t>3</w:t>
            </w:r>
          </w:p>
        </w:tc>
        <w:tc>
          <w:tcPr>
            <w:tcW w:w="1417" w:type="dxa"/>
            <w:tcBorders>
              <w:top w:val="nil"/>
              <w:left w:val="nil"/>
              <w:bottom w:val="single" w:sz="8" w:space="0" w:color="FFFFFF"/>
              <w:right w:val="single" w:sz="8" w:space="0" w:color="FFFFFF"/>
            </w:tcBorders>
            <w:shd w:val="clear" w:color="000000" w:fill="E9EBF5"/>
            <w:vAlign w:val="center"/>
            <w:hideMark/>
          </w:tcPr>
          <w:p w14:paraId="309F5D3B" w14:textId="77777777" w:rsidR="00362642" w:rsidRPr="00C4210E" w:rsidRDefault="00362642" w:rsidP="00362642">
            <w:pPr>
              <w:widowControl/>
              <w:jc w:val="center"/>
              <w:rPr>
                <w:rFonts w:ascii="Times New Roman" w:eastAsia="黑体" w:hAnsi="Times New Roman" w:cs="Times New Roman"/>
                <w:color w:val="000000"/>
                <w:kern w:val="0"/>
                <w:sz w:val="28"/>
                <w:szCs w:val="28"/>
              </w:rPr>
            </w:pPr>
            <w:r w:rsidRPr="00C4210E">
              <w:rPr>
                <w:rFonts w:ascii="Times New Roman" w:eastAsia="黑体" w:hAnsi="Times New Roman" w:cs="Times New Roman"/>
                <w:color w:val="000000"/>
                <w:kern w:val="0"/>
                <w:sz w:val="28"/>
                <w:szCs w:val="28"/>
              </w:rPr>
              <w:t>加油环节</w:t>
            </w:r>
          </w:p>
        </w:tc>
        <w:tc>
          <w:tcPr>
            <w:tcW w:w="6054" w:type="dxa"/>
            <w:tcBorders>
              <w:top w:val="nil"/>
              <w:left w:val="nil"/>
              <w:bottom w:val="single" w:sz="8" w:space="0" w:color="FFFFFF"/>
              <w:right w:val="single" w:sz="8" w:space="0" w:color="FFFFFF"/>
            </w:tcBorders>
            <w:shd w:val="clear" w:color="000000" w:fill="E9EBF5"/>
            <w:vAlign w:val="center"/>
            <w:hideMark/>
          </w:tcPr>
          <w:p w14:paraId="6CC85A93" w14:textId="1FF52B0D" w:rsidR="00362642" w:rsidRPr="00C4210E" w:rsidRDefault="00362642" w:rsidP="00362642">
            <w:pPr>
              <w:widowControl/>
              <w:jc w:val="left"/>
              <w:rPr>
                <w:rFonts w:ascii="Times New Roman" w:eastAsia="黑体" w:hAnsi="Times New Roman" w:cs="Times New Roman"/>
                <w:color w:val="000000"/>
                <w:kern w:val="0"/>
                <w:sz w:val="28"/>
                <w:szCs w:val="28"/>
              </w:rPr>
            </w:pPr>
            <w:r w:rsidRPr="00C4210E">
              <w:rPr>
                <w:rFonts w:ascii="Times New Roman" w:eastAsia="黑体" w:hAnsi="Times New Roman" w:cs="Times New Roman"/>
                <w:color w:val="000000"/>
                <w:kern w:val="0"/>
                <w:sz w:val="28"/>
                <w:szCs w:val="28"/>
              </w:rPr>
              <w:t>在加油环节，加油站在向汽车等耗油设备加油过程中，油箱内的饱和油气会因液态油占据了油箱内部空间而外溢到大气中。</w:t>
            </w:r>
          </w:p>
        </w:tc>
      </w:tr>
    </w:tbl>
    <w:p w14:paraId="5A50CC94" w14:textId="5AA94C14" w:rsidR="00712D4A" w:rsidRDefault="006E79EB" w:rsidP="00712D4A">
      <w:pPr>
        <w:pStyle w:val="1"/>
      </w:pPr>
      <w:r>
        <w:lastRenderedPageBreak/>
        <w:t>4</w:t>
      </w:r>
      <w:r w:rsidR="00712D4A" w:rsidRPr="00B97EC2">
        <w:t xml:space="preserve">. </w:t>
      </w:r>
      <w:r w:rsidR="00E709D1">
        <w:t xml:space="preserve"> </w:t>
      </w:r>
      <w:r w:rsidR="00712D4A" w:rsidRPr="00B97EC2">
        <w:rPr>
          <w:rFonts w:hint="eastAsia"/>
        </w:rPr>
        <w:t>生产过程管理</w:t>
      </w:r>
    </w:p>
    <w:p w14:paraId="726678E1" w14:textId="7E6DBCD8" w:rsidR="00E9245D" w:rsidRPr="00941264" w:rsidRDefault="00941264" w:rsidP="00941264">
      <w:pPr>
        <w:ind w:firstLineChars="200" w:firstLine="720"/>
        <w:rPr>
          <w:rFonts w:ascii="Times New Roman" w:eastAsia="黑体" w:hAnsi="Times New Roman" w:cs="Times New Roman"/>
          <w:sz w:val="36"/>
          <w:szCs w:val="36"/>
        </w:rPr>
      </w:pPr>
      <w:r w:rsidRPr="00941264">
        <w:rPr>
          <w:rFonts w:ascii="Times New Roman" w:eastAsia="黑体" w:hAnsi="Times New Roman" w:cs="Times New Roman" w:hint="eastAsia"/>
          <w:sz w:val="36"/>
          <w:szCs w:val="36"/>
        </w:rPr>
        <w:t>指定专人负责油气回收设施，对</w:t>
      </w:r>
      <w:r w:rsidRPr="00941264">
        <w:rPr>
          <w:rFonts w:ascii="Times New Roman" w:eastAsia="黑体" w:hAnsi="Times New Roman" w:cs="Times New Roman"/>
          <w:sz w:val="36"/>
          <w:szCs w:val="36"/>
        </w:rPr>
        <w:t xml:space="preserve">VOCs </w:t>
      </w:r>
      <w:r w:rsidRPr="00941264">
        <w:rPr>
          <w:rFonts w:ascii="Times New Roman" w:eastAsia="黑体" w:hAnsi="Times New Roman" w:cs="Times New Roman"/>
          <w:sz w:val="36"/>
          <w:szCs w:val="36"/>
        </w:rPr>
        <w:t>产生的主要环节</w:t>
      </w:r>
      <w:r w:rsidRPr="00941264">
        <w:rPr>
          <w:rFonts w:ascii="Times New Roman" w:eastAsia="黑体" w:hAnsi="Times New Roman" w:cs="Times New Roman" w:hint="eastAsia"/>
          <w:sz w:val="36"/>
          <w:szCs w:val="36"/>
        </w:rPr>
        <w:t>指定专人负责油气回收设施组织日常检查</w:t>
      </w:r>
      <w:r>
        <w:rPr>
          <w:rFonts w:ascii="Times New Roman" w:eastAsia="黑体" w:hAnsi="Times New Roman" w:cs="Times New Roman" w:hint="eastAsia"/>
          <w:sz w:val="36"/>
          <w:szCs w:val="36"/>
        </w:rPr>
        <w:t>。</w:t>
      </w:r>
    </w:p>
    <w:tbl>
      <w:tblPr>
        <w:tblW w:w="10632" w:type="dxa"/>
        <w:tblInd w:w="-1286" w:type="dxa"/>
        <w:tblLook w:val="04A0" w:firstRow="1" w:lastRow="0" w:firstColumn="1" w:lastColumn="0" w:noHBand="0" w:noVBand="1"/>
      </w:tblPr>
      <w:tblGrid>
        <w:gridCol w:w="1418"/>
        <w:gridCol w:w="9214"/>
      </w:tblGrid>
      <w:tr w:rsidR="00CF3D18" w:rsidRPr="00C4210E" w14:paraId="32877F47" w14:textId="77777777" w:rsidTr="00CF3D18">
        <w:trPr>
          <w:trHeight w:val="462"/>
        </w:trPr>
        <w:tc>
          <w:tcPr>
            <w:tcW w:w="1418" w:type="dxa"/>
            <w:tcBorders>
              <w:top w:val="single" w:sz="8" w:space="0" w:color="FFFFFF"/>
              <w:left w:val="single" w:sz="8" w:space="0" w:color="FFFFFF"/>
              <w:bottom w:val="single" w:sz="8" w:space="0" w:color="FFFFFF"/>
              <w:right w:val="single" w:sz="8" w:space="0" w:color="FFFFFF"/>
            </w:tcBorders>
            <w:shd w:val="clear" w:color="auto" w:fill="4472C4"/>
            <w:vAlign w:val="center"/>
          </w:tcPr>
          <w:p w14:paraId="5E9E291F" w14:textId="38DADBF1" w:rsidR="00CF3D18" w:rsidRPr="00C4210E" w:rsidRDefault="00CF3D18" w:rsidP="00CF3D18">
            <w:pPr>
              <w:widowControl/>
              <w:jc w:val="center"/>
              <w:rPr>
                <w:rFonts w:ascii="Times New Roman" w:eastAsia="黑体" w:hAnsi="Times New Roman" w:cs="Times New Roman"/>
                <w:color w:val="FFFFFF" w:themeColor="background1"/>
                <w:kern w:val="0"/>
                <w:sz w:val="28"/>
                <w:szCs w:val="28"/>
              </w:rPr>
            </w:pPr>
            <w:r w:rsidRPr="00C4210E">
              <w:rPr>
                <w:rFonts w:ascii="Times New Roman" w:eastAsia="黑体" w:hAnsi="Times New Roman" w:cs="Times New Roman"/>
                <w:color w:val="FFFFFF" w:themeColor="background1"/>
                <w:kern w:val="0"/>
                <w:sz w:val="28"/>
                <w:szCs w:val="28"/>
              </w:rPr>
              <w:t>环节</w:t>
            </w:r>
          </w:p>
        </w:tc>
        <w:tc>
          <w:tcPr>
            <w:tcW w:w="9214" w:type="dxa"/>
            <w:tcBorders>
              <w:top w:val="single" w:sz="8" w:space="0" w:color="FFFFFF"/>
              <w:left w:val="nil"/>
              <w:bottom w:val="single" w:sz="8" w:space="0" w:color="FFFFFF"/>
              <w:right w:val="single" w:sz="8" w:space="0" w:color="FFFFFF"/>
            </w:tcBorders>
            <w:shd w:val="clear" w:color="auto" w:fill="4472C4"/>
            <w:noWrap/>
            <w:vAlign w:val="center"/>
          </w:tcPr>
          <w:p w14:paraId="749C7D80" w14:textId="3205E0F1" w:rsidR="00CF3D18" w:rsidRPr="00C4210E" w:rsidRDefault="00CF3D18" w:rsidP="00CF3D18">
            <w:pPr>
              <w:widowControl/>
              <w:spacing w:line="560" w:lineRule="exact"/>
              <w:jc w:val="center"/>
              <w:rPr>
                <w:rFonts w:ascii="Times New Roman" w:eastAsia="黑体" w:hAnsi="Times New Roman" w:cs="Times New Roman"/>
                <w:color w:val="FFFFFF" w:themeColor="background1"/>
                <w:kern w:val="0"/>
                <w:sz w:val="28"/>
                <w:szCs w:val="28"/>
              </w:rPr>
            </w:pPr>
            <w:r w:rsidRPr="00C4210E">
              <w:rPr>
                <w:rFonts w:ascii="Times New Roman" w:eastAsia="黑体" w:hAnsi="Times New Roman" w:cs="Times New Roman"/>
                <w:color w:val="FFFFFF" w:themeColor="background1"/>
                <w:kern w:val="0"/>
                <w:sz w:val="28"/>
                <w:szCs w:val="28"/>
              </w:rPr>
              <w:t>管理措施</w:t>
            </w:r>
          </w:p>
        </w:tc>
      </w:tr>
      <w:tr w:rsidR="00212E15" w:rsidRPr="00C4210E" w14:paraId="0AD19B2D" w14:textId="77777777" w:rsidTr="00CF3D18">
        <w:trPr>
          <w:trHeight w:val="3220"/>
        </w:trPr>
        <w:tc>
          <w:tcPr>
            <w:tcW w:w="1418" w:type="dxa"/>
            <w:tcBorders>
              <w:top w:val="single" w:sz="8" w:space="0" w:color="FFFFFF"/>
              <w:left w:val="single" w:sz="8" w:space="0" w:color="FFFFFF"/>
              <w:bottom w:val="single" w:sz="8" w:space="0" w:color="FFFFFF"/>
              <w:right w:val="single" w:sz="8" w:space="0" w:color="FFFFFF"/>
            </w:tcBorders>
            <w:shd w:val="clear" w:color="000000" w:fill="E9EBF5"/>
            <w:vAlign w:val="center"/>
            <w:hideMark/>
          </w:tcPr>
          <w:p w14:paraId="199000EE" w14:textId="77777777" w:rsidR="00212E15" w:rsidRPr="00C4210E" w:rsidRDefault="00212E15" w:rsidP="00212E15">
            <w:pPr>
              <w:widowControl/>
              <w:jc w:val="center"/>
              <w:rPr>
                <w:rFonts w:ascii="Times New Roman" w:eastAsia="黑体" w:hAnsi="Times New Roman" w:cs="Times New Roman"/>
                <w:color w:val="000000"/>
                <w:kern w:val="0"/>
                <w:sz w:val="20"/>
                <w:szCs w:val="20"/>
              </w:rPr>
            </w:pPr>
            <w:r w:rsidRPr="00C4210E">
              <w:rPr>
                <w:rFonts w:ascii="Times New Roman" w:eastAsia="黑体" w:hAnsi="Times New Roman" w:cs="Times New Roman"/>
                <w:color w:val="000000"/>
                <w:kern w:val="0"/>
                <w:sz w:val="20"/>
                <w:szCs w:val="20"/>
              </w:rPr>
              <w:t>卸油环节</w:t>
            </w:r>
          </w:p>
        </w:tc>
        <w:tc>
          <w:tcPr>
            <w:tcW w:w="9214" w:type="dxa"/>
            <w:tcBorders>
              <w:top w:val="single" w:sz="8" w:space="0" w:color="FFFFFF"/>
              <w:left w:val="nil"/>
              <w:bottom w:val="single" w:sz="8" w:space="0" w:color="FFFFFF"/>
              <w:right w:val="single" w:sz="8" w:space="0" w:color="FFFFFF"/>
            </w:tcBorders>
            <w:shd w:val="clear" w:color="000000" w:fill="E9EBF5"/>
            <w:noWrap/>
            <w:vAlign w:val="center"/>
            <w:hideMark/>
          </w:tcPr>
          <w:p w14:paraId="2314680B" w14:textId="1769FA7B" w:rsidR="00E9245D" w:rsidRPr="00C4210E" w:rsidRDefault="00CF3D18" w:rsidP="009B42E0">
            <w:pPr>
              <w:widowControl/>
              <w:spacing w:line="560" w:lineRule="exact"/>
              <w:ind w:left="240" w:hangingChars="100" w:hanging="240"/>
              <w:jc w:val="left"/>
              <w:rPr>
                <w:rFonts w:ascii="Times New Roman" w:eastAsia="黑体" w:hAnsi="Times New Roman" w:cs="Times New Roman"/>
                <w:color w:val="000000"/>
                <w:kern w:val="0"/>
                <w:sz w:val="20"/>
                <w:szCs w:val="20"/>
              </w:rPr>
            </w:pPr>
            <w:r w:rsidRPr="00C4210E">
              <w:rPr>
                <w:rFonts w:ascii="Times New Roman" w:eastAsia="微软雅黑" w:hAnsi="Times New Roman" w:cs="Times New Roman"/>
                <w:color w:val="000000"/>
                <w:kern w:val="0"/>
                <w:sz w:val="24"/>
                <w:szCs w:val="24"/>
              </w:rPr>
              <w:t>•</w:t>
            </w:r>
            <w:r w:rsidRPr="00C4210E">
              <w:rPr>
                <w:rFonts w:ascii="Times New Roman" w:eastAsia="黑体" w:hAnsi="Times New Roman" w:cs="Times New Roman"/>
                <w:color w:val="000000"/>
                <w:kern w:val="0"/>
                <w:sz w:val="24"/>
                <w:szCs w:val="24"/>
              </w:rPr>
              <w:t xml:space="preserve"> </w:t>
            </w:r>
            <w:r w:rsidR="00212E15" w:rsidRPr="00C4210E">
              <w:rPr>
                <w:rFonts w:ascii="Times New Roman" w:eastAsia="黑体" w:hAnsi="Times New Roman" w:cs="Times New Roman"/>
                <w:color w:val="000000"/>
                <w:kern w:val="0"/>
                <w:sz w:val="20"/>
                <w:szCs w:val="20"/>
              </w:rPr>
              <w:t>卸油口和油气回收接口应安装截流阀（或密封式快速接头）和帽盖。连接软管应采用密封式快速接头与卸油车连接，卸油后连接软管内不能存留残油。所有油气管线排放口应设置压力</w:t>
            </w:r>
            <w:r w:rsidR="00212E15" w:rsidRPr="00C4210E">
              <w:rPr>
                <w:rFonts w:ascii="Times New Roman" w:eastAsia="黑体" w:hAnsi="Times New Roman" w:cs="Times New Roman"/>
                <w:color w:val="000000"/>
                <w:kern w:val="0"/>
                <w:sz w:val="20"/>
                <w:szCs w:val="20"/>
              </w:rPr>
              <w:t>/</w:t>
            </w:r>
            <w:r w:rsidR="00212E15" w:rsidRPr="00C4210E">
              <w:rPr>
                <w:rFonts w:ascii="Times New Roman" w:eastAsia="黑体" w:hAnsi="Times New Roman" w:cs="Times New Roman"/>
                <w:color w:val="000000"/>
                <w:kern w:val="0"/>
                <w:sz w:val="20"/>
                <w:szCs w:val="20"/>
              </w:rPr>
              <w:t>真空阀。</w:t>
            </w:r>
          </w:p>
          <w:p w14:paraId="373C80D8" w14:textId="57BB0085" w:rsidR="00E9245D" w:rsidRPr="00C4210E" w:rsidRDefault="00CF3D18" w:rsidP="009B42E0">
            <w:pPr>
              <w:widowControl/>
              <w:spacing w:line="560" w:lineRule="exact"/>
              <w:ind w:left="240" w:hangingChars="100" w:hanging="240"/>
              <w:jc w:val="left"/>
              <w:rPr>
                <w:rFonts w:ascii="Times New Roman" w:eastAsia="黑体" w:hAnsi="Times New Roman" w:cs="Times New Roman"/>
                <w:color w:val="000000"/>
                <w:kern w:val="0"/>
                <w:sz w:val="20"/>
                <w:szCs w:val="20"/>
              </w:rPr>
            </w:pPr>
            <w:r w:rsidRPr="00C4210E">
              <w:rPr>
                <w:rFonts w:ascii="Times New Roman" w:eastAsia="微软雅黑" w:hAnsi="Times New Roman" w:cs="Times New Roman"/>
                <w:color w:val="000000"/>
                <w:kern w:val="0"/>
                <w:sz w:val="24"/>
                <w:szCs w:val="24"/>
              </w:rPr>
              <w:t>•</w:t>
            </w:r>
            <w:r w:rsidRPr="00C4210E">
              <w:rPr>
                <w:rFonts w:ascii="Times New Roman" w:eastAsia="黑体" w:hAnsi="Times New Roman" w:cs="Times New Roman"/>
                <w:color w:val="000000"/>
                <w:kern w:val="0"/>
                <w:sz w:val="24"/>
                <w:szCs w:val="24"/>
              </w:rPr>
              <w:t xml:space="preserve"> </w:t>
            </w:r>
            <w:r w:rsidR="00212E15" w:rsidRPr="00C4210E">
              <w:rPr>
                <w:rFonts w:ascii="Times New Roman" w:eastAsia="黑体" w:hAnsi="Times New Roman" w:cs="Times New Roman"/>
                <w:color w:val="000000"/>
                <w:kern w:val="0"/>
                <w:sz w:val="20"/>
                <w:szCs w:val="20"/>
              </w:rPr>
              <w:t>卸油时应保证卸油油气回收系统密闭。卸油后应先关闭与卸油软管及油气回收软管相关的阀门，再断开卸油软管和油气回收软管，卸油软管和油气回收软管内应没有残油。</w:t>
            </w:r>
            <w:r w:rsidR="00212E15" w:rsidRPr="00C4210E">
              <w:rPr>
                <w:rFonts w:ascii="Times New Roman" w:eastAsia="黑体" w:hAnsi="Times New Roman" w:cs="Times New Roman"/>
                <w:color w:val="000000"/>
                <w:kern w:val="0"/>
                <w:sz w:val="20"/>
                <w:szCs w:val="20"/>
              </w:rPr>
              <w:t xml:space="preserve"> </w:t>
            </w:r>
          </w:p>
          <w:p w14:paraId="4480588B" w14:textId="3C0FE53A" w:rsidR="00212E15" w:rsidRPr="00C4210E" w:rsidRDefault="00CF3D18" w:rsidP="009B42E0">
            <w:pPr>
              <w:widowControl/>
              <w:spacing w:line="560" w:lineRule="exact"/>
              <w:ind w:left="240" w:hangingChars="100" w:hanging="240"/>
              <w:jc w:val="left"/>
              <w:rPr>
                <w:rFonts w:ascii="Times New Roman" w:eastAsia="黑体" w:hAnsi="Times New Roman" w:cs="Times New Roman"/>
                <w:color w:val="000000"/>
                <w:kern w:val="0"/>
                <w:sz w:val="20"/>
                <w:szCs w:val="20"/>
              </w:rPr>
            </w:pPr>
            <w:r w:rsidRPr="00C4210E">
              <w:rPr>
                <w:rFonts w:ascii="Times New Roman" w:eastAsia="微软雅黑" w:hAnsi="Times New Roman" w:cs="Times New Roman"/>
                <w:color w:val="000000"/>
                <w:kern w:val="0"/>
                <w:sz w:val="24"/>
                <w:szCs w:val="24"/>
              </w:rPr>
              <w:t>•</w:t>
            </w:r>
            <w:r w:rsidRPr="00C4210E">
              <w:rPr>
                <w:rFonts w:ascii="Times New Roman" w:eastAsia="黑体" w:hAnsi="Times New Roman" w:cs="Times New Roman"/>
                <w:color w:val="000000"/>
                <w:kern w:val="0"/>
                <w:sz w:val="24"/>
                <w:szCs w:val="24"/>
              </w:rPr>
              <w:t xml:space="preserve"> </w:t>
            </w:r>
            <w:r w:rsidR="00212E15" w:rsidRPr="00C4210E">
              <w:rPr>
                <w:rFonts w:ascii="Times New Roman" w:eastAsia="黑体" w:hAnsi="Times New Roman" w:cs="Times New Roman"/>
                <w:color w:val="000000"/>
                <w:kern w:val="0"/>
                <w:sz w:val="20"/>
                <w:szCs w:val="20"/>
              </w:rPr>
              <w:t>卸油全过程要在视频监控下进行，视频角度应能观测到两根管道的连接状况。卸油完毕后，应确保油气回收阀及卸油阀关严关实。</w:t>
            </w:r>
          </w:p>
        </w:tc>
      </w:tr>
      <w:tr w:rsidR="00212E15" w:rsidRPr="00C4210E" w14:paraId="0BAFFD12" w14:textId="77777777" w:rsidTr="00CF3D18">
        <w:trPr>
          <w:trHeight w:val="3679"/>
        </w:trPr>
        <w:tc>
          <w:tcPr>
            <w:tcW w:w="1418" w:type="dxa"/>
            <w:tcBorders>
              <w:top w:val="nil"/>
              <w:left w:val="single" w:sz="8" w:space="0" w:color="FFFFFF"/>
              <w:bottom w:val="single" w:sz="8" w:space="0" w:color="FFFFFF"/>
              <w:right w:val="single" w:sz="8" w:space="0" w:color="FFFFFF"/>
            </w:tcBorders>
            <w:shd w:val="clear" w:color="000000" w:fill="E9EBF5"/>
            <w:vAlign w:val="center"/>
            <w:hideMark/>
          </w:tcPr>
          <w:p w14:paraId="263AB62F" w14:textId="77777777" w:rsidR="00212E15" w:rsidRPr="00C4210E" w:rsidRDefault="00212E15" w:rsidP="00212E15">
            <w:pPr>
              <w:widowControl/>
              <w:jc w:val="center"/>
              <w:rPr>
                <w:rFonts w:ascii="Times New Roman" w:eastAsia="黑体" w:hAnsi="Times New Roman" w:cs="Times New Roman"/>
                <w:color w:val="000000"/>
                <w:kern w:val="0"/>
                <w:sz w:val="20"/>
                <w:szCs w:val="20"/>
              </w:rPr>
            </w:pPr>
            <w:r w:rsidRPr="00C4210E">
              <w:rPr>
                <w:rFonts w:ascii="Times New Roman" w:eastAsia="黑体" w:hAnsi="Times New Roman" w:cs="Times New Roman"/>
                <w:color w:val="000000"/>
                <w:kern w:val="0"/>
                <w:sz w:val="20"/>
                <w:szCs w:val="20"/>
              </w:rPr>
              <w:t>储存环节</w:t>
            </w:r>
          </w:p>
        </w:tc>
        <w:tc>
          <w:tcPr>
            <w:tcW w:w="9214" w:type="dxa"/>
            <w:tcBorders>
              <w:top w:val="nil"/>
              <w:left w:val="nil"/>
              <w:bottom w:val="single" w:sz="8" w:space="0" w:color="FFFFFF"/>
              <w:right w:val="single" w:sz="8" w:space="0" w:color="FFFFFF"/>
            </w:tcBorders>
            <w:shd w:val="clear" w:color="000000" w:fill="E9EBF5"/>
            <w:noWrap/>
            <w:vAlign w:val="center"/>
            <w:hideMark/>
          </w:tcPr>
          <w:p w14:paraId="0D95DA1B" w14:textId="48D9C606" w:rsidR="00E9245D" w:rsidRPr="00C4210E" w:rsidRDefault="00CF3D18" w:rsidP="009B42E0">
            <w:pPr>
              <w:widowControl/>
              <w:spacing w:line="560" w:lineRule="exact"/>
              <w:ind w:left="240" w:hangingChars="100" w:hanging="240"/>
              <w:jc w:val="left"/>
              <w:rPr>
                <w:rFonts w:ascii="Times New Roman" w:eastAsia="黑体" w:hAnsi="Times New Roman" w:cs="Times New Roman"/>
                <w:color w:val="000000"/>
                <w:kern w:val="0"/>
                <w:sz w:val="20"/>
                <w:szCs w:val="20"/>
              </w:rPr>
            </w:pPr>
            <w:r w:rsidRPr="00C4210E">
              <w:rPr>
                <w:rFonts w:ascii="Times New Roman" w:eastAsia="微软雅黑" w:hAnsi="Times New Roman" w:cs="Times New Roman"/>
                <w:color w:val="000000"/>
                <w:kern w:val="0"/>
                <w:sz w:val="24"/>
                <w:szCs w:val="24"/>
              </w:rPr>
              <w:t>•</w:t>
            </w:r>
            <w:r w:rsidRPr="00C4210E">
              <w:rPr>
                <w:rFonts w:ascii="Times New Roman" w:eastAsia="黑体" w:hAnsi="Times New Roman" w:cs="Times New Roman"/>
                <w:color w:val="000000"/>
                <w:kern w:val="0"/>
                <w:sz w:val="24"/>
                <w:szCs w:val="24"/>
              </w:rPr>
              <w:t xml:space="preserve"> </w:t>
            </w:r>
            <w:r w:rsidR="00212E15" w:rsidRPr="00C4210E">
              <w:rPr>
                <w:rFonts w:ascii="Times New Roman" w:eastAsia="黑体" w:hAnsi="Times New Roman" w:cs="Times New Roman"/>
                <w:color w:val="000000"/>
                <w:kern w:val="0"/>
                <w:sz w:val="20"/>
                <w:szCs w:val="20"/>
              </w:rPr>
              <w:t>埋地油罐应采用电子式液位计进行油气密闭测量，避免人工量油的情况，宜选择具有测漏功能的电子式液位测量系统。</w:t>
            </w:r>
            <w:r w:rsidR="00212E15" w:rsidRPr="00C4210E">
              <w:rPr>
                <w:rFonts w:ascii="Times New Roman" w:eastAsia="黑体" w:hAnsi="Times New Roman" w:cs="Times New Roman"/>
                <w:color w:val="000000"/>
                <w:kern w:val="0"/>
                <w:sz w:val="20"/>
                <w:szCs w:val="20"/>
              </w:rPr>
              <w:t xml:space="preserve"> </w:t>
            </w:r>
          </w:p>
          <w:p w14:paraId="318E5F89" w14:textId="658EB9DB" w:rsidR="00E9245D" w:rsidRPr="00C4210E" w:rsidRDefault="00CF3D18" w:rsidP="009B42E0">
            <w:pPr>
              <w:widowControl/>
              <w:spacing w:line="560" w:lineRule="exact"/>
              <w:ind w:left="240" w:hangingChars="100" w:hanging="240"/>
              <w:jc w:val="left"/>
              <w:rPr>
                <w:rFonts w:ascii="Times New Roman" w:eastAsia="黑体" w:hAnsi="Times New Roman" w:cs="Times New Roman"/>
                <w:color w:val="000000"/>
                <w:kern w:val="0"/>
                <w:sz w:val="20"/>
                <w:szCs w:val="20"/>
              </w:rPr>
            </w:pPr>
            <w:r w:rsidRPr="00C4210E">
              <w:rPr>
                <w:rFonts w:ascii="Times New Roman" w:eastAsia="微软雅黑" w:hAnsi="Times New Roman" w:cs="Times New Roman"/>
                <w:color w:val="000000"/>
                <w:kern w:val="0"/>
                <w:sz w:val="24"/>
                <w:szCs w:val="24"/>
              </w:rPr>
              <w:t>•</w:t>
            </w:r>
            <w:r w:rsidRPr="00C4210E">
              <w:rPr>
                <w:rFonts w:ascii="Times New Roman" w:eastAsia="黑体" w:hAnsi="Times New Roman" w:cs="Times New Roman"/>
                <w:color w:val="000000"/>
                <w:kern w:val="0"/>
                <w:sz w:val="24"/>
                <w:szCs w:val="24"/>
              </w:rPr>
              <w:t xml:space="preserve"> </w:t>
            </w:r>
            <w:r w:rsidR="00212E15" w:rsidRPr="00C4210E">
              <w:rPr>
                <w:rFonts w:ascii="Times New Roman" w:eastAsia="黑体" w:hAnsi="Times New Roman" w:cs="Times New Roman"/>
                <w:color w:val="000000"/>
                <w:kern w:val="0"/>
                <w:sz w:val="20"/>
                <w:szCs w:val="20"/>
              </w:rPr>
              <w:t>所有影响储油油气密闭性的部件，包括油气管线和所连接的法兰、阀门、快接头以及其他相关部件应保证不漏气。对于未安装后处理装置的加油站，应将顶部安装了真空</w:t>
            </w:r>
            <w:r w:rsidR="00212E15" w:rsidRPr="00C4210E">
              <w:rPr>
                <w:rFonts w:ascii="Times New Roman" w:eastAsia="黑体" w:hAnsi="Times New Roman" w:cs="Times New Roman"/>
                <w:color w:val="000000"/>
                <w:kern w:val="0"/>
                <w:sz w:val="20"/>
                <w:szCs w:val="20"/>
              </w:rPr>
              <w:t xml:space="preserve"> / </w:t>
            </w:r>
            <w:r w:rsidR="00212E15" w:rsidRPr="00C4210E">
              <w:rPr>
                <w:rFonts w:ascii="Times New Roman" w:eastAsia="黑体" w:hAnsi="Times New Roman" w:cs="Times New Roman"/>
                <w:color w:val="000000"/>
                <w:kern w:val="0"/>
                <w:sz w:val="20"/>
                <w:szCs w:val="20"/>
              </w:rPr>
              <w:t>压力阀（</w:t>
            </w:r>
            <w:r w:rsidR="00212E15" w:rsidRPr="00C4210E">
              <w:rPr>
                <w:rFonts w:ascii="Times New Roman" w:eastAsia="黑体" w:hAnsi="Times New Roman" w:cs="Times New Roman"/>
                <w:color w:val="000000"/>
                <w:kern w:val="0"/>
                <w:sz w:val="20"/>
                <w:szCs w:val="20"/>
              </w:rPr>
              <w:t xml:space="preserve">P/V </w:t>
            </w:r>
            <w:r w:rsidR="00212E15" w:rsidRPr="00C4210E">
              <w:rPr>
                <w:rFonts w:ascii="Times New Roman" w:eastAsia="黑体" w:hAnsi="Times New Roman" w:cs="Times New Roman"/>
                <w:color w:val="000000"/>
                <w:kern w:val="0"/>
                <w:sz w:val="20"/>
                <w:szCs w:val="20"/>
              </w:rPr>
              <w:t>阀）的油气排放管上的阀门保持常开，原顶部安装了防火罩的油气排放管</w:t>
            </w:r>
            <w:r w:rsidR="00212E15" w:rsidRPr="00C4210E">
              <w:rPr>
                <w:rFonts w:ascii="Times New Roman" w:eastAsia="黑体" w:hAnsi="Times New Roman" w:cs="Times New Roman"/>
                <w:color w:val="000000"/>
                <w:kern w:val="0"/>
                <w:sz w:val="20"/>
                <w:szCs w:val="20"/>
              </w:rPr>
              <w:t xml:space="preserve"> </w:t>
            </w:r>
            <w:r w:rsidR="00212E15" w:rsidRPr="00C4210E">
              <w:rPr>
                <w:rFonts w:ascii="Times New Roman" w:eastAsia="黑体" w:hAnsi="Times New Roman" w:cs="Times New Roman"/>
                <w:color w:val="000000"/>
                <w:kern w:val="0"/>
                <w:sz w:val="20"/>
                <w:szCs w:val="20"/>
              </w:rPr>
              <w:t>上的阀门应保持常闭</w:t>
            </w:r>
          </w:p>
          <w:p w14:paraId="356C02B0" w14:textId="4D5F230C" w:rsidR="00212E15" w:rsidRPr="00C4210E" w:rsidRDefault="00CF3D18" w:rsidP="009B42E0">
            <w:pPr>
              <w:widowControl/>
              <w:spacing w:line="560" w:lineRule="exact"/>
              <w:ind w:left="240" w:hangingChars="100" w:hanging="240"/>
              <w:jc w:val="left"/>
              <w:rPr>
                <w:rFonts w:ascii="Times New Roman" w:eastAsia="黑体" w:hAnsi="Times New Roman" w:cs="Times New Roman"/>
                <w:color w:val="000000"/>
                <w:kern w:val="0"/>
                <w:sz w:val="20"/>
                <w:szCs w:val="20"/>
              </w:rPr>
            </w:pPr>
            <w:r w:rsidRPr="00C4210E">
              <w:rPr>
                <w:rFonts w:ascii="Times New Roman" w:eastAsia="微软雅黑" w:hAnsi="Times New Roman" w:cs="Times New Roman"/>
                <w:color w:val="000000"/>
                <w:kern w:val="0"/>
                <w:sz w:val="24"/>
                <w:szCs w:val="24"/>
              </w:rPr>
              <w:t>•</w:t>
            </w:r>
            <w:r w:rsidRPr="00C4210E">
              <w:rPr>
                <w:rFonts w:ascii="Times New Roman" w:eastAsia="黑体" w:hAnsi="Times New Roman" w:cs="Times New Roman"/>
                <w:color w:val="000000"/>
                <w:kern w:val="0"/>
                <w:sz w:val="24"/>
                <w:szCs w:val="24"/>
              </w:rPr>
              <w:t xml:space="preserve"> </w:t>
            </w:r>
            <w:r w:rsidR="00212E15" w:rsidRPr="00C4210E">
              <w:rPr>
                <w:rFonts w:ascii="Times New Roman" w:eastAsia="黑体" w:hAnsi="Times New Roman" w:cs="Times New Roman"/>
                <w:color w:val="000000"/>
                <w:kern w:val="0"/>
                <w:sz w:val="20"/>
                <w:szCs w:val="20"/>
              </w:rPr>
              <w:t>对于安装油气回收处理设施的，原有真空</w:t>
            </w:r>
            <w:r w:rsidR="00212E15" w:rsidRPr="00C4210E">
              <w:rPr>
                <w:rFonts w:ascii="Times New Roman" w:eastAsia="黑体" w:hAnsi="Times New Roman" w:cs="Times New Roman"/>
                <w:color w:val="000000"/>
                <w:kern w:val="0"/>
                <w:sz w:val="20"/>
                <w:szCs w:val="20"/>
              </w:rPr>
              <w:t xml:space="preserve"> / </w:t>
            </w:r>
            <w:r w:rsidR="00212E15" w:rsidRPr="00C4210E">
              <w:rPr>
                <w:rFonts w:ascii="Times New Roman" w:eastAsia="黑体" w:hAnsi="Times New Roman" w:cs="Times New Roman"/>
                <w:color w:val="000000"/>
                <w:kern w:val="0"/>
                <w:sz w:val="20"/>
                <w:szCs w:val="20"/>
              </w:rPr>
              <w:t>压力阀（</w:t>
            </w:r>
            <w:r w:rsidR="00212E15" w:rsidRPr="00C4210E">
              <w:rPr>
                <w:rFonts w:ascii="Times New Roman" w:eastAsia="黑体" w:hAnsi="Times New Roman" w:cs="Times New Roman"/>
                <w:color w:val="000000"/>
                <w:kern w:val="0"/>
                <w:sz w:val="20"/>
                <w:szCs w:val="20"/>
              </w:rPr>
              <w:t xml:space="preserve">P/V </w:t>
            </w:r>
            <w:r w:rsidR="00212E15" w:rsidRPr="00C4210E">
              <w:rPr>
                <w:rFonts w:ascii="Times New Roman" w:eastAsia="黑体" w:hAnsi="Times New Roman" w:cs="Times New Roman"/>
                <w:color w:val="000000"/>
                <w:kern w:val="0"/>
                <w:sz w:val="20"/>
                <w:szCs w:val="20"/>
              </w:rPr>
              <w:t>阀）和防火罩的有油气排放管上的阀门均需保持关闭。</w:t>
            </w:r>
          </w:p>
        </w:tc>
      </w:tr>
      <w:tr w:rsidR="00212E15" w:rsidRPr="00C4210E" w14:paraId="610C4FB4" w14:textId="77777777" w:rsidTr="00CF3D18">
        <w:trPr>
          <w:trHeight w:val="3282"/>
        </w:trPr>
        <w:tc>
          <w:tcPr>
            <w:tcW w:w="1418" w:type="dxa"/>
            <w:tcBorders>
              <w:top w:val="nil"/>
              <w:left w:val="single" w:sz="8" w:space="0" w:color="FFFFFF"/>
              <w:bottom w:val="single" w:sz="8" w:space="0" w:color="FFFFFF"/>
              <w:right w:val="single" w:sz="8" w:space="0" w:color="FFFFFF"/>
            </w:tcBorders>
            <w:shd w:val="clear" w:color="000000" w:fill="E9EBF5"/>
            <w:vAlign w:val="center"/>
            <w:hideMark/>
          </w:tcPr>
          <w:p w14:paraId="798C5AED" w14:textId="77777777" w:rsidR="00212E15" w:rsidRPr="00C4210E" w:rsidRDefault="00212E15" w:rsidP="00212E15">
            <w:pPr>
              <w:widowControl/>
              <w:jc w:val="center"/>
              <w:rPr>
                <w:rFonts w:ascii="Times New Roman" w:eastAsia="黑体" w:hAnsi="Times New Roman" w:cs="Times New Roman"/>
                <w:color w:val="000000"/>
                <w:kern w:val="0"/>
                <w:sz w:val="20"/>
                <w:szCs w:val="20"/>
              </w:rPr>
            </w:pPr>
            <w:r w:rsidRPr="00C4210E">
              <w:rPr>
                <w:rFonts w:ascii="Times New Roman" w:eastAsia="黑体" w:hAnsi="Times New Roman" w:cs="Times New Roman"/>
                <w:color w:val="000000"/>
                <w:kern w:val="0"/>
                <w:sz w:val="20"/>
                <w:szCs w:val="20"/>
              </w:rPr>
              <w:t>加油环节</w:t>
            </w:r>
          </w:p>
        </w:tc>
        <w:tc>
          <w:tcPr>
            <w:tcW w:w="9214" w:type="dxa"/>
            <w:tcBorders>
              <w:top w:val="nil"/>
              <w:left w:val="nil"/>
              <w:bottom w:val="single" w:sz="8" w:space="0" w:color="FFFFFF"/>
              <w:right w:val="single" w:sz="8" w:space="0" w:color="FFFFFF"/>
            </w:tcBorders>
            <w:shd w:val="clear" w:color="000000" w:fill="E9EBF5"/>
            <w:noWrap/>
            <w:vAlign w:val="center"/>
            <w:hideMark/>
          </w:tcPr>
          <w:p w14:paraId="01DBF791" w14:textId="2F7CF30E" w:rsidR="00E9245D" w:rsidRPr="00C4210E" w:rsidRDefault="00CF3D18" w:rsidP="009B42E0">
            <w:pPr>
              <w:widowControl/>
              <w:spacing w:line="560" w:lineRule="exact"/>
              <w:ind w:left="240" w:hangingChars="100" w:hanging="240"/>
              <w:jc w:val="left"/>
              <w:rPr>
                <w:rFonts w:ascii="Times New Roman" w:eastAsia="黑体" w:hAnsi="Times New Roman" w:cs="Times New Roman"/>
                <w:color w:val="000000"/>
                <w:kern w:val="0"/>
                <w:sz w:val="20"/>
                <w:szCs w:val="20"/>
              </w:rPr>
            </w:pPr>
            <w:r w:rsidRPr="00C4210E">
              <w:rPr>
                <w:rFonts w:ascii="Times New Roman" w:eastAsia="微软雅黑" w:hAnsi="Times New Roman" w:cs="Times New Roman"/>
                <w:color w:val="000000"/>
                <w:kern w:val="0"/>
                <w:sz w:val="24"/>
                <w:szCs w:val="24"/>
              </w:rPr>
              <w:t>•</w:t>
            </w:r>
            <w:r w:rsidRPr="00C4210E">
              <w:rPr>
                <w:rFonts w:ascii="Times New Roman" w:eastAsia="黑体" w:hAnsi="Times New Roman" w:cs="Times New Roman"/>
                <w:color w:val="000000"/>
                <w:kern w:val="0"/>
                <w:sz w:val="24"/>
                <w:szCs w:val="24"/>
              </w:rPr>
              <w:t xml:space="preserve"> </w:t>
            </w:r>
            <w:r w:rsidR="00212E15" w:rsidRPr="00C4210E">
              <w:rPr>
                <w:rFonts w:ascii="Times New Roman" w:eastAsia="黑体" w:hAnsi="Times New Roman" w:cs="Times New Roman"/>
                <w:color w:val="000000"/>
                <w:kern w:val="0"/>
                <w:sz w:val="20"/>
                <w:szCs w:val="20"/>
              </w:rPr>
              <w:t>需使用油气回收型加油枪，有密封罩，且密封罩完好无损。应采用真空辅助方式密闭收集加油油气，加油时油气回收泵需正常工作。需将密封罩紧密贴在汽车油箱加油口进行加油作业。</w:t>
            </w:r>
            <w:r w:rsidRPr="00C4210E">
              <w:rPr>
                <w:rFonts w:ascii="Times New Roman" w:eastAsia="黑体" w:hAnsi="Times New Roman" w:cs="Times New Roman"/>
                <w:color w:val="000000"/>
                <w:kern w:val="0"/>
                <w:sz w:val="20"/>
                <w:szCs w:val="20"/>
              </w:rPr>
              <w:t xml:space="preserve"> </w:t>
            </w:r>
            <w:r w:rsidR="00212E15" w:rsidRPr="00C4210E">
              <w:rPr>
                <w:rFonts w:ascii="Times New Roman" w:eastAsia="黑体" w:hAnsi="Times New Roman" w:cs="Times New Roman"/>
                <w:color w:val="000000"/>
                <w:kern w:val="0"/>
                <w:sz w:val="20"/>
                <w:szCs w:val="20"/>
              </w:rPr>
              <w:t>当汽车油箱油面达到自动停止加油高度时，不应再向油箱内加油。应配备具有拉断截止阀的加油软管，加油时不得溢油、滴油。</w:t>
            </w:r>
          </w:p>
          <w:p w14:paraId="0FC54A19" w14:textId="55D05661" w:rsidR="00E9245D" w:rsidRPr="00C4210E" w:rsidRDefault="00CF3D18" w:rsidP="009B42E0">
            <w:pPr>
              <w:widowControl/>
              <w:spacing w:line="560" w:lineRule="exact"/>
              <w:ind w:left="240" w:hangingChars="100" w:hanging="240"/>
              <w:jc w:val="left"/>
              <w:rPr>
                <w:rFonts w:ascii="Times New Roman" w:eastAsia="黑体" w:hAnsi="Times New Roman" w:cs="Times New Roman"/>
                <w:color w:val="000000"/>
                <w:kern w:val="0"/>
                <w:sz w:val="20"/>
                <w:szCs w:val="20"/>
              </w:rPr>
            </w:pPr>
            <w:r w:rsidRPr="00C4210E">
              <w:rPr>
                <w:rFonts w:ascii="Times New Roman" w:eastAsia="微软雅黑" w:hAnsi="Times New Roman" w:cs="Times New Roman"/>
                <w:color w:val="000000"/>
                <w:kern w:val="0"/>
                <w:sz w:val="24"/>
                <w:szCs w:val="24"/>
              </w:rPr>
              <w:t>•</w:t>
            </w:r>
            <w:r w:rsidRPr="00C4210E">
              <w:rPr>
                <w:rFonts w:ascii="Times New Roman" w:eastAsia="黑体" w:hAnsi="Times New Roman" w:cs="Times New Roman"/>
                <w:color w:val="000000"/>
                <w:kern w:val="0"/>
                <w:sz w:val="24"/>
                <w:szCs w:val="24"/>
              </w:rPr>
              <w:t xml:space="preserve"> </w:t>
            </w:r>
            <w:r w:rsidR="00212E15" w:rsidRPr="00C4210E">
              <w:rPr>
                <w:rFonts w:ascii="Times New Roman" w:eastAsia="黑体" w:hAnsi="Times New Roman" w:cs="Times New Roman"/>
                <w:color w:val="000000"/>
                <w:kern w:val="0"/>
                <w:sz w:val="20"/>
                <w:szCs w:val="20"/>
              </w:rPr>
              <w:t>油气回收管线上的开关应常开，检测口开关应常闭。加油机内油气回收相关管路、接头不得有跑冒滴漏现象。油气回收检测口安装合理，有控制开关、堵头，周围空间方便检测操作。</w:t>
            </w:r>
          </w:p>
          <w:p w14:paraId="18892991" w14:textId="6041BCDD" w:rsidR="00212E15" w:rsidRPr="00C4210E" w:rsidRDefault="00CF3D18" w:rsidP="00212E15">
            <w:pPr>
              <w:widowControl/>
              <w:spacing w:line="560" w:lineRule="exact"/>
              <w:jc w:val="left"/>
              <w:rPr>
                <w:rFonts w:ascii="Times New Roman" w:eastAsia="黑体" w:hAnsi="Times New Roman" w:cs="Times New Roman"/>
                <w:color w:val="000000"/>
                <w:kern w:val="0"/>
                <w:sz w:val="20"/>
                <w:szCs w:val="20"/>
              </w:rPr>
            </w:pPr>
            <w:r w:rsidRPr="00C4210E">
              <w:rPr>
                <w:rFonts w:ascii="Times New Roman" w:eastAsia="微软雅黑" w:hAnsi="Times New Roman" w:cs="Times New Roman"/>
                <w:color w:val="000000"/>
                <w:kern w:val="0"/>
                <w:sz w:val="24"/>
                <w:szCs w:val="24"/>
              </w:rPr>
              <w:t>•</w:t>
            </w:r>
            <w:r w:rsidRPr="00C4210E">
              <w:rPr>
                <w:rFonts w:ascii="Times New Roman" w:eastAsia="黑体" w:hAnsi="Times New Roman" w:cs="Times New Roman"/>
                <w:color w:val="000000"/>
                <w:kern w:val="0"/>
                <w:sz w:val="24"/>
                <w:szCs w:val="24"/>
              </w:rPr>
              <w:t xml:space="preserve"> </w:t>
            </w:r>
            <w:r w:rsidR="00212E15" w:rsidRPr="00C4210E">
              <w:rPr>
                <w:rFonts w:ascii="Times New Roman" w:eastAsia="黑体" w:hAnsi="Times New Roman" w:cs="Times New Roman"/>
                <w:color w:val="000000"/>
                <w:kern w:val="0"/>
                <w:sz w:val="20"/>
                <w:szCs w:val="20"/>
              </w:rPr>
              <w:t>给摩托车加油时，应由加油枪直接为摩托车加油，禁止使用油壶或油桶等容器。</w:t>
            </w:r>
          </w:p>
        </w:tc>
      </w:tr>
    </w:tbl>
    <w:p w14:paraId="4F0CD631" w14:textId="3C5C6900" w:rsidR="00712D4A" w:rsidRDefault="001671A8" w:rsidP="00941264">
      <w:pPr>
        <w:pStyle w:val="1"/>
      </w:pPr>
      <w:r>
        <w:br w:type="page"/>
      </w:r>
      <w:r w:rsidR="006E79EB">
        <w:lastRenderedPageBreak/>
        <w:t>5</w:t>
      </w:r>
      <w:r w:rsidR="00712D4A" w:rsidRPr="00B97EC2">
        <w:t xml:space="preserve">.  </w:t>
      </w:r>
      <w:r w:rsidR="00712D4A" w:rsidRPr="00B97EC2">
        <w:rPr>
          <w:rFonts w:hint="eastAsia"/>
        </w:rPr>
        <w:t>末端治理</w:t>
      </w:r>
    </w:p>
    <w:p w14:paraId="7B09BC6C" w14:textId="008BE86A" w:rsidR="00CF3D18" w:rsidRPr="00941264" w:rsidRDefault="00941264" w:rsidP="00941264">
      <w:pPr>
        <w:ind w:firstLineChars="200" w:firstLine="720"/>
        <w:rPr>
          <w:rFonts w:ascii="Times New Roman" w:eastAsia="黑体" w:hAnsi="Times New Roman" w:cs="Times New Roman"/>
          <w:sz w:val="36"/>
          <w:szCs w:val="36"/>
        </w:rPr>
      </w:pPr>
      <w:r w:rsidRPr="00941264">
        <w:rPr>
          <w:rFonts w:ascii="Times New Roman" w:eastAsia="黑体" w:hAnsi="Times New Roman" w:cs="Times New Roman" w:hint="eastAsia"/>
          <w:sz w:val="36"/>
          <w:szCs w:val="36"/>
        </w:rPr>
        <w:t>首先应关注安全要求，选用本质安全或安全风险可控技术；尤其关注采用密闭空间收集、燃烧法去除等的收集治理方式，收集治理设施应符合行业各类安全设计规范，确保运行过程安全可靠。</w:t>
      </w:r>
    </w:p>
    <w:tbl>
      <w:tblPr>
        <w:tblW w:w="0" w:type="auto"/>
        <w:tblLook w:val="04A0" w:firstRow="1" w:lastRow="0" w:firstColumn="1" w:lastColumn="0" w:noHBand="0" w:noVBand="1"/>
      </w:tblPr>
      <w:tblGrid>
        <w:gridCol w:w="841"/>
        <w:gridCol w:w="1559"/>
        <w:gridCol w:w="1418"/>
        <w:gridCol w:w="4468"/>
      </w:tblGrid>
      <w:tr w:rsidR="00AD3CBB" w:rsidRPr="00C4210E" w14:paraId="35D6E166" w14:textId="77777777" w:rsidTr="00941264">
        <w:trPr>
          <w:trHeight w:val="1053"/>
        </w:trPr>
        <w:tc>
          <w:tcPr>
            <w:tcW w:w="841" w:type="dxa"/>
            <w:tcBorders>
              <w:top w:val="single" w:sz="8" w:space="0" w:color="FFFFFF"/>
              <w:left w:val="single" w:sz="8" w:space="0" w:color="FFFFFF"/>
              <w:bottom w:val="single" w:sz="12" w:space="0" w:color="FFFFFF"/>
              <w:right w:val="single" w:sz="8" w:space="0" w:color="FFFFFF"/>
            </w:tcBorders>
            <w:shd w:val="clear" w:color="000000" w:fill="4472C4"/>
            <w:vAlign w:val="center"/>
            <w:hideMark/>
          </w:tcPr>
          <w:p w14:paraId="70A2BBCB" w14:textId="77777777" w:rsidR="00AD3CBB" w:rsidRPr="00C4210E" w:rsidRDefault="00AD3CBB" w:rsidP="00AD3CBB">
            <w:pPr>
              <w:widowControl/>
              <w:jc w:val="center"/>
              <w:rPr>
                <w:rFonts w:ascii="Times New Roman" w:eastAsia="黑体" w:hAnsi="Times New Roman" w:cs="Times New Roman"/>
                <w:color w:val="FFFFFF"/>
                <w:kern w:val="0"/>
                <w:sz w:val="28"/>
                <w:szCs w:val="28"/>
              </w:rPr>
            </w:pPr>
            <w:r w:rsidRPr="00C4210E">
              <w:rPr>
                <w:rFonts w:ascii="Times New Roman" w:eastAsia="黑体" w:hAnsi="Times New Roman" w:cs="Times New Roman"/>
                <w:color w:val="FFFFFF"/>
                <w:kern w:val="0"/>
                <w:sz w:val="28"/>
                <w:szCs w:val="28"/>
              </w:rPr>
              <w:t>行业类别</w:t>
            </w:r>
          </w:p>
        </w:tc>
        <w:tc>
          <w:tcPr>
            <w:tcW w:w="1559" w:type="dxa"/>
            <w:tcBorders>
              <w:top w:val="single" w:sz="8" w:space="0" w:color="FFFFFF"/>
              <w:left w:val="nil"/>
              <w:bottom w:val="single" w:sz="12" w:space="0" w:color="FFFFFF"/>
              <w:right w:val="single" w:sz="8" w:space="0" w:color="FFFFFF"/>
            </w:tcBorders>
            <w:shd w:val="clear" w:color="000000" w:fill="4472C4"/>
            <w:vAlign w:val="center"/>
            <w:hideMark/>
          </w:tcPr>
          <w:p w14:paraId="2E0B59E7" w14:textId="77777777" w:rsidR="00AD3CBB" w:rsidRPr="00C4210E" w:rsidRDefault="00AD3CBB" w:rsidP="00AD3CBB">
            <w:pPr>
              <w:widowControl/>
              <w:jc w:val="center"/>
              <w:rPr>
                <w:rFonts w:ascii="Times New Roman" w:eastAsia="黑体" w:hAnsi="Times New Roman" w:cs="Times New Roman"/>
                <w:color w:val="FFFFFF"/>
                <w:kern w:val="0"/>
                <w:sz w:val="28"/>
                <w:szCs w:val="28"/>
              </w:rPr>
            </w:pPr>
            <w:r w:rsidRPr="00C4210E">
              <w:rPr>
                <w:rFonts w:ascii="Times New Roman" w:eastAsia="黑体" w:hAnsi="Times New Roman" w:cs="Times New Roman"/>
                <w:color w:val="FFFFFF"/>
                <w:kern w:val="0"/>
                <w:sz w:val="28"/>
                <w:szCs w:val="28"/>
              </w:rPr>
              <w:t>预防技术</w:t>
            </w:r>
          </w:p>
        </w:tc>
        <w:tc>
          <w:tcPr>
            <w:tcW w:w="1418" w:type="dxa"/>
            <w:tcBorders>
              <w:top w:val="single" w:sz="8" w:space="0" w:color="FFFFFF"/>
              <w:left w:val="nil"/>
              <w:bottom w:val="single" w:sz="12" w:space="0" w:color="FFFFFF"/>
              <w:right w:val="single" w:sz="8" w:space="0" w:color="FFFFFF"/>
            </w:tcBorders>
            <w:shd w:val="clear" w:color="000000" w:fill="4472C4"/>
            <w:vAlign w:val="center"/>
            <w:hideMark/>
          </w:tcPr>
          <w:p w14:paraId="0484AFD7" w14:textId="77777777" w:rsidR="00AD3CBB" w:rsidRPr="00C4210E" w:rsidRDefault="00AD3CBB" w:rsidP="00AD3CBB">
            <w:pPr>
              <w:widowControl/>
              <w:jc w:val="center"/>
              <w:rPr>
                <w:rFonts w:ascii="Times New Roman" w:eastAsia="黑体" w:hAnsi="Times New Roman" w:cs="Times New Roman"/>
                <w:color w:val="FFFFFF"/>
                <w:kern w:val="0"/>
                <w:sz w:val="28"/>
                <w:szCs w:val="28"/>
              </w:rPr>
            </w:pPr>
            <w:r w:rsidRPr="00C4210E">
              <w:rPr>
                <w:rFonts w:ascii="Times New Roman" w:eastAsia="黑体" w:hAnsi="Times New Roman" w:cs="Times New Roman"/>
                <w:color w:val="FFFFFF"/>
                <w:kern w:val="0"/>
                <w:sz w:val="28"/>
                <w:szCs w:val="28"/>
              </w:rPr>
              <w:t>治理技术</w:t>
            </w:r>
          </w:p>
        </w:tc>
        <w:tc>
          <w:tcPr>
            <w:tcW w:w="4468" w:type="dxa"/>
            <w:tcBorders>
              <w:top w:val="single" w:sz="8" w:space="0" w:color="FFFFFF"/>
              <w:left w:val="nil"/>
              <w:bottom w:val="single" w:sz="12" w:space="0" w:color="FFFFFF"/>
              <w:right w:val="single" w:sz="8" w:space="0" w:color="FFFFFF"/>
            </w:tcBorders>
            <w:shd w:val="clear" w:color="000000" w:fill="4472C4"/>
            <w:vAlign w:val="center"/>
            <w:hideMark/>
          </w:tcPr>
          <w:p w14:paraId="715A7211" w14:textId="77777777" w:rsidR="00AD3CBB" w:rsidRPr="00C4210E" w:rsidRDefault="00AD3CBB" w:rsidP="00AD3CBB">
            <w:pPr>
              <w:widowControl/>
              <w:jc w:val="center"/>
              <w:rPr>
                <w:rFonts w:ascii="Times New Roman" w:eastAsia="黑体" w:hAnsi="Times New Roman" w:cs="Times New Roman"/>
                <w:color w:val="FFFFFF"/>
                <w:kern w:val="0"/>
                <w:sz w:val="28"/>
                <w:szCs w:val="28"/>
              </w:rPr>
            </w:pPr>
            <w:r w:rsidRPr="00C4210E">
              <w:rPr>
                <w:rFonts w:ascii="Times New Roman" w:eastAsia="黑体" w:hAnsi="Times New Roman" w:cs="Times New Roman"/>
                <w:color w:val="FFFFFF"/>
                <w:kern w:val="0"/>
                <w:sz w:val="28"/>
                <w:szCs w:val="28"/>
              </w:rPr>
              <w:t>技术适用条件</w:t>
            </w:r>
          </w:p>
        </w:tc>
      </w:tr>
      <w:tr w:rsidR="00AD3CBB" w:rsidRPr="00C4210E" w14:paraId="0002F260" w14:textId="77777777" w:rsidTr="00941264">
        <w:trPr>
          <w:trHeight w:val="1530"/>
        </w:trPr>
        <w:tc>
          <w:tcPr>
            <w:tcW w:w="841" w:type="dxa"/>
            <w:vMerge w:val="restart"/>
            <w:tcBorders>
              <w:top w:val="nil"/>
              <w:left w:val="single" w:sz="8" w:space="0" w:color="FFFFFF"/>
              <w:bottom w:val="single" w:sz="8" w:space="0" w:color="FFFFFF"/>
              <w:right w:val="single" w:sz="8" w:space="0" w:color="FFFFFF"/>
            </w:tcBorders>
            <w:shd w:val="clear" w:color="000000" w:fill="E9EBF5"/>
            <w:vAlign w:val="center"/>
            <w:hideMark/>
          </w:tcPr>
          <w:p w14:paraId="0F91DD33" w14:textId="477DF114" w:rsidR="00AD3CBB" w:rsidRPr="00C4210E" w:rsidRDefault="00AD3CBB" w:rsidP="00AD3CBB">
            <w:pPr>
              <w:widowControl/>
              <w:jc w:val="center"/>
              <w:rPr>
                <w:rFonts w:ascii="Times New Roman" w:eastAsia="黑体" w:hAnsi="Times New Roman" w:cs="Times New Roman"/>
                <w:color w:val="000000"/>
                <w:kern w:val="0"/>
                <w:sz w:val="28"/>
                <w:szCs w:val="28"/>
              </w:rPr>
            </w:pPr>
            <w:r w:rsidRPr="00C4210E">
              <w:rPr>
                <w:rFonts w:ascii="Times New Roman" w:eastAsia="黑体" w:hAnsi="Times New Roman" w:cs="Times New Roman"/>
                <w:color w:val="000000"/>
                <w:kern w:val="0"/>
                <w:sz w:val="28"/>
                <w:szCs w:val="28"/>
              </w:rPr>
              <w:t>加油</w:t>
            </w:r>
            <w:r w:rsidRPr="00C4210E">
              <w:rPr>
                <w:rFonts w:ascii="Times New Roman" w:eastAsia="黑体" w:hAnsi="Times New Roman" w:cs="Times New Roman"/>
                <w:color w:val="000000"/>
                <w:kern w:val="0"/>
                <w:sz w:val="28"/>
                <w:szCs w:val="28"/>
              </w:rPr>
              <w:t xml:space="preserve"> </w:t>
            </w:r>
            <w:r w:rsidRPr="00C4210E">
              <w:rPr>
                <w:rFonts w:ascii="Times New Roman" w:eastAsia="黑体" w:hAnsi="Times New Roman" w:cs="Times New Roman"/>
                <w:color w:val="000000"/>
                <w:kern w:val="0"/>
                <w:sz w:val="28"/>
                <w:szCs w:val="28"/>
              </w:rPr>
              <w:t>站</w:t>
            </w:r>
          </w:p>
        </w:tc>
        <w:tc>
          <w:tcPr>
            <w:tcW w:w="1559" w:type="dxa"/>
            <w:vMerge w:val="restart"/>
            <w:tcBorders>
              <w:top w:val="nil"/>
              <w:left w:val="single" w:sz="8" w:space="0" w:color="FFFFFF"/>
              <w:bottom w:val="single" w:sz="8" w:space="0" w:color="FFFFFF"/>
              <w:right w:val="single" w:sz="8" w:space="0" w:color="FFFFFF"/>
            </w:tcBorders>
            <w:shd w:val="clear" w:color="000000" w:fill="E9EBF5"/>
            <w:vAlign w:val="center"/>
            <w:hideMark/>
          </w:tcPr>
          <w:p w14:paraId="69DFAA84" w14:textId="77777777" w:rsidR="00AD3CBB" w:rsidRPr="00C4210E" w:rsidRDefault="00AD3CBB" w:rsidP="00AD3CBB">
            <w:pPr>
              <w:widowControl/>
              <w:jc w:val="center"/>
              <w:rPr>
                <w:rFonts w:ascii="Times New Roman" w:eastAsia="黑体" w:hAnsi="Times New Roman" w:cs="Times New Roman"/>
                <w:color w:val="000000"/>
                <w:kern w:val="0"/>
                <w:sz w:val="28"/>
                <w:szCs w:val="28"/>
              </w:rPr>
            </w:pPr>
            <w:r w:rsidRPr="00C4210E">
              <w:rPr>
                <w:rFonts w:ascii="Times New Roman" w:eastAsia="黑体" w:hAnsi="Times New Roman" w:cs="Times New Roman"/>
                <w:color w:val="000000"/>
                <w:kern w:val="0"/>
                <w:sz w:val="28"/>
                <w:szCs w:val="28"/>
              </w:rPr>
              <w:t>LDAR</w:t>
            </w:r>
            <w:r w:rsidRPr="00C4210E">
              <w:rPr>
                <w:rFonts w:ascii="Times New Roman" w:eastAsia="黑体" w:hAnsi="Times New Roman" w:cs="Times New Roman"/>
                <w:color w:val="000000"/>
                <w:kern w:val="0"/>
                <w:sz w:val="28"/>
                <w:szCs w:val="28"/>
              </w:rPr>
              <w:t>技术、油气回收技术</w:t>
            </w:r>
          </w:p>
        </w:tc>
        <w:tc>
          <w:tcPr>
            <w:tcW w:w="1418" w:type="dxa"/>
            <w:tcBorders>
              <w:top w:val="single" w:sz="8" w:space="0" w:color="FFFFFF"/>
              <w:left w:val="nil"/>
              <w:bottom w:val="single" w:sz="8" w:space="0" w:color="FFFFFF"/>
              <w:right w:val="single" w:sz="8" w:space="0" w:color="FFFFFF"/>
            </w:tcBorders>
            <w:shd w:val="clear" w:color="000000" w:fill="E9EBF5"/>
            <w:vAlign w:val="center"/>
            <w:hideMark/>
          </w:tcPr>
          <w:p w14:paraId="449D849C" w14:textId="77777777" w:rsidR="00AD3CBB" w:rsidRPr="00C4210E" w:rsidRDefault="00AD3CBB" w:rsidP="00AD3CBB">
            <w:pPr>
              <w:widowControl/>
              <w:jc w:val="center"/>
              <w:rPr>
                <w:rFonts w:ascii="Times New Roman" w:eastAsia="黑体" w:hAnsi="Times New Roman" w:cs="Times New Roman"/>
                <w:color w:val="000000"/>
                <w:kern w:val="0"/>
                <w:sz w:val="28"/>
                <w:szCs w:val="28"/>
              </w:rPr>
            </w:pPr>
            <w:r w:rsidRPr="00C4210E">
              <w:rPr>
                <w:rFonts w:ascii="Times New Roman" w:eastAsia="黑体" w:hAnsi="Times New Roman" w:cs="Times New Roman"/>
                <w:color w:val="000000"/>
                <w:kern w:val="0"/>
                <w:sz w:val="28"/>
                <w:szCs w:val="28"/>
              </w:rPr>
              <w:t>吸附技术</w:t>
            </w:r>
            <w:r w:rsidRPr="00C4210E">
              <w:rPr>
                <w:rFonts w:ascii="Times New Roman" w:eastAsia="黑体" w:hAnsi="Times New Roman" w:cs="Times New Roman"/>
                <w:color w:val="000000"/>
                <w:kern w:val="0"/>
                <w:sz w:val="28"/>
                <w:szCs w:val="28"/>
              </w:rPr>
              <w:t xml:space="preserve">+ </w:t>
            </w:r>
            <w:r w:rsidRPr="00C4210E">
              <w:rPr>
                <w:rFonts w:ascii="Times New Roman" w:eastAsia="黑体" w:hAnsi="Times New Roman" w:cs="Times New Roman"/>
                <w:color w:val="000000"/>
                <w:kern w:val="0"/>
                <w:sz w:val="28"/>
                <w:szCs w:val="28"/>
              </w:rPr>
              <w:t>吸收技术</w:t>
            </w:r>
          </w:p>
        </w:tc>
        <w:tc>
          <w:tcPr>
            <w:tcW w:w="4468" w:type="dxa"/>
            <w:tcBorders>
              <w:top w:val="single" w:sz="8" w:space="0" w:color="FFFFFF"/>
              <w:left w:val="nil"/>
              <w:bottom w:val="single" w:sz="8" w:space="0" w:color="FFFFFF"/>
              <w:right w:val="single" w:sz="8" w:space="0" w:color="FFFFFF"/>
            </w:tcBorders>
            <w:shd w:val="clear" w:color="000000" w:fill="E9EBF5"/>
            <w:vAlign w:val="center"/>
            <w:hideMark/>
          </w:tcPr>
          <w:p w14:paraId="69F53BC5" w14:textId="77777777" w:rsidR="00AD3CBB" w:rsidRPr="00C4210E" w:rsidRDefault="00AD3CBB" w:rsidP="00AD3CBB">
            <w:pPr>
              <w:widowControl/>
              <w:jc w:val="left"/>
              <w:rPr>
                <w:rFonts w:ascii="Times New Roman" w:eastAsia="黑体" w:hAnsi="Times New Roman" w:cs="Times New Roman"/>
                <w:color w:val="000000"/>
                <w:kern w:val="0"/>
                <w:sz w:val="28"/>
                <w:szCs w:val="28"/>
              </w:rPr>
            </w:pPr>
            <w:r w:rsidRPr="00C4210E">
              <w:rPr>
                <w:rFonts w:ascii="Times New Roman" w:eastAsia="黑体" w:hAnsi="Times New Roman" w:cs="Times New Roman"/>
                <w:color w:val="000000"/>
                <w:kern w:val="0"/>
                <w:sz w:val="28"/>
                <w:szCs w:val="28"/>
              </w:rPr>
              <w:t>适用于油气回收系统的油气处理，进系统的废气需满足不含粉尘、低湿、低粘度，</w:t>
            </w:r>
            <w:r w:rsidRPr="00C4210E">
              <w:rPr>
                <w:rFonts w:ascii="Times New Roman" w:eastAsia="黑体" w:hAnsi="Times New Roman" w:cs="Times New Roman"/>
                <w:color w:val="000000"/>
                <w:kern w:val="0"/>
                <w:sz w:val="28"/>
                <w:szCs w:val="28"/>
              </w:rPr>
              <w:t xml:space="preserve"> </w:t>
            </w:r>
            <w:r w:rsidRPr="00C4210E">
              <w:rPr>
                <w:rFonts w:ascii="Times New Roman" w:eastAsia="黑体" w:hAnsi="Times New Roman" w:cs="Times New Roman"/>
                <w:color w:val="000000"/>
                <w:kern w:val="0"/>
                <w:sz w:val="28"/>
                <w:szCs w:val="28"/>
              </w:rPr>
              <w:t>温度低于</w:t>
            </w:r>
            <w:r w:rsidRPr="00C4210E">
              <w:rPr>
                <w:rFonts w:ascii="Times New Roman" w:eastAsia="黑体" w:hAnsi="Times New Roman" w:cs="Times New Roman"/>
                <w:color w:val="000000"/>
                <w:kern w:val="0"/>
                <w:sz w:val="28"/>
                <w:szCs w:val="28"/>
              </w:rPr>
              <w:t>40 ℃</w:t>
            </w:r>
            <w:r w:rsidRPr="00C4210E">
              <w:rPr>
                <w:rFonts w:ascii="Times New Roman" w:eastAsia="黑体" w:hAnsi="Times New Roman" w:cs="Times New Roman"/>
                <w:color w:val="000000"/>
                <w:kern w:val="0"/>
                <w:sz w:val="28"/>
                <w:szCs w:val="28"/>
              </w:rPr>
              <w:t>。典型治理技术路线为</w:t>
            </w:r>
            <w:r w:rsidRPr="00C4210E">
              <w:rPr>
                <w:rFonts w:ascii="Times New Roman" w:eastAsia="黑体" w:hAnsi="Times New Roman" w:cs="Times New Roman"/>
                <w:color w:val="000000"/>
                <w:kern w:val="0"/>
                <w:sz w:val="28"/>
                <w:szCs w:val="28"/>
              </w:rPr>
              <w:t>“</w:t>
            </w:r>
            <w:r w:rsidRPr="00C4210E">
              <w:rPr>
                <w:rFonts w:ascii="Times New Roman" w:eastAsia="黑体" w:hAnsi="Times New Roman" w:cs="Times New Roman"/>
                <w:color w:val="000000"/>
                <w:kern w:val="0"/>
                <w:sz w:val="28"/>
                <w:szCs w:val="28"/>
              </w:rPr>
              <w:t>活性炭吸附</w:t>
            </w:r>
            <w:r w:rsidRPr="00C4210E">
              <w:rPr>
                <w:rFonts w:ascii="Times New Roman" w:eastAsia="黑体" w:hAnsi="Times New Roman" w:cs="Times New Roman"/>
                <w:color w:val="000000"/>
                <w:kern w:val="0"/>
                <w:sz w:val="28"/>
                <w:szCs w:val="28"/>
              </w:rPr>
              <w:t>+</w:t>
            </w:r>
            <w:r w:rsidRPr="00C4210E">
              <w:rPr>
                <w:rFonts w:ascii="Times New Roman" w:eastAsia="黑体" w:hAnsi="Times New Roman" w:cs="Times New Roman"/>
                <w:color w:val="000000"/>
                <w:kern w:val="0"/>
                <w:sz w:val="28"/>
                <w:szCs w:val="28"/>
              </w:rPr>
              <w:t>脱附再生</w:t>
            </w:r>
            <w:r w:rsidRPr="00C4210E">
              <w:rPr>
                <w:rFonts w:ascii="Times New Roman" w:eastAsia="黑体" w:hAnsi="Times New Roman" w:cs="Times New Roman"/>
                <w:color w:val="000000"/>
                <w:kern w:val="0"/>
                <w:sz w:val="28"/>
                <w:szCs w:val="28"/>
              </w:rPr>
              <w:t>+</w:t>
            </w:r>
            <w:r w:rsidRPr="00C4210E">
              <w:rPr>
                <w:rFonts w:ascii="Times New Roman" w:eastAsia="黑体" w:hAnsi="Times New Roman" w:cs="Times New Roman"/>
                <w:color w:val="000000"/>
                <w:kern w:val="0"/>
                <w:sz w:val="28"/>
                <w:szCs w:val="28"/>
              </w:rPr>
              <w:t>吸收</w:t>
            </w:r>
            <w:r w:rsidRPr="00C4210E">
              <w:rPr>
                <w:rFonts w:ascii="Times New Roman" w:eastAsia="黑体" w:hAnsi="Times New Roman" w:cs="Times New Roman"/>
                <w:color w:val="000000"/>
                <w:kern w:val="0"/>
                <w:sz w:val="28"/>
                <w:szCs w:val="28"/>
              </w:rPr>
              <w:t>”</w:t>
            </w:r>
            <w:r w:rsidRPr="00C4210E">
              <w:rPr>
                <w:rFonts w:ascii="Times New Roman" w:eastAsia="黑体" w:hAnsi="Times New Roman" w:cs="Times New Roman"/>
                <w:color w:val="000000"/>
                <w:kern w:val="0"/>
                <w:sz w:val="28"/>
                <w:szCs w:val="28"/>
              </w:rPr>
              <w:t>。</w:t>
            </w:r>
          </w:p>
        </w:tc>
      </w:tr>
      <w:tr w:rsidR="00AD3CBB" w:rsidRPr="00C4210E" w14:paraId="697EA075" w14:textId="77777777" w:rsidTr="00941264">
        <w:trPr>
          <w:trHeight w:val="1140"/>
        </w:trPr>
        <w:tc>
          <w:tcPr>
            <w:tcW w:w="841" w:type="dxa"/>
            <w:vMerge/>
            <w:tcBorders>
              <w:top w:val="nil"/>
              <w:left w:val="single" w:sz="8" w:space="0" w:color="FFFFFF"/>
              <w:bottom w:val="single" w:sz="8" w:space="0" w:color="FFFFFF"/>
              <w:right w:val="single" w:sz="8" w:space="0" w:color="FFFFFF"/>
            </w:tcBorders>
            <w:vAlign w:val="center"/>
            <w:hideMark/>
          </w:tcPr>
          <w:p w14:paraId="0C18FF61" w14:textId="77777777" w:rsidR="00AD3CBB" w:rsidRPr="00C4210E" w:rsidRDefault="00AD3CBB" w:rsidP="00AD3CBB">
            <w:pPr>
              <w:widowControl/>
              <w:jc w:val="left"/>
              <w:rPr>
                <w:rFonts w:ascii="Times New Roman" w:eastAsia="黑体" w:hAnsi="Times New Roman" w:cs="Times New Roman"/>
                <w:color w:val="000000"/>
                <w:kern w:val="0"/>
                <w:sz w:val="28"/>
                <w:szCs w:val="28"/>
              </w:rPr>
            </w:pPr>
          </w:p>
        </w:tc>
        <w:tc>
          <w:tcPr>
            <w:tcW w:w="1559" w:type="dxa"/>
            <w:vMerge/>
            <w:tcBorders>
              <w:top w:val="nil"/>
              <w:left w:val="single" w:sz="8" w:space="0" w:color="FFFFFF"/>
              <w:bottom w:val="single" w:sz="8" w:space="0" w:color="FFFFFF"/>
              <w:right w:val="single" w:sz="8" w:space="0" w:color="FFFFFF"/>
            </w:tcBorders>
            <w:vAlign w:val="center"/>
            <w:hideMark/>
          </w:tcPr>
          <w:p w14:paraId="3609F00D" w14:textId="77777777" w:rsidR="00AD3CBB" w:rsidRPr="00C4210E" w:rsidRDefault="00AD3CBB" w:rsidP="00AD3CBB">
            <w:pPr>
              <w:widowControl/>
              <w:jc w:val="left"/>
              <w:rPr>
                <w:rFonts w:ascii="Times New Roman" w:eastAsia="黑体" w:hAnsi="Times New Roman" w:cs="Times New Roman"/>
                <w:color w:val="000000"/>
                <w:kern w:val="0"/>
                <w:sz w:val="28"/>
                <w:szCs w:val="28"/>
              </w:rPr>
            </w:pPr>
          </w:p>
        </w:tc>
        <w:tc>
          <w:tcPr>
            <w:tcW w:w="1418" w:type="dxa"/>
            <w:tcBorders>
              <w:top w:val="nil"/>
              <w:left w:val="nil"/>
              <w:bottom w:val="single" w:sz="8" w:space="0" w:color="FFFFFF"/>
              <w:right w:val="single" w:sz="8" w:space="0" w:color="FFFFFF"/>
            </w:tcBorders>
            <w:shd w:val="clear" w:color="000000" w:fill="E9EBF5"/>
            <w:vAlign w:val="center"/>
            <w:hideMark/>
          </w:tcPr>
          <w:p w14:paraId="364AF2CB" w14:textId="77777777" w:rsidR="00AD3CBB" w:rsidRPr="00C4210E" w:rsidRDefault="00AD3CBB" w:rsidP="00AD3CBB">
            <w:pPr>
              <w:widowControl/>
              <w:jc w:val="center"/>
              <w:rPr>
                <w:rFonts w:ascii="Times New Roman" w:eastAsia="黑体" w:hAnsi="Times New Roman" w:cs="Times New Roman"/>
                <w:color w:val="000000"/>
                <w:kern w:val="0"/>
                <w:sz w:val="28"/>
                <w:szCs w:val="28"/>
              </w:rPr>
            </w:pPr>
            <w:r w:rsidRPr="00C4210E">
              <w:rPr>
                <w:rFonts w:ascii="Times New Roman" w:eastAsia="黑体" w:hAnsi="Times New Roman" w:cs="Times New Roman"/>
                <w:color w:val="000000"/>
                <w:kern w:val="0"/>
                <w:sz w:val="28"/>
                <w:szCs w:val="28"/>
              </w:rPr>
              <w:t>吸附技术</w:t>
            </w:r>
            <w:r w:rsidRPr="00C4210E">
              <w:rPr>
                <w:rFonts w:ascii="Times New Roman" w:eastAsia="黑体" w:hAnsi="Times New Roman" w:cs="Times New Roman"/>
                <w:color w:val="000000"/>
                <w:kern w:val="0"/>
                <w:sz w:val="28"/>
                <w:szCs w:val="28"/>
              </w:rPr>
              <w:t>+</w:t>
            </w:r>
            <w:r w:rsidRPr="00C4210E">
              <w:rPr>
                <w:rFonts w:ascii="Times New Roman" w:eastAsia="黑体" w:hAnsi="Times New Roman" w:cs="Times New Roman"/>
                <w:color w:val="000000"/>
                <w:kern w:val="0"/>
                <w:sz w:val="28"/>
                <w:szCs w:val="28"/>
              </w:rPr>
              <w:t>冷凝</w:t>
            </w:r>
            <w:r w:rsidRPr="00C4210E">
              <w:rPr>
                <w:rFonts w:ascii="Times New Roman" w:eastAsia="黑体" w:hAnsi="Times New Roman" w:cs="Times New Roman"/>
                <w:color w:val="000000"/>
                <w:kern w:val="0"/>
                <w:sz w:val="28"/>
                <w:szCs w:val="28"/>
              </w:rPr>
              <w:t xml:space="preserve"> </w:t>
            </w:r>
            <w:r w:rsidRPr="00C4210E">
              <w:rPr>
                <w:rFonts w:ascii="Times New Roman" w:eastAsia="黑体" w:hAnsi="Times New Roman" w:cs="Times New Roman"/>
                <w:color w:val="000000"/>
                <w:kern w:val="0"/>
                <w:sz w:val="28"/>
                <w:szCs w:val="28"/>
              </w:rPr>
              <w:t>技术</w:t>
            </w:r>
          </w:p>
        </w:tc>
        <w:tc>
          <w:tcPr>
            <w:tcW w:w="4468" w:type="dxa"/>
            <w:tcBorders>
              <w:top w:val="nil"/>
              <w:left w:val="nil"/>
              <w:bottom w:val="single" w:sz="8" w:space="0" w:color="FFFFFF"/>
              <w:right w:val="single" w:sz="8" w:space="0" w:color="FFFFFF"/>
            </w:tcBorders>
            <w:shd w:val="clear" w:color="000000" w:fill="E9EBF5"/>
            <w:vAlign w:val="center"/>
            <w:hideMark/>
          </w:tcPr>
          <w:p w14:paraId="74512ED5" w14:textId="77777777" w:rsidR="00AD3CBB" w:rsidRPr="00C4210E" w:rsidRDefault="00AD3CBB" w:rsidP="00AD3CBB">
            <w:pPr>
              <w:widowControl/>
              <w:jc w:val="left"/>
              <w:rPr>
                <w:rFonts w:ascii="Times New Roman" w:eastAsia="黑体" w:hAnsi="Times New Roman" w:cs="Times New Roman"/>
                <w:color w:val="000000"/>
                <w:kern w:val="0"/>
                <w:sz w:val="28"/>
                <w:szCs w:val="28"/>
              </w:rPr>
            </w:pPr>
            <w:r w:rsidRPr="00C4210E">
              <w:rPr>
                <w:rFonts w:ascii="Times New Roman" w:eastAsia="黑体" w:hAnsi="Times New Roman" w:cs="Times New Roman"/>
                <w:color w:val="000000"/>
                <w:kern w:val="0"/>
                <w:sz w:val="28"/>
                <w:szCs w:val="28"/>
              </w:rPr>
              <w:t>适用于油气回收系统的油气处理，典型治理技术路线为</w:t>
            </w:r>
            <w:r w:rsidRPr="00C4210E">
              <w:rPr>
                <w:rFonts w:ascii="Times New Roman" w:eastAsia="黑体" w:hAnsi="Times New Roman" w:cs="Times New Roman"/>
                <w:color w:val="000000"/>
                <w:kern w:val="0"/>
                <w:sz w:val="28"/>
                <w:szCs w:val="28"/>
              </w:rPr>
              <w:t>“</w:t>
            </w:r>
            <w:r w:rsidRPr="00C4210E">
              <w:rPr>
                <w:rFonts w:ascii="Times New Roman" w:eastAsia="黑体" w:hAnsi="Times New Roman" w:cs="Times New Roman"/>
                <w:color w:val="000000"/>
                <w:kern w:val="0"/>
                <w:sz w:val="28"/>
                <w:szCs w:val="28"/>
              </w:rPr>
              <w:t>活性炭吸附</w:t>
            </w:r>
            <w:r w:rsidRPr="00C4210E">
              <w:rPr>
                <w:rFonts w:ascii="Times New Roman" w:eastAsia="黑体" w:hAnsi="Times New Roman" w:cs="Times New Roman"/>
                <w:color w:val="000000"/>
                <w:kern w:val="0"/>
                <w:sz w:val="28"/>
                <w:szCs w:val="28"/>
              </w:rPr>
              <w:t>+</w:t>
            </w:r>
            <w:r w:rsidRPr="00C4210E">
              <w:rPr>
                <w:rFonts w:ascii="Times New Roman" w:eastAsia="黑体" w:hAnsi="Times New Roman" w:cs="Times New Roman"/>
                <w:color w:val="000000"/>
                <w:kern w:val="0"/>
                <w:sz w:val="28"/>
                <w:szCs w:val="28"/>
              </w:rPr>
              <w:t>脱附再生</w:t>
            </w:r>
            <w:r w:rsidRPr="00C4210E">
              <w:rPr>
                <w:rFonts w:ascii="Times New Roman" w:eastAsia="黑体" w:hAnsi="Times New Roman" w:cs="Times New Roman"/>
                <w:color w:val="000000"/>
                <w:kern w:val="0"/>
                <w:sz w:val="28"/>
                <w:szCs w:val="28"/>
              </w:rPr>
              <w:t>+</w:t>
            </w:r>
            <w:r w:rsidRPr="00C4210E">
              <w:rPr>
                <w:rFonts w:ascii="Times New Roman" w:eastAsia="黑体" w:hAnsi="Times New Roman" w:cs="Times New Roman"/>
                <w:color w:val="000000"/>
                <w:kern w:val="0"/>
                <w:sz w:val="28"/>
                <w:szCs w:val="28"/>
              </w:rPr>
              <w:t>冷凝回</w:t>
            </w:r>
            <w:r w:rsidRPr="00C4210E">
              <w:rPr>
                <w:rFonts w:ascii="Times New Roman" w:eastAsia="黑体" w:hAnsi="Times New Roman" w:cs="Times New Roman"/>
                <w:color w:val="000000"/>
                <w:kern w:val="0"/>
                <w:sz w:val="28"/>
                <w:szCs w:val="28"/>
              </w:rPr>
              <w:t xml:space="preserve"> </w:t>
            </w:r>
            <w:r w:rsidRPr="00C4210E">
              <w:rPr>
                <w:rFonts w:ascii="Times New Roman" w:eastAsia="黑体" w:hAnsi="Times New Roman" w:cs="Times New Roman"/>
                <w:color w:val="000000"/>
                <w:kern w:val="0"/>
                <w:sz w:val="28"/>
                <w:szCs w:val="28"/>
              </w:rPr>
              <w:t>收</w:t>
            </w:r>
            <w:r w:rsidRPr="00C4210E">
              <w:rPr>
                <w:rFonts w:ascii="Times New Roman" w:eastAsia="黑体" w:hAnsi="Times New Roman" w:cs="Times New Roman"/>
                <w:color w:val="000000"/>
                <w:kern w:val="0"/>
                <w:sz w:val="28"/>
                <w:szCs w:val="28"/>
              </w:rPr>
              <w:t>”</w:t>
            </w:r>
            <w:r w:rsidRPr="00C4210E">
              <w:rPr>
                <w:rFonts w:ascii="Times New Roman" w:eastAsia="黑体" w:hAnsi="Times New Roman" w:cs="Times New Roman"/>
                <w:color w:val="000000"/>
                <w:kern w:val="0"/>
                <w:sz w:val="28"/>
                <w:szCs w:val="28"/>
              </w:rPr>
              <w:t>。采用该技术能够产生经济效益。</w:t>
            </w:r>
          </w:p>
        </w:tc>
      </w:tr>
      <w:tr w:rsidR="00AD3CBB" w:rsidRPr="00C4210E" w14:paraId="70890C59" w14:textId="77777777" w:rsidTr="00941264">
        <w:trPr>
          <w:trHeight w:val="1515"/>
        </w:trPr>
        <w:tc>
          <w:tcPr>
            <w:tcW w:w="841" w:type="dxa"/>
            <w:vMerge/>
            <w:tcBorders>
              <w:top w:val="nil"/>
              <w:left w:val="single" w:sz="8" w:space="0" w:color="FFFFFF"/>
              <w:bottom w:val="single" w:sz="8" w:space="0" w:color="FFFFFF"/>
              <w:right w:val="single" w:sz="8" w:space="0" w:color="FFFFFF"/>
            </w:tcBorders>
            <w:vAlign w:val="center"/>
            <w:hideMark/>
          </w:tcPr>
          <w:p w14:paraId="39DE84BE" w14:textId="77777777" w:rsidR="00AD3CBB" w:rsidRPr="00C4210E" w:rsidRDefault="00AD3CBB" w:rsidP="00AD3CBB">
            <w:pPr>
              <w:widowControl/>
              <w:jc w:val="left"/>
              <w:rPr>
                <w:rFonts w:ascii="Times New Roman" w:eastAsia="黑体" w:hAnsi="Times New Roman" w:cs="Times New Roman"/>
                <w:color w:val="000000"/>
                <w:kern w:val="0"/>
                <w:sz w:val="28"/>
                <w:szCs w:val="28"/>
              </w:rPr>
            </w:pPr>
          </w:p>
        </w:tc>
        <w:tc>
          <w:tcPr>
            <w:tcW w:w="1559" w:type="dxa"/>
            <w:vMerge/>
            <w:tcBorders>
              <w:top w:val="nil"/>
              <w:left w:val="single" w:sz="8" w:space="0" w:color="FFFFFF"/>
              <w:bottom w:val="single" w:sz="8" w:space="0" w:color="FFFFFF"/>
              <w:right w:val="single" w:sz="8" w:space="0" w:color="FFFFFF"/>
            </w:tcBorders>
            <w:vAlign w:val="center"/>
            <w:hideMark/>
          </w:tcPr>
          <w:p w14:paraId="28973781" w14:textId="77777777" w:rsidR="00AD3CBB" w:rsidRPr="00C4210E" w:rsidRDefault="00AD3CBB" w:rsidP="00AD3CBB">
            <w:pPr>
              <w:widowControl/>
              <w:jc w:val="left"/>
              <w:rPr>
                <w:rFonts w:ascii="Times New Roman" w:eastAsia="黑体" w:hAnsi="Times New Roman" w:cs="Times New Roman"/>
                <w:color w:val="000000"/>
                <w:kern w:val="0"/>
                <w:sz w:val="28"/>
                <w:szCs w:val="28"/>
              </w:rPr>
            </w:pPr>
          </w:p>
        </w:tc>
        <w:tc>
          <w:tcPr>
            <w:tcW w:w="1418" w:type="dxa"/>
            <w:tcBorders>
              <w:top w:val="nil"/>
              <w:left w:val="nil"/>
              <w:bottom w:val="single" w:sz="8" w:space="0" w:color="FFFFFF"/>
              <w:right w:val="single" w:sz="8" w:space="0" w:color="FFFFFF"/>
            </w:tcBorders>
            <w:shd w:val="clear" w:color="000000" w:fill="E9EBF5"/>
            <w:vAlign w:val="center"/>
            <w:hideMark/>
          </w:tcPr>
          <w:p w14:paraId="4C391878" w14:textId="77777777" w:rsidR="00AD3CBB" w:rsidRPr="00C4210E" w:rsidRDefault="00AD3CBB" w:rsidP="00AD3CBB">
            <w:pPr>
              <w:widowControl/>
              <w:jc w:val="center"/>
              <w:rPr>
                <w:rFonts w:ascii="Times New Roman" w:eastAsia="黑体" w:hAnsi="Times New Roman" w:cs="Times New Roman"/>
                <w:color w:val="000000"/>
                <w:kern w:val="0"/>
                <w:sz w:val="28"/>
                <w:szCs w:val="28"/>
              </w:rPr>
            </w:pPr>
            <w:r w:rsidRPr="00C4210E">
              <w:rPr>
                <w:rFonts w:ascii="Times New Roman" w:eastAsia="黑体" w:hAnsi="Times New Roman" w:cs="Times New Roman"/>
                <w:color w:val="000000"/>
                <w:kern w:val="0"/>
                <w:sz w:val="28"/>
                <w:szCs w:val="28"/>
              </w:rPr>
              <w:t>膜分离技术</w:t>
            </w:r>
            <w:r w:rsidRPr="00C4210E">
              <w:rPr>
                <w:rFonts w:ascii="Times New Roman" w:eastAsia="黑体" w:hAnsi="Times New Roman" w:cs="Times New Roman"/>
                <w:color w:val="000000"/>
                <w:kern w:val="0"/>
                <w:sz w:val="28"/>
                <w:szCs w:val="28"/>
              </w:rPr>
              <w:t>+</w:t>
            </w:r>
            <w:r w:rsidRPr="00C4210E">
              <w:rPr>
                <w:rFonts w:ascii="Times New Roman" w:eastAsia="黑体" w:hAnsi="Times New Roman" w:cs="Times New Roman"/>
                <w:color w:val="000000"/>
                <w:kern w:val="0"/>
                <w:sz w:val="28"/>
                <w:szCs w:val="28"/>
              </w:rPr>
              <w:t>吸</w:t>
            </w:r>
            <w:r w:rsidRPr="00C4210E">
              <w:rPr>
                <w:rFonts w:ascii="Times New Roman" w:eastAsia="黑体" w:hAnsi="Times New Roman" w:cs="Times New Roman"/>
                <w:color w:val="000000"/>
                <w:kern w:val="0"/>
                <w:sz w:val="28"/>
                <w:szCs w:val="28"/>
              </w:rPr>
              <w:t xml:space="preserve"> </w:t>
            </w:r>
            <w:r w:rsidRPr="00C4210E">
              <w:rPr>
                <w:rFonts w:ascii="Times New Roman" w:eastAsia="黑体" w:hAnsi="Times New Roman" w:cs="Times New Roman"/>
                <w:color w:val="000000"/>
                <w:kern w:val="0"/>
                <w:sz w:val="28"/>
                <w:szCs w:val="28"/>
              </w:rPr>
              <w:t>收技术</w:t>
            </w:r>
          </w:p>
        </w:tc>
        <w:tc>
          <w:tcPr>
            <w:tcW w:w="4468" w:type="dxa"/>
            <w:tcBorders>
              <w:top w:val="nil"/>
              <w:left w:val="nil"/>
              <w:bottom w:val="single" w:sz="8" w:space="0" w:color="FFFFFF"/>
              <w:right w:val="single" w:sz="8" w:space="0" w:color="FFFFFF"/>
            </w:tcBorders>
            <w:shd w:val="clear" w:color="000000" w:fill="E9EBF5"/>
            <w:vAlign w:val="center"/>
            <w:hideMark/>
          </w:tcPr>
          <w:p w14:paraId="456C8DCF" w14:textId="77777777" w:rsidR="00AD3CBB" w:rsidRPr="00C4210E" w:rsidRDefault="00AD3CBB" w:rsidP="00AD3CBB">
            <w:pPr>
              <w:widowControl/>
              <w:jc w:val="left"/>
              <w:rPr>
                <w:rFonts w:ascii="Times New Roman" w:eastAsia="黑体" w:hAnsi="Times New Roman" w:cs="Times New Roman"/>
                <w:color w:val="000000"/>
                <w:kern w:val="0"/>
                <w:sz w:val="28"/>
                <w:szCs w:val="28"/>
              </w:rPr>
            </w:pPr>
            <w:r w:rsidRPr="00C4210E">
              <w:rPr>
                <w:rFonts w:ascii="Times New Roman" w:eastAsia="黑体" w:hAnsi="Times New Roman" w:cs="Times New Roman"/>
                <w:color w:val="000000"/>
                <w:kern w:val="0"/>
                <w:sz w:val="28"/>
                <w:szCs w:val="28"/>
              </w:rPr>
              <w:t>适用于油气回收系统的油气处理，针对不同油品的分子大小选择合适孔径的膜，膜分离后</w:t>
            </w:r>
            <w:r w:rsidRPr="00C4210E">
              <w:rPr>
                <w:rFonts w:ascii="Times New Roman" w:eastAsia="黑体" w:hAnsi="Times New Roman" w:cs="Times New Roman"/>
                <w:color w:val="000000"/>
                <w:kern w:val="0"/>
                <w:sz w:val="28"/>
                <w:szCs w:val="28"/>
              </w:rPr>
              <w:t xml:space="preserve"> </w:t>
            </w:r>
            <w:r w:rsidRPr="00C4210E">
              <w:rPr>
                <w:rFonts w:ascii="Times New Roman" w:eastAsia="黑体" w:hAnsi="Times New Roman" w:cs="Times New Roman"/>
                <w:color w:val="000000"/>
                <w:kern w:val="0"/>
                <w:sz w:val="28"/>
                <w:szCs w:val="28"/>
              </w:rPr>
              <w:t>浓缩的油气送入吸收塔进行反复喷淋吸收，未吸净的油气送回膜分离重复处理。</w:t>
            </w:r>
          </w:p>
        </w:tc>
      </w:tr>
    </w:tbl>
    <w:p w14:paraId="4F2A3646" w14:textId="5EB60AF8" w:rsidR="001671A8" w:rsidRPr="00AD3CBB" w:rsidRDefault="001671A8"/>
    <w:p w14:paraId="08CFA5A3" w14:textId="77777777" w:rsidR="001671A8" w:rsidRDefault="001671A8">
      <w:pPr>
        <w:widowControl/>
        <w:jc w:val="left"/>
      </w:pPr>
      <w:r>
        <w:br w:type="page"/>
      </w:r>
    </w:p>
    <w:p w14:paraId="0D2AB481" w14:textId="4CB3E92E" w:rsidR="00712D4A" w:rsidRPr="00B97EC2" w:rsidRDefault="006E79EB" w:rsidP="00712D4A">
      <w:pPr>
        <w:pStyle w:val="1"/>
      </w:pPr>
      <w:r>
        <w:lastRenderedPageBreak/>
        <w:t>6</w:t>
      </w:r>
      <w:r w:rsidR="00712D4A" w:rsidRPr="00B97EC2">
        <w:t xml:space="preserve">.  </w:t>
      </w:r>
      <w:r w:rsidR="00712D4A" w:rsidRPr="00B97EC2">
        <w:rPr>
          <w:rFonts w:hint="eastAsia"/>
        </w:rPr>
        <w:t>监测监控</w:t>
      </w:r>
    </w:p>
    <w:p w14:paraId="3AA39D7A" w14:textId="250E3791" w:rsidR="00526A2F" w:rsidRPr="00304EB9" w:rsidRDefault="00526A2F" w:rsidP="00304EB9">
      <w:pPr>
        <w:ind w:firstLineChars="200" w:firstLine="720"/>
        <w:rPr>
          <w:rFonts w:ascii="Times New Roman" w:eastAsia="黑体" w:hAnsi="Times New Roman" w:cs="Times New Roman"/>
          <w:sz w:val="36"/>
          <w:szCs w:val="36"/>
        </w:rPr>
      </w:pPr>
      <w:r w:rsidRPr="00304EB9">
        <w:rPr>
          <w:rFonts w:ascii="Times New Roman" w:eastAsia="黑体" w:hAnsi="Times New Roman" w:cs="Times New Roman"/>
          <w:sz w:val="36"/>
          <w:szCs w:val="36"/>
        </w:rPr>
        <w:t>符合下列条件之一的加油站应安装油气回收在线监测系统，并与生态环境部门联网：</w:t>
      </w:r>
      <w:r w:rsidRPr="00304EB9">
        <w:rPr>
          <w:rFonts w:ascii="宋体" w:eastAsia="宋体" w:hAnsi="宋体" w:cs="宋体" w:hint="eastAsia"/>
          <w:sz w:val="36"/>
          <w:szCs w:val="36"/>
        </w:rPr>
        <w:t>①</w:t>
      </w:r>
      <w:r w:rsidRPr="00304EB9">
        <w:rPr>
          <w:rFonts w:ascii="Times New Roman" w:eastAsia="黑体" w:hAnsi="Times New Roman" w:cs="Times New Roman"/>
          <w:sz w:val="36"/>
          <w:szCs w:val="36"/>
        </w:rPr>
        <w:t>年销售汽油量大于</w:t>
      </w:r>
      <w:r w:rsidRPr="00304EB9">
        <w:rPr>
          <w:rFonts w:ascii="Times New Roman" w:eastAsia="黑体" w:hAnsi="Times New Roman" w:cs="Times New Roman"/>
          <w:sz w:val="36"/>
          <w:szCs w:val="36"/>
        </w:rPr>
        <w:t xml:space="preserve"> 8000 t </w:t>
      </w:r>
      <w:r w:rsidRPr="00304EB9">
        <w:rPr>
          <w:rFonts w:ascii="Times New Roman" w:eastAsia="黑体" w:hAnsi="Times New Roman" w:cs="Times New Roman"/>
          <w:sz w:val="36"/>
          <w:szCs w:val="36"/>
        </w:rPr>
        <w:t>的加油站；</w:t>
      </w:r>
      <w:r w:rsidRPr="00304EB9">
        <w:rPr>
          <w:rFonts w:ascii="宋体" w:eastAsia="宋体" w:hAnsi="宋体" w:cs="宋体" w:hint="eastAsia"/>
          <w:sz w:val="36"/>
          <w:szCs w:val="36"/>
        </w:rPr>
        <w:t>②</w:t>
      </w:r>
      <w:r w:rsidRPr="00304EB9">
        <w:rPr>
          <w:rFonts w:ascii="Times New Roman" w:eastAsia="黑体" w:hAnsi="Times New Roman" w:cs="Times New Roman"/>
          <w:sz w:val="36"/>
          <w:szCs w:val="36"/>
        </w:rPr>
        <w:t>臭氧浓度超标城市年销售汽油量大于</w:t>
      </w:r>
      <w:r w:rsidRPr="00304EB9">
        <w:rPr>
          <w:rFonts w:ascii="Times New Roman" w:eastAsia="黑体" w:hAnsi="Times New Roman" w:cs="Times New Roman"/>
          <w:sz w:val="36"/>
          <w:szCs w:val="36"/>
        </w:rPr>
        <w:t>5000 t</w:t>
      </w:r>
      <w:r w:rsidRPr="00304EB9">
        <w:rPr>
          <w:rFonts w:ascii="Times New Roman" w:eastAsia="黑体" w:hAnsi="Times New Roman" w:cs="Times New Roman"/>
          <w:sz w:val="36"/>
          <w:szCs w:val="36"/>
        </w:rPr>
        <w:t>的加油站；</w:t>
      </w:r>
      <w:r w:rsidRPr="00304EB9">
        <w:rPr>
          <w:rFonts w:ascii="宋体" w:eastAsia="宋体" w:hAnsi="宋体" w:cs="宋体" w:hint="eastAsia"/>
          <w:sz w:val="36"/>
          <w:szCs w:val="36"/>
        </w:rPr>
        <w:t>③</w:t>
      </w:r>
      <w:r w:rsidRPr="00304EB9">
        <w:rPr>
          <w:rFonts w:ascii="Times New Roman" w:eastAsia="黑体" w:hAnsi="Times New Roman" w:cs="Times New Roman"/>
          <w:sz w:val="36"/>
          <w:szCs w:val="36"/>
        </w:rPr>
        <w:t>省级生态环境主管部门确定的其他需要安装在线监测系统的加油站。</w:t>
      </w:r>
    </w:p>
    <w:tbl>
      <w:tblPr>
        <w:tblW w:w="9781" w:type="dxa"/>
        <w:tblInd w:w="-577" w:type="dxa"/>
        <w:tblLook w:val="04A0" w:firstRow="1" w:lastRow="0" w:firstColumn="1" w:lastColumn="0" w:noHBand="0" w:noVBand="1"/>
      </w:tblPr>
      <w:tblGrid>
        <w:gridCol w:w="1134"/>
        <w:gridCol w:w="8647"/>
      </w:tblGrid>
      <w:tr w:rsidR="00304EB9" w:rsidRPr="00C4210E" w14:paraId="6EAED328" w14:textId="77777777" w:rsidTr="00B52BE5">
        <w:trPr>
          <w:trHeight w:val="390"/>
        </w:trPr>
        <w:tc>
          <w:tcPr>
            <w:tcW w:w="1134" w:type="dxa"/>
            <w:tcBorders>
              <w:top w:val="single" w:sz="8" w:space="0" w:color="FFFFFF"/>
              <w:left w:val="single" w:sz="8" w:space="0" w:color="FFFFFF"/>
              <w:bottom w:val="single" w:sz="12" w:space="0" w:color="FFFFFF"/>
              <w:right w:val="single" w:sz="8" w:space="0" w:color="FFFFFF"/>
            </w:tcBorders>
            <w:shd w:val="clear" w:color="000000" w:fill="4472C4"/>
            <w:vAlign w:val="center"/>
            <w:hideMark/>
          </w:tcPr>
          <w:p w14:paraId="79535F11" w14:textId="77777777" w:rsidR="00304EB9" w:rsidRPr="00C4210E" w:rsidRDefault="00304EB9" w:rsidP="00304EB9">
            <w:pPr>
              <w:widowControl/>
              <w:jc w:val="center"/>
              <w:rPr>
                <w:rFonts w:ascii="Times New Roman" w:eastAsia="黑体" w:hAnsi="Times New Roman" w:cs="Times New Roman"/>
                <w:color w:val="FFFFFF"/>
                <w:kern w:val="0"/>
                <w:sz w:val="28"/>
                <w:szCs w:val="28"/>
              </w:rPr>
            </w:pPr>
            <w:r w:rsidRPr="00C4210E">
              <w:rPr>
                <w:rFonts w:ascii="Times New Roman" w:eastAsia="黑体" w:hAnsi="Times New Roman" w:cs="Times New Roman"/>
                <w:color w:val="FFFFFF"/>
                <w:kern w:val="0"/>
                <w:sz w:val="28"/>
                <w:szCs w:val="28"/>
              </w:rPr>
              <w:t>序号</w:t>
            </w:r>
          </w:p>
        </w:tc>
        <w:tc>
          <w:tcPr>
            <w:tcW w:w="8647" w:type="dxa"/>
            <w:tcBorders>
              <w:top w:val="single" w:sz="8" w:space="0" w:color="FFFFFF"/>
              <w:left w:val="nil"/>
              <w:bottom w:val="single" w:sz="12" w:space="0" w:color="FFFFFF"/>
              <w:right w:val="single" w:sz="8" w:space="0" w:color="FFFFFF"/>
            </w:tcBorders>
            <w:shd w:val="clear" w:color="000000" w:fill="4472C4"/>
            <w:vAlign w:val="center"/>
            <w:hideMark/>
          </w:tcPr>
          <w:p w14:paraId="0E730C62" w14:textId="77777777" w:rsidR="00304EB9" w:rsidRPr="00C4210E" w:rsidRDefault="00304EB9" w:rsidP="00304EB9">
            <w:pPr>
              <w:widowControl/>
              <w:jc w:val="center"/>
              <w:rPr>
                <w:rFonts w:ascii="Times New Roman" w:eastAsia="黑体" w:hAnsi="Times New Roman" w:cs="Times New Roman"/>
                <w:color w:val="FFFFFF"/>
                <w:kern w:val="0"/>
                <w:sz w:val="28"/>
                <w:szCs w:val="28"/>
              </w:rPr>
            </w:pPr>
            <w:r w:rsidRPr="00C4210E">
              <w:rPr>
                <w:rFonts w:ascii="Times New Roman" w:eastAsia="黑体" w:hAnsi="Times New Roman" w:cs="Times New Roman"/>
                <w:color w:val="FFFFFF"/>
                <w:kern w:val="0"/>
                <w:sz w:val="28"/>
                <w:szCs w:val="28"/>
              </w:rPr>
              <w:t>在线检测系统日常管理</w:t>
            </w:r>
          </w:p>
        </w:tc>
      </w:tr>
      <w:tr w:rsidR="00304EB9" w:rsidRPr="00C4210E" w14:paraId="66444D12" w14:textId="77777777" w:rsidTr="00B52BE5">
        <w:trPr>
          <w:trHeight w:val="1487"/>
        </w:trPr>
        <w:tc>
          <w:tcPr>
            <w:tcW w:w="1134" w:type="dxa"/>
            <w:tcBorders>
              <w:top w:val="single" w:sz="8" w:space="0" w:color="FFFFFF"/>
              <w:left w:val="single" w:sz="8" w:space="0" w:color="FFFFFF"/>
              <w:bottom w:val="single" w:sz="8" w:space="0" w:color="FFFFFF"/>
              <w:right w:val="single" w:sz="8" w:space="0" w:color="FFFFFF"/>
            </w:tcBorders>
            <w:shd w:val="clear" w:color="000000" w:fill="E9EBF5"/>
            <w:vAlign w:val="center"/>
            <w:hideMark/>
          </w:tcPr>
          <w:p w14:paraId="43E79147" w14:textId="77777777" w:rsidR="00304EB9" w:rsidRPr="00C4210E" w:rsidRDefault="00304EB9" w:rsidP="00304EB9">
            <w:pPr>
              <w:widowControl/>
              <w:jc w:val="center"/>
              <w:rPr>
                <w:rFonts w:ascii="Times New Roman" w:eastAsia="黑体" w:hAnsi="Times New Roman" w:cs="Times New Roman"/>
                <w:color w:val="000000"/>
                <w:kern w:val="0"/>
                <w:sz w:val="28"/>
                <w:szCs w:val="28"/>
              </w:rPr>
            </w:pPr>
            <w:r w:rsidRPr="00C4210E">
              <w:rPr>
                <w:rFonts w:ascii="Times New Roman" w:eastAsia="黑体" w:hAnsi="Times New Roman" w:cs="Times New Roman"/>
                <w:color w:val="000000"/>
                <w:kern w:val="0"/>
                <w:sz w:val="28"/>
                <w:szCs w:val="28"/>
              </w:rPr>
              <w:t>1</w:t>
            </w:r>
          </w:p>
        </w:tc>
        <w:tc>
          <w:tcPr>
            <w:tcW w:w="8647" w:type="dxa"/>
            <w:tcBorders>
              <w:top w:val="single" w:sz="8" w:space="0" w:color="FFFFFF"/>
              <w:left w:val="nil"/>
              <w:bottom w:val="single" w:sz="8" w:space="0" w:color="FFFFFF"/>
              <w:right w:val="single" w:sz="8" w:space="0" w:color="FFFFFF"/>
            </w:tcBorders>
            <w:shd w:val="clear" w:color="000000" w:fill="E9EBF5"/>
            <w:vAlign w:val="center"/>
            <w:hideMark/>
          </w:tcPr>
          <w:p w14:paraId="25BD326D" w14:textId="77777777" w:rsidR="00304EB9" w:rsidRPr="00C4210E" w:rsidRDefault="00304EB9" w:rsidP="00304EB9">
            <w:pPr>
              <w:widowControl/>
              <w:jc w:val="left"/>
              <w:rPr>
                <w:rFonts w:ascii="Times New Roman" w:eastAsia="黑体" w:hAnsi="Times New Roman" w:cs="Times New Roman"/>
                <w:color w:val="000000"/>
                <w:kern w:val="0"/>
                <w:sz w:val="28"/>
                <w:szCs w:val="28"/>
              </w:rPr>
            </w:pPr>
            <w:r w:rsidRPr="00C4210E">
              <w:rPr>
                <w:rFonts w:ascii="Times New Roman" w:eastAsia="黑体" w:hAnsi="Times New Roman" w:cs="Times New Roman"/>
                <w:color w:val="000000"/>
                <w:kern w:val="0"/>
                <w:sz w:val="28"/>
                <w:szCs w:val="28"/>
              </w:rPr>
              <w:t>应定期对线监控系统进行校准（应按照评估或认证文件的规定进行校准检测，每年至少校准检测</w:t>
            </w:r>
            <w:r w:rsidRPr="00C4210E">
              <w:rPr>
                <w:rFonts w:ascii="Times New Roman" w:eastAsia="黑体" w:hAnsi="Times New Roman" w:cs="Times New Roman"/>
                <w:color w:val="000000"/>
                <w:kern w:val="0"/>
                <w:sz w:val="28"/>
                <w:szCs w:val="28"/>
              </w:rPr>
              <w:t xml:space="preserve"> 1 </w:t>
            </w:r>
            <w:r w:rsidRPr="00C4210E">
              <w:rPr>
                <w:rFonts w:ascii="Times New Roman" w:eastAsia="黑体" w:hAnsi="Times New Roman" w:cs="Times New Roman"/>
                <w:color w:val="000000"/>
                <w:kern w:val="0"/>
                <w:sz w:val="28"/>
                <w:szCs w:val="28"/>
              </w:rPr>
              <w:t>次），并和检测报告进行比对。</w:t>
            </w:r>
          </w:p>
        </w:tc>
      </w:tr>
      <w:tr w:rsidR="00304EB9" w:rsidRPr="00C4210E" w14:paraId="1282C956" w14:textId="77777777" w:rsidTr="00B52BE5">
        <w:trPr>
          <w:trHeight w:val="2005"/>
        </w:trPr>
        <w:tc>
          <w:tcPr>
            <w:tcW w:w="1134" w:type="dxa"/>
            <w:tcBorders>
              <w:top w:val="nil"/>
              <w:left w:val="single" w:sz="8" w:space="0" w:color="FFFFFF"/>
              <w:bottom w:val="single" w:sz="8" w:space="0" w:color="FFFFFF"/>
              <w:right w:val="single" w:sz="8" w:space="0" w:color="FFFFFF"/>
            </w:tcBorders>
            <w:shd w:val="clear" w:color="000000" w:fill="E9EBF5"/>
            <w:vAlign w:val="center"/>
            <w:hideMark/>
          </w:tcPr>
          <w:p w14:paraId="654DA4B2" w14:textId="77777777" w:rsidR="00304EB9" w:rsidRPr="00C4210E" w:rsidRDefault="00304EB9" w:rsidP="00304EB9">
            <w:pPr>
              <w:widowControl/>
              <w:jc w:val="center"/>
              <w:rPr>
                <w:rFonts w:ascii="Times New Roman" w:eastAsia="黑体" w:hAnsi="Times New Roman" w:cs="Times New Roman"/>
                <w:color w:val="000000"/>
                <w:kern w:val="0"/>
                <w:sz w:val="28"/>
                <w:szCs w:val="28"/>
              </w:rPr>
            </w:pPr>
            <w:r w:rsidRPr="00C4210E">
              <w:rPr>
                <w:rFonts w:ascii="Times New Roman" w:eastAsia="黑体" w:hAnsi="Times New Roman" w:cs="Times New Roman"/>
                <w:color w:val="000000"/>
                <w:kern w:val="0"/>
                <w:sz w:val="28"/>
                <w:szCs w:val="28"/>
              </w:rPr>
              <w:t>2</w:t>
            </w:r>
          </w:p>
        </w:tc>
        <w:tc>
          <w:tcPr>
            <w:tcW w:w="8647" w:type="dxa"/>
            <w:tcBorders>
              <w:top w:val="nil"/>
              <w:left w:val="nil"/>
              <w:bottom w:val="single" w:sz="8" w:space="0" w:color="FFFFFF"/>
              <w:right w:val="single" w:sz="8" w:space="0" w:color="FFFFFF"/>
            </w:tcBorders>
            <w:shd w:val="clear" w:color="000000" w:fill="E9EBF5"/>
            <w:vAlign w:val="center"/>
            <w:hideMark/>
          </w:tcPr>
          <w:p w14:paraId="6EB435D9" w14:textId="77777777" w:rsidR="00304EB9" w:rsidRPr="00C4210E" w:rsidRDefault="00304EB9" w:rsidP="00304EB9">
            <w:pPr>
              <w:widowControl/>
              <w:jc w:val="left"/>
              <w:rPr>
                <w:rFonts w:ascii="Times New Roman" w:eastAsia="黑体" w:hAnsi="Times New Roman" w:cs="Times New Roman"/>
                <w:color w:val="000000"/>
                <w:kern w:val="0"/>
                <w:sz w:val="28"/>
                <w:szCs w:val="28"/>
              </w:rPr>
            </w:pPr>
            <w:r w:rsidRPr="00C4210E">
              <w:rPr>
                <w:rFonts w:ascii="Times New Roman" w:eastAsia="黑体" w:hAnsi="Times New Roman" w:cs="Times New Roman"/>
                <w:color w:val="000000"/>
                <w:kern w:val="0"/>
                <w:sz w:val="28"/>
                <w:szCs w:val="28"/>
              </w:rPr>
              <w:t>在线监测系统应能够监测气液比和油气回收系统压力，具备至少储存</w:t>
            </w:r>
            <w:r w:rsidRPr="00C4210E">
              <w:rPr>
                <w:rFonts w:ascii="Times New Roman" w:eastAsia="黑体" w:hAnsi="Times New Roman" w:cs="Times New Roman"/>
                <w:color w:val="000000"/>
                <w:kern w:val="0"/>
                <w:sz w:val="28"/>
                <w:szCs w:val="28"/>
              </w:rPr>
              <w:t xml:space="preserve"> 1 </w:t>
            </w:r>
            <w:r w:rsidRPr="00C4210E">
              <w:rPr>
                <w:rFonts w:ascii="Times New Roman" w:eastAsia="黑体" w:hAnsi="Times New Roman" w:cs="Times New Roman"/>
                <w:color w:val="000000"/>
                <w:kern w:val="0"/>
                <w:sz w:val="28"/>
                <w:szCs w:val="28"/>
              </w:rPr>
              <w:t>年数据、</w:t>
            </w:r>
            <w:r w:rsidRPr="00C4210E">
              <w:rPr>
                <w:rFonts w:ascii="Times New Roman" w:eastAsia="黑体" w:hAnsi="Times New Roman" w:cs="Times New Roman"/>
                <w:color w:val="000000"/>
                <w:kern w:val="0"/>
                <w:sz w:val="28"/>
                <w:szCs w:val="28"/>
              </w:rPr>
              <w:t xml:space="preserve"> </w:t>
            </w:r>
            <w:r w:rsidRPr="00C4210E">
              <w:rPr>
                <w:rFonts w:ascii="Times New Roman" w:eastAsia="黑体" w:hAnsi="Times New Roman" w:cs="Times New Roman"/>
                <w:color w:val="000000"/>
                <w:kern w:val="0"/>
                <w:sz w:val="28"/>
                <w:szCs w:val="28"/>
              </w:rPr>
              <w:t>远距离传输和超标预警功能，通过数据能够分析油气回收系统的密闭性、油气回收管线的液</w:t>
            </w:r>
            <w:r w:rsidRPr="00C4210E">
              <w:rPr>
                <w:rFonts w:ascii="Times New Roman" w:eastAsia="黑体" w:hAnsi="Times New Roman" w:cs="Times New Roman"/>
                <w:color w:val="000000"/>
                <w:kern w:val="0"/>
                <w:sz w:val="28"/>
                <w:szCs w:val="28"/>
              </w:rPr>
              <w:t xml:space="preserve"> </w:t>
            </w:r>
            <w:r w:rsidRPr="00C4210E">
              <w:rPr>
                <w:rFonts w:ascii="Times New Roman" w:eastAsia="黑体" w:hAnsi="Times New Roman" w:cs="Times New Roman"/>
                <w:color w:val="000000"/>
                <w:kern w:val="0"/>
                <w:sz w:val="28"/>
                <w:szCs w:val="28"/>
              </w:rPr>
              <w:t>阻和处理装臵的运行情况。</w:t>
            </w:r>
          </w:p>
        </w:tc>
      </w:tr>
      <w:tr w:rsidR="00304EB9" w:rsidRPr="00C4210E" w14:paraId="02415498" w14:textId="77777777" w:rsidTr="00B52BE5">
        <w:trPr>
          <w:trHeight w:val="1950"/>
        </w:trPr>
        <w:tc>
          <w:tcPr>
            <w:tcW w:w="1134" w:type="dxa"/>
            <w:tcBorders>
              <w:top w:val="nil"/>
              <w:left w:val="single" w:sz="8" w:space="0" w:color="FFFFFF"/>
              <w:bottom w:val="single" w:sz="8" w:space="0" w:color="FFFFFF"/>
              <w:right w:val="single" w:sz="8" w:space="0" w:color="FFFFFF"/>
            </w:tcBorders>
            <w:shd w:val="clear" w:color="000000" w:fill="E9EBF5"/>
            <w:vAlign w:val="center"/>
            <w:hideMark/>
          </w:tcPr>
          <w:p w14:paraId="3E729354" w14:textId="77777777" w:rsidR="00304EB9" w:rsidRPr="00C4210E" w:rsidRDefault="00304EB9" w:rsidP="00304EB9">
            <w:pPr>
              <w:widowControl/>
              <w:jc w:val="center"/>
              <w:rPr>
                <w:rFonts w:ascii="Times New Roman" w:eastAsia="黑体" w:hAnsi="Times New Roman" w:cs="Times New Roman"/>
                <w:color w:val="000000"/>
                <w:kern w:val="0"/>
                <w:sz w:val="28"/>
                <w:szCs w:val="28"/>
              </w:rPr>
            </w:pPr>
            <w:r w:rsidRPr="00C4210E">
              <w:rPr>
                <w:rFonts w:ascii="Times New Roman" w:eastAsia="黑体" w:hAnsi="Times New Roman" w:cs="Times New Roman"/>
                <w:color w:val="000000"/>
                <w:kern w:val="0"/>
                <w:sz w:val="28"/>
                <w:szCs w:val="28"/>
              </w:rPr>
              <w:t>3</w:t>
            </w:r>
          </w:p>
        </w:tc>
        <w:tc>
          <w:tcPr>
            <w:tcW w:w="8647" w:type="dxa"/>
            <w:tcBorders>
              <w:top w:val="nil"/>
              <w:left w:val="nil"/>
              <w:bottom w:val="single" w:sz="8" w:space="0" w:color="FFFFFF"/>
              <w:right w:val="single" w:sz="8" w:space="0" w:color="FFFFFF"/>
            </w:tcBorders>
            <w:shd w:val="clear" w:color="000000" w:fill="E9EBF5"/>
            <w:vAlign w:val="center"/>
            <w:hideMark/>
          </w:tcPr>
          <w:p w14:paraId="4C8AC200" w14:textId="6B4B4F50" w:rsidR="00304EB9" w:rsidRPr="00C4210E" w:rsidRDefault="00304EB9" w:rsidP="00304EB9">
            <w:pPr>
              <w:widowControl/>
              <w:jc w:val="left"/>
              <w:rPr>
                <w:rFonts w:ascii="Times New Roman" w:eastAsia="黑体" w:hAnsi="Times New Roman" w:cs="Times New Roman"/>
                <w:color w:val="000000"/>
                <w:kern w:val="0"/>
                <w:sz w:val="28"/>
                <w:szCs w:val="28"/>
              </w:rPr>
            </w:pPr>
            <w:r w:rsidRPr="00C4210E">
              <w:rPr>
                <w:rFonts w:ascii="Times New Roman" w:eastAsia="黑体" w:hAnsi="Times New Roman" w:cs="Times New Roman"/>
                <w:color w:val="000000"/>
                <w:kern w:val="0"/>
                <w:sz w:val="28"/>
                <w:szCs w:val="28"/>
              </w:rPr>
              <w:t>在线监测系统对气液比的监测：超出</w:t>
            </w:r>
            <w:r w:rsidRPr="00C4210E">
              <w:rPr>
                <w:rFonts w:ascii="Times New Roman" w:eastAsia="黑体" w:hAnsi="Times New Roman" w:cs="Times New Roman"/>
                <w:color w:val="000000"/>
                <w:kern w:val="0"/>
                <w:sz w:val="28"/>
                <w:szCs w:val="28"/>
              </w:rPr>
              <w:t xml:space="preserve"> 0.9 </w:t>
            </w:r>
            <w:r w:rsidRPr="00C4210E">
              <w:rPr>
                <w:rFonts w:ascii="Times New Roman" w:eastAsia="黑体" w:hAnsi="Times New Roman" w:cs="Times New Roman"/>
                <w:color w:val="000000"/>
                <w:kern w:val="0"/>
                <w:sz w:val="28"/>
                <w:szCs w:val="28"/>
              </w:rPr>
              <w:t>至</w:t>
            </w:r>
            <w:r w:rsidRPr="00C4210E">
              <w:rPr>
                <w:rFonts w:ascii="Times New Roman" w:eastAsia="黑体" w:hAnsi="Times New Roman" w:cs="Times New Roman"/>
                <w:color w:val="000000"/>
                <w:kern w:val="0"/>
                <w:sz w:val="28"/>
                <w:szCs w:val="28"/>
              </w:rPr>
              <w:t xml:space="preserve"> 1.3 </w:t>
            </w:r>
            <w:r w:rsidRPr="00C4210E">
              <w:rPr>
                <w:rFonts w:ascii="Times New Roman" w:eastAsia="黑体" w:hAnsi="Times New Roman" w:cs="Times New Roman"/>
                <w:color w:val="000000"/>
                <w:kern w:val="0"/>
                <w:sz w:val="28"/>
                <w:szCs w:val="28"/>
              </w:rPr>
              <w:t>范围时轻度警告，若连续</w:t>
            </w:r>
            <w:r w:rsidRPr="00C4210E">
              <w:rPr>
                <w:rFonts w:ascii="Times New Roman" w:eastAsia="黑体" w:hAnsi="Times New Roman" w:cs="Times New Roman"/>
                <w:color w:val="000000"/>
                <w:kern w:val="0"/>
                <w:sz w:val="28"/>
                <w:szCs w:val="28"/>
              </w:rPr>
              <w:t xml:space="preserve"> 7 d </w:t>
            </w:r>
            <w:r w:rsidRPr="00C4210E">
              <w:rPr>
                <w:rFonts w:ascii="Times New Roman" w:eastAsia="黑体" w:hAnsi="Times New Roman" w:cs="Times New Roman"/>
                <w:color w:val="000000"/>
                <w:kern w:val="0"/>
                <w:sz w:val="28"/>
                <w:szCs w:val="28"/>
              </w:rPr>
              <w:t>处于</w:t>
            </w:r>
            <w:r w:rsidRPr="00C4210E">
              <w:rPr>
                <w:rFonts w:ascii="Times New Roman" w:eastAsia="黑体" w:hAnsi="Times New Roman" w:cs="Times New Roman"/>
                <w:color w:val="000000"/>
                <w:kern w:val="0"/>
                <w:sz w:val="28"/>
                <w:szCs w:val="28"/>
              </w:rPr>
              <w:t xml:space="preserve"> </w:t>
            </w:r>
            <w:r w:rsidRPr="00C4210E">
              <w:rPr>
                <w:rFonts w:ascii="Times New Roman" w:eastAsia="黑体" w:hAnsi="Times New Roman" w:cs="Times New Roman"/>
                <w:color w:val="000000"/>
                <w:kern w:val="0"/>
                <w:sz w:val="28"/>
                <w:szCs w:val="28"/>
              </w:rPr>
              <w:t>轻度警告状态应报警；超出</w:t>
            </w:r>
            <w:r w:rsidRPr="00C4210E">
              <w:rPr>
                <w:rFonts w:ascii="Times New Roman" w:eastAsia="黑体" w:hAnsi="Times New Roman" w:cs="Times New Roman"/>
                <w:color w:val="000000"/>
                <w:kern w:val="0"/>
                <w:sz w:val="28"/>
                <w:szCs w:val="28"/>
              </w:rPr>
              <w:t xml:space="preserve"> 0.6 </w:t>
            </w:r>
            <w:r w:rsidRPr="00C4210E">
              <w:rPr>
                <w:rFonts w:ascii="Times New Roman" w:eastAsia="黑体" w:hAnsi="Times New Roman" w:cs="Times New Roman"/>
                <w:color w:val="000000"/>
                <w:kern w:val="0"/>
                <w:sz w:val="28"/>
                <w:szCs w:val="28"/>
              </w:rPr>
              <w:t>至</w:t>
            </w:r>
            <w:r w:rsidRPr="00C4210E">
              <w:rPr>
                <w:rFonts w:ascii="Times New Roman" w:eastAsia="黑体" w:hAnsi="Times New Roman" w:cs="Times New Roman"/>
                <w:color w:val="000000"/>
                <w:kern w:val="0"/>
                <w:sz w:val="28"/>
                <w:szCs w:val="28"/>
              </w:rPr>
              <w:t xml:space="preserve"> 1.5 </w:t>
            </w:r>
            <w:r w:rsidRPr="00C4210E">
              <w:rPr>
                <w:rFonts w:ascii="Times New Roman" w:eastAsia="黑体" w:hAnsi="Times New Roman" w:cs="Times New Roman"/>
                <w:color w:val="000000"/>
                <w:kern w:val="0"/>
                <w:sz w:val="28"/>
                <w:szCs w:val="28"/>
              </w:rPr>
              <w:t>范围时重度警告，若连续</w:t>
            </w:r>
            <w:r w:rsidRPr="00C4210E">
              <w:rPr>
                <w:rFonts w:ascii="Times New Roman" w:eastAsia="黑体" w:hAnsi="Times New Roman" w:cs="Times New Roman"/>
                <w:color w:val="000000"/>
                <w:kern w:val="0"/>
                <w:sz w:val="28"/>
                <w:szCs w:val="28"/>
              </w:rPr>
              <w:t xml:space="preserve"> 24 h </w:t>
            </w:r>
            <w:r w:rsidRPr="00C4210E">
              <w:rPr>
                <w:rFonts w:ascii="Times New Roman" w:eastAsia="黑体" w:hAnsi="Times New Roman" w:cs="Times New Roman"/>
                <w:color w:val="000000"/>
                <w:kern w:val="0"/>
                <w:sz w:val="28"/>
                <w:szCs w:val="28"/>
              </w:rPr>
              <w:t>处于重度警告状态应报</w:t>
            </w:r>
            <w:r w:rsidRPr="00C4210E">
              <w:rPr>
                <w:rFonts w:ascii="Times New Roman" w:eastAsia="黑体" w:hAnsi="Times New Roman" w:cs="Times New Roman"/>
                <w:color w:val="000000"/>
                <w:kern w:val="0"/>
                <w:sz w:val="28"/>
                <w:szCs w:val="28"/>
              </w:rPr>
              <w:t xml:space="preserve"> </w:t>
            </w:r>
            <w:r w:rsidRPr="00C4210E">
              <w:rPr>
                <w:rFonts w:ascii="Times New Roman" w:eastAsia="黑体" w:hAnsi="Times New Roman" w:cs="Times New Roman"/>
                <w:color w:val="000000"/>
                <w:kern w:val="0"/>
                <w:sz w:val="28"/>
                <w:szCs w:val="28"/>
              </w:rPr>
              <w:t>警。在线监测系统对系统压力的监测：超过</w:t>
            </w:r>
            <w:r w:rsidRPr="00C4210E">
              <w:rPr>
                <w:rFonts w:ascii="Times New Roman" w:eastAsia="黑体" w:hAnsi="Times New Roman" w:cs="Times New Roman"/>
                <w:color w:val="000000"/>
                <w:kern w:val="0"/>
                <w:sz w:val="28"/>
                <w:szCs w:val="28"/>
              </w:rPr>
              <w:t xml:space="preserve"> 300 Pa </w:t>
            </w:r>
            <w:r w:rsidRPr="00C4210E">
              <w:rPr>
                <w:rFonts w:ascii="Times New Roman" w:eastAsia="黑体" w:hAnsi="Times New Roman" w:cs="Times New Roman"/>
                <w:color w:val="000000"/>
                <w:kern w:val="0"/>
                <w:sz w:val="28"/>
                <w:szCs w:val="28"/>
              </w:rPr>
              <w:t>时轻度警告，若连续</w:t>
            </w:r>
            <w:r w:rsidRPr="00C4210E">
              <w:rPr>
                <w:rFonts w:ascii="Times New Roman" w:eastAsia="黑体" w:hAnsi="Times New Roman" w:cs="Times New Roman"/>
                <w:color w:val="000000"/>
                <w:kern w:val="0"/>
                <w:sz w:val="28"/>
                <w:szCs w:val="28"/>
              </w:rPr>
              <w:t xml:space="preserve"> 30 d </w:t>
            </w:r>
            <w:r w:rsidRPr="00C4210E">
              <w:rPr>
                <w:rFonts w:ascii="Times New Roman" w:eastAsia="黑体" w:hAnsi="Times New Roman" w:cs="Times New Roman"/>
                <w:color w:val="000000"/>
                <w:kern w:val="0"/>
                <w:sz w:val="28"/>
                <w:szCs w:val="28"/>
              </w:rPr>
              <w:t>处于轻度警告状态应报警；超过</w:t>
            </w:r>
            <w:r w:rsidRPr="00C4210E">
              <w:rPr>
                <w:rFonts w:ascii="Times New Roman" w:eastAsia="黑体" w:hAnsi="Times New Roman" w:cs="Times New Roman"/>
                <w:color w:val="000000"/>
                <w:kern w:val="0"/>
                <w:sz w:val="28"/>
                <w:szCs w:val="28"/>
              </w:rPr>
              <w:t xml:space="preserve"> 700 Pa </w:t>
            </w:r>
            <w:r w:rsidRPr="00C4210E">
              <w:rPr>
                <w:rFonts w:ascii="Times New Roman" w:eastAsia="黑体" w:hAnsi="Times New Roman" w:cs="Times New Roman"/>
                <w:color w:val="000000"/>
                <w:kern w:val="0"/>
                <w:sz w:val="28"/>
                <w:szCs w:val="28"/>
              </w:rPr>
              <w:t>时重度警告，若连续</w:t>
            </w:r>
            <w:r w:rsidRPr="00C4210E">
              <w:rPr>
                <w:rFonts w:ascii="Times New Roman" w:eastAsia="黑体" w:hAnsi="Times New Roman" w:cs="Times New Roman"/>
                <w:color w:val="000000"/>
                <w:kern w:val="0"/>
                <w:sz w:val="28"/>
                <w:szCs w:val="28"/>
              </w:rPr>
              <w:t xml:space="preserve"> 7 d </w:t>
            </w:r>
            <w:r w:rsidRPr="00C4210E">
              <w:rPr>
                <w:rFonts w:ascii="Times New Roman" w:eastAsia="黑体" w:hAnsi="Times New Roman" w:cs="Times New Roman"/>
                <w:color w:val="000000"/>
                <w:kern w:val="0"/>
                <w:sz w:val="28"/>
                <w:szCs w:val="28"/>
              </w:rPr>
              <w:t>处于重度警告状态应报警。</w:t>
            </w:r>
          </w:p>
        </w:tc>
      </w:tr>
      <w:tr w:rsidR="00304EB9" w:rsidRPr="00C4210E" w14:paraId="3A240FD5" w14:textId="77777777" w:rsidTr="00B52BE5">
        <w:trPr>
          <w:trHeight w:val="795"/>
        </w:trPr>
        <w:tc>
          <w:tcPr>
            <w:tcW w:w="1134" w:type="dxa"/>
            <w:tcBorders>
              <w:top w:val="nil"/>
              <w:left w:val="single" w:sz="8" w:space="0" w:color="FFFFFF"/>
              <w:bottom w:val="single" w:sz="8" w:space="0" w:color="FFFFFF"/>
              <w:right w:val="single" w:sz="8" w:space="0" w:color="FFFFFF"/>
            </w:tcBorders>
            <w:shd w:val="clear" w:color="000000" w:fill="E9EBF5"/>
            <w:vAlign w:val="center"/>
            <w:hideMark/>
          </w:tcPr>
          <w:p w14:paraId="1F56EF7D" w14:textId="77777777" w:rsidR="00304EB9" w:rsidRPr="00C4210E" w:rsidRDefault="00304EB9" w:rsidP="00304EB9">
            <w:pPr>
              <w:widowControl/>
              <w:jc w:val="center"/>
              <w:rPr>
                <w:rFonts w:ascii="Times New Roman" w:eastAsia="黑体" w:hAnsi="Times New Roman" w:cs="Times New Roman"/>
                <w:color w:val="000000"/>
                <w:kern w:val="0"/>
                <w:sz w:val="28"/>
                <w:szCs w:val="28"/>
              </w:rPr>
            </w:pPr>
            <w:r w:rsidRPr="00C4210E">
              <w:rPr>
                <w:rFonts w:ascii="Times New Roman" w:eastAsia="黑体" w:hAnsi="Times New Roman" w:cs="Times New Roman"/>
                <w:color w:val="000000"/>
                <w:kern w:val="0"/>
                <w:sz w:val="28"/>
                <w:szCs w:val="28"/>
              </w:rPr>
              <w:t>4</w:t>
            </w:r>
          </w:p>
        </w:tc>
        <w:tc>
          <w:tcPr>
            <w:tcW w:w="8647" w:type="dxa"/>
            <w:tcBorders>
              <w:top w:val="nil"/>
              <w:left w:val="nil"/>
              <w:bottom w:val="single" w:sz="8" w:space="0" w:color="FFFFFF"/>
              <w:right w:val="single" w:sz="8" w:space="0" w:color="FFFFFF"/>
            </w:tcBorders>
            <w:shd w:val="clear" w:color="000000" w:fill="E9EBF5"/>
            <w:vAlign w:val="center"/>
            <w:hideMark/>
          </w:tcPr>
          <w:p w14:paraId="652E3E97" w14:textId="5730DEEA" w:rsidR="00304EB9" w:rsidRPr="00C4210E" w:rsidRDefault="00304EB9" w:rsidP="00C6211B">
            <w:pPr>
              <w:widowControl/>
              <w:jc w:val="left"/>
              <w:rPr>
                <w:rFonts w:ascii="Times New Roman" w:eastAsia="黑体" w:hAnsi="Times New Roman" w:cs="Times New Roman"/>
                <w:color w:val="000000"/>
                <w:kern w:val="0"/>
                <w:sz w:val="28"/>
                <w:szCs w:val="28"/>
              </w:rPr>
            </w:pPr>
            <w:r w:rsidRPr="00C4210E">
              <w:rPr>
                <w:rFonts w:ascii="Times New Roman" w:eastAsia="黑体" w:hAnsi="Times New Roman" w:cs="Times New Roman"/>
                <w:color w:val="000000"/>
                <w:kern w:val="0"/>
                <w:sz w:val="28"/>
                <w:szCs w:val="28"/>
              </w:rPr>
              <w:t>处理</w:t>
            </w:r>
            <w:r w:rsidR="00B52BE5" w:rsidRPr="00C4210E">
              <w:rPr>
                <w:rFonts w:ascii="Times New Roman" w:eastAsia="黑体" w:hAnsi="Times New Roman" w:cs="Times New Roman"/>
                <w:color w:val="000000"/>
                <w:kern w:val="0"/>
                <w:sz w:val="28"/>
                <w:szCs w:val="28"/>
              </w:rPr>
              <w:t>装置</w:t>
            </w:r>
            <w:r w:rsidRPr="00C4210E">
              <w:rPr>
                <w:rFonts w:ascii="Times New Roman" w:eastAsia="黑体" w:hAnsi="Times New Roman" w:cs="Times New Roman"/>
                <w:color w:val="000000"/>
                <w:kern w:val="0"/>
                <w:sz w:val="28"/>
                <w:szCs w:val="28"/>
              </w:rPr>
              <w:t>压力感应值宜设定在超过</w:t>
            </w:r>
            <w:r w:rsidRPr="00C4210E">
              <w:rPr>
                <w:rFonts w:ascii="Times New Roman" w:eastAsia="黑体" w:hAnsi="Times New Roman" w:cs="Times New Roman"/>
                <w:color w:val="000000"/>
                <w:kern w:val="0"/>
                <w:sz w:val="28"/>
                <w:szCs w:val="28"/>
              </w:rPr>
              <w:t xml:space="preserve">+150 Pa </w:t>
            </w:r>
            <w:r w:rsidRPr="00C4210E">
              <w:rPr>
                <w:rFonts w:ascii="Times New Roman" w:eastAsia="黑体" w:hAnsi="Times New Roman" w:cs="Times New Roman"/>
                <w:color w:val="000000"/>
                <w:kern w:val="0"/>
                <w:sz w:val="28"/>
                <w:szCs w:val="28"/>
              </w:rPr>
              <w:t>时启动，停止运感应值宜设在</w:t>
            </w:r>
            <w:r w:rsidRPr="00C4210E">
              <w:rPr>
                <w:rFonts w:ascii="Times New Roman" w:eastAsia="黑体" w:hAnsi="Times New Roman" w:cs="Times New Roman"/>
                <w:color w:val="000000"/>
                <w:kern w:val="0"/>
                <w:sz w:val="28"/>
                <w:szCs w:val="28"/>
              </w:rPr>
              <w:t xml:space="preserve"> 0—50Pa</w:t>
            </w:r>
            <w:r w:rsidRPr="00C4210E">
              <w:rPr>
                <w:rFonts w:ascii="Times New Roman" w:eastAsia="黑体" w:hAnsi="Times New Roman" w:cs="Times New Roman"/>
                <w:color w:val="000000"/>
                <w:kern w:val="0"/>
                <w:sz w:val="28"/>
                <w:szCs w:val="28"/>
              </w:rPr>
              <w:t>，或根据加油站情况自行调整。</w:t>
            </w:r>
          </w:p>
        </w:tc>
      </w:tr>
      <w:tr w:rsidR="00304EB9" w:rsidRPr="00C4210E" w14:paraId="1E59980A" w14:textId="77777777" w:rsidTr="00B52BE5">
        <w:trPr>
          <w:trHeight w:val="390"/>
        </w:trPr>
        <w:tc>
          <w:tcPr>
            <w:tcW w:w="1134" w:type="dxa"/>
            <w:tcBorders>
              <w:top w:val="nil"/>
              <w:left w:val="single" w:sz="8" w:space="0" w:color="FFFFFF"/>
              <w:bottom w:val="single" w:sz="8" w:space="0" w:color="FFFFFF"/>
              <w:right w:val="single" w:sz="8" w:space="0" w:color="FFFFFF"/>
            </w:tcBorders>
            <w:shd w:val="clear" w:color="000000" w:fill="E9EBF5"/>
            <w:vAlign w:val="center"/>
            <w:hideMark/>
          </w:tcPr>
          <w:p w14:paraId="14802437" w14:textId="77777777" w:rsidR="00304EB9" w:rsidRPr="00C4210E" w:rsidRDefault="00304EB9" w:rsidP="00304EB9">
            <w:pPr>
              <w:widowControl/>
              <w:jc w:val="center"/>
              <w:rPr>
                <w:rFonts w:ascii="Times New Roman" w:eastAsia="黑体" w:hAnsi="Times New Roman" w:cs="Times New Roman"/>
                <w:color w:val="000000"/>
                <w:kern w:val="0"/>
                <w:sz w:val="28"/>
                <w:szCs w:val="28"/>
              </w:rPr>
            </w:pPr>
            <w:r w:rsidRPr="00C4210E">
              <w:rPr>
                <w:rFonts w:ascii="Times New Roman" w:eastAsia="黑体" w:hAnsi="Times New Roman" w:cs="Times New Roman"/>
                <w:color w:val="000000"/>
                <w:kern w:val="0"/>
                <w:sz w:val="28"/>
                <w:szCs w:val="28"/>
              </w:rPr>
              <w:t>5</w:t>
            </w:r>
          </w:p>
        </w:tc>
        <w:tc>
          <w:tcPr>
            <w:tcW w:w="8647" w:type="dxa"/>
            <w:tcBorders>
              <w:top w:val="nil"/>
              <w:left w:val="nil"/>
              <w:bottom w:val="single" w:sz="8" w:space="0" w:color="FFFFFF"/>
              <w:right w:val="single" w:sz="8" w:space="0" w:color="FFFFFF"/>
            </w:tcBorders>
            <w:shd w:val="clear" w:color="000000" w:fill="E9EBF5"/>
            <w:vAlign w:val="center"/>
            <w:hideMark/>
          </w:tcPr>
          <w:p w14:paraId="12FA108C" w14:textId="4652A330" w:rsidR="00304EB9" w:rsidRPr="00C4210E" w:rsidRDefault="00304EB9" w:rsidP="00304EB9">
            <w:pPr>
              <w:widowControl/>
              <w:jc w:val="left"/>
              <w:rPr>
                <w:rFonts w:ascii="Times New Roman" w:eastAsia="黑体" w:hAnsi="Times New Roman" w:cs="Times New Roman"/>
                <w:color w:val="000000"/>
                <w:kern w:val="0"/>
                <w:sz w:val="28"/>
                <w:szCs w:val="28"/>
              </w:rPr>
            </w:pPr>
            <w:r w:rsidRPr="00C4210E">
              <w:rPr>
                <w:rFonts w:ascii="Times New Roman" w:eastAsia="黑体" w:hAnsi="Times New Roman" w:cs="Times New Roman"/>
                <w:color w:val="000000"/>
                <w:kern w:val="0"/>
                <w:sz w:val="28"/>
                <w:szCs w:val="28"/>
              </w:rPr>
              <w:t>处理</w:t>
            </w:r>
            <w:r w:rsidR="00C6211B" w:rsidRPr="00C4210E">
              <w:rPr>
                <w:rFonts w:ascii="Times New Roman" w:eastAsia="黑体" w:hAnsi="Times New Roman" w:cs="Times New Roman"/>
                <w:color w:val="000000"/>
                <w:kern w:val="0"/>
                <w:sz w:val="28"/>
                <w:szCs w:val="28"/>
              </w:rPr>
              <w:t>装置</w:t>
            </w:r>
            <w:r w:rsidRPr="00C4210E">
              <w:rPr>
                <w:rFonts w:ascii="Times New Roman" w:eastAsia="黑体" w:hAnsi="Times New Roman" w:cs="Times New Roman"/>
                <w:color w:val="000000"/>
                <w:kern w:val="0"/>
                <w:sz w:val="28"/>
                <w:szCs w:val="28"/>
              </w:rPr>
              <w:t>应符合国家有关噪声标准。</w:t>
            </w:r>
          </w:p>
        </w:tc>
      </w:tr>
    </w:tbl>
    <w:p w14:paraId="57303604" w14:textId="77777777" w:rsidR="00304EB9" w:rsidRPr="00304EB9" w:rsidRDefault="00304EB9"/>
    <w:p w14:paraId="759D3A2D" w14:textId="45B72824" w:rsidR="00712D4A" w:rsidRPr="00B97EC2" w:rsidRDefault="001671A8" w:rsidP="00941264">
      <w:pPr>
        <w:pStyle w:val="1"/>
      </w:pPr>
      <w:r>
        <w:br w:type="page"/>
      </w:r>
      <w:r w:rsidR="006E79EB">
        <w:lastRenderedPageBreak/>
        <w:t>7</w:t>
      </w:r>
      <w:r w:rsidR="00712D4A" w:rsidRPr="00B97EC2">
        <w:t xml:space="preserve">.  </w:t>
      </w:r>
      <w:r w:rsidR="00712D4A" w:rsidRPr="00B97EC2">
        <w:rPr>
          <w:rFonts w:hint="eastAsia"/>
        </w:rPr>
        <w:t>台账记录</w:t>
      </w:r>
    </w:p>
    <w:p w14:paraId="4D96A0F7" w14:textId="49B404F7" w:rsidR="001671A8" w:rsidRDefault="004E1767" w:rsidP="00B52BE5">
      <w:pPr>
        <w:ind w:firstLineChars="200" w:firstLine="720"/>
        <w:rPr>
          <w:rFonts w:ascii="Times New Roman" w:eastAsia="黑体" w:hAnsi="Times New Roman" w:cs="Times New Roman"/>
          <w:sz w:val="36"/>
          <w:szCs w:val="36"/>
        </w:rPr>
      </w:pPr>
      <w:r w:rsidRPr="00FD0F9F">
        <w:rPr>
          <w:rFonts w:ascii="Times New Roman" w:eastAsia="黑体" w:hAnsi="Times New Roman" w:cs="Times New Roman"/>
          <w:sz w:val="36"/>
          <w:szCs w:val="36"/>
        </w:rPr>
        <w:t>按照表</w:t>
      </w:r>
      <w:r w:rsidR="00AD3CBB">
        <w:rPr>
          <w:rFonts w:ascii="Times New Roman" w:eastAsia="黑体" w:hAnsi="Times New Roman" w:cs="Times New Roman" w:hint="eastAsia"/>
          <w:sz w:val="36"/>
          <w:szCs w:val="36"/>
        </w:rPr>
        <w:t>中</w:t>
      </w:r>
      <w:r w:rsidRPr="00FD0F9F">
        <w:rPr>
          <w:rFonts w:ascii="Times New Roman" w:eastAsia="黑体" w:hAnsi="Times New Roman" w:cs="Times New Roman"/>
          <w:sz w:val="36"/>
          <w:szCs w:val="36"/>
        </w:rPr>
        <w:t>要求，建立台账记录。</w:t>
      </w:r>
      <w:r w:rsidR="00FD0F9F" w:rsidRPr="00FD0F9F">
        <w:rPr>
          <w:rFonts w:ascii="Times New Roman" w:eastAsia="黑体" w:hAnsi="Times New Roman" w:cs="Times New Roman"/>
          <w:sz w:val="36"/>
          <w:szCs w:val="36"/>
        </w:rPr>
        <w:t>重点关注加油过程和油气处理装置台账</w:t>
      </w:r>
      <w:r w:rsidR="00FD0F9F" w:rsidRPr="00FD0F9F">
        <w:rPr>
          <w:rFonts w:ascii="Times New Roman" w:eastAsia="黑体" w:hAnsi="Times New Roman" w:cs="Times New Roman" w:hint="eastAsia"/>
          <w:sz w:val="36"/>
          <w:szCs w:val="36"/>
        </w:rPr>
        <w:t>，</w:t>
      </w:r>
      <w:r w:rsidR="00FD0F9F" w:rsidRPr="00FD0F9F">
        <w:rPr>
          <w:rFonts w:ascii="Times New Roman" w:eastAsia="黑体" w:hAnsi="Times New Roman" w:cs="Times New Roman"/>
          <w:sz w:val="36"/>
          <w:szCs w:val="36"/>
        </w:rPr>
        <w:t>企业台账是</w:t>
      </w:r>
      <w:r w:rsidR="00FD0F9F" w:rsidRPr="00FD0F9F">
        <w:rPr>
          <w:rFonts w:ascii="Times New Roman" w:eastAsia="黑体" w:hAnsi="Times New Roman" w:cs="Times New Roman" w:hint="eastAsia"/>
          <w:sz w:val="36"/>
          <w:szCs w:val="36"/>
        </w:rPr>
        <w:t>应</w:t>
      </w:r>
      <w:r w:rsidR="00FD0F9F" w:rsidRPr="00FD0F9F">
        <w:rPr>
          <w:rFonts w:ascii="Times New Roman" w:eastAsia="黑体" w:hAnsi="Times New Roman" w:cs="Times New Roman"/>
          <w:sz w:val="36"/>
          <w:szCs w:val="36"/>
        </w:rPr>
        <w:t>完整，内容齐全，记录规范</w:t>
      </w:r>
      <w:r w:rsidR="00FD0F9F" w:rsidRPr="00FD0F9F">
        <w:rPr>
          <w:rFonts w:ascii="Times New Roman" w:eastAsia="黑体" w:hAnsi="Times New Roman" w:cs="Times New Roman" w:hint="eastAsia"/>
          <w:sz w:val="36"/>
          <w:szCs w:val="36"/>
        </w:rPr>
        <w:t>。</w:t>
      </w:r>
    </w:p>
    <w:p w14:paraId="2C321E4F" w14:textId="03070598" w:rsidR="00FD0F9F" w:rsidRPr="00CF3D18" w:rsidRDefault="00FD0F9F" w:rsidP="00CF3D18">
      <w:pPr>
        <w:widowControl/>
        <w:jc w:val="center"/>
        <w:rPr>
          <w:rFonts w:ascii="Times New Roman" w:hAnsi="Times New Roman" w:cs="Times New Roman"/>
          <w:b/>
          <w:bCs/>
          <w:color w:val="4472C4" w:themeColor="accent1"/>
          <w:sz w:val="36"/>
          <w:szCs w:val="36"/>
        </w:rPr>
      </w:pPr>
      <w:r w:rsidRPr="00CF3D18">
        <w:rPr>
          <w:rFonts w:ascii="Times New Roman" w:hAnsi="Times New Roman" w:cs="Times New Roman"/>
          <w:b/>
          <w:bCs/>
          <w:color w:val="4472C4" w:themeColor="accent1"/>
          <w:sz w:val="36"/>
          <w:szCs w:val="36"/>
        </w:rPr>
        <w:t>加油站台账记录要求</w:t>
      </w:r>
    </w:p>
    <w:tbl>
      <w:tblPr>
        <w:tblW w:w="8212" w:type="dxa"/>
        <w:tblLook w:val="04A0" w:firstRow="1" w:lastRow="0" w:firstColumn="1" w:lastColumn="0" w:noHBand="0" w:noVBand="1"/>
      </w:tblPr>
      <w:tblGrid>
        <w:gridCol w:w="1420"/>
        <w:gridCol w:w="6792"/>
      </w:tblGrid>
      <w:tr w:rsidR="00FD0F9F" w:rsidRPr="00FD0F9F" w14:paraId="0C607569" w14:textId="77777777" w:rsidTr="00FD0F9F">
        <w:trPr>
          <w:trHeight w:val="390"/>
        </w:trPr>
        <w:tc>
          <w:tcPr>
            <w:tcW w:w="1420" w:type="dxa"/>
            <w:tcBorders>
              <w:top w:val="single" w:sz="8" w:space="0" w:color="FFFFFF"/>
              <w:left w:val="single" w:sz="8" w:space="0" w:color="FFFFFF"/>
              <w:bottom w:val="single" w:sz="12" w:space="0" w:color="FFFFFF"/>
              <w:right w:val="single" w:sz="8" w:space="0" w:color="FFFFFF"/>
            </w:tcBorders>
            <w:shd w:val="clear" w:color="000000" w:fill="4472C4"/>
            <w:vAlign w:val="center"/>
            <w:hideMark/>
          </w:tcPr>
          <w:p w14:paraId="07D94A6C" w14:textId="77777777" w:rsidR="00FD0F9F" w:rsidRPr="00FD0F9F" w:rsidRDefault="00FD0F9F" w:rsidP="00FD0F9F">
            <w:pPr>
              <w:widowControl/>
              <w:jc w:val="center"/>
              <w:rPr>
                <w:rFonts w:ascii="黑体" w:eastAsia="黑体" w:hAnsi="黑体" w:cs="宋体"/>
                <w:color w:val="FFFFFF"/>
                <w:kern w:val="0"/>
                <w:sz w:val="28"/>
                <w:szCs w:val="28"/>
              </w:rPr>
            </w:pPr>
            <w:r w:rsidRPr="00FD0F9F">
              <w:rPr>
                <w:rFonts w:ascii="黑体" w:eastAsia="黑体" w:hAnsi="黑体" w:cs="宋体" w:hint="eastAsia"/>
                <w:color w:val="FFFFFF"/>
                <w:kern w:val="0"/>
                <w:sz w:val="28"/>
                <w:szCs w:val="28"/>
              </w:rPr>
              <w:t>重点环节</w:t>
            </w:r>
          </w:p>
        </w:tc>
        <w:tc>
          <w:tcPr>
            <w:tcW w:w="6792" w:type="dxa"/>
            <w:tcBorders>
              <w:top w:val="single" w:sz="8" w:space="0" w:color="FFFFFF"/>
              <w:left w:val="nil"/>
              <w:bottom w:val="single" w:sz="12" w:space="0" w:color="FFFFFF"/>
              <w:right w:val="single" w:sz="8" w:space="0" w:color="FFFFFF"/>
            </w:tcBorders>
            <w:shd w:val="clear" w:color="000000" w:fill="4472C4"/>
            <w:vAlign w:val="center"/>
            <w:hideMark/>
          </w:tcPr>
          <w:p w14:paraId="3608D858" w14:textId="77777777" w:rsidR="00FD0F9F" w:rsidRPr="00FD0F9F" w:rsidRDefault="00FD0F9F" w:rsidP="00FD0F9F">
            <w:pPr>
              <w:widowControl/>
              <w:jc w:val="center"/>
              <w:rPr>
                <w:rFonts w:ascii="黑体" w:eastAsia="黑体" w:hAnsi="黑体" w:cs="宋体"/>
                <w:color w:val="FFFFFF"/>
                <w:kern w:val="0"/>
                <w:sz w:val="28"/>
                <w:szCs w:val="28"/>
              </w:rPr>
            </w:pPr>
            <w:r w:rsidRPr="00FD0F9F">
              <w:rPr>
                <w:rFonts w:ascii="黑体" w:eastAsia="黑体" w:hAnsi="黑体" w:cs="宋体" w:hint="eastAsia"/>
                <w:color w:val="FFFFFF"/>
                <w:kern w:val="0"/>
                <w:sz w:val="28"/>
                <w:szCs w:val="28"/>
              </w:rPr>
              <w:t>台账记录要求</w:t>
            </w:r>
          </w:p>
        </w:tc>
      </w:tr>
      <w:tr w:rsidR="00FD0F9F" w:rsidRPr="00FD0F9F" w14:paraId="121D6E38" w14:textId="77777777" w:rsidTr="00FD0F9F">
        <w:trPr>
          <w:trHeight w:val="405"/>
        </w:trPr>
        <w:tc>
          <w:tcPr>
            <w:tcW w:w="1420" w:type="dxa"/>
            <w:tcBorders>
              <w:top w:val="single" w:sz="8" w:space="0" w:color="FFFFFF"/>
              <w:left w:val="single" w:sz="8" w:space="0" w:color="FFFFFF"/>
              <w:bottom w:val="single" w:sz="8" w:space="0" w:color="FFFFFF"/>
              <w:right w:val="single" w:sz="8" w:space="0" w:color="FFFFFF"/>
            </w:tcBorders>
            <w:shd w:val="clear" w:color="000000" w:fill="CFD5EA"/>
            <w:vAlign w:val="center"/>
            <w:hideMark/>
          </w:tcPr>
          <w:p w14:paraId="6B84F93C" w14:textId="77777777" w:rsidR="00FD0F9F" w:rsidRPr="00FD0F9F" w:rsidRDefault="00FD0F9F" w:rsidP="00FD0F9F">
            <w:pPr>
              <w:widowControl/>
              <w:jc w:val="center"/>
              <w:rPr>
                <w:rFonts w:ascii="黑体" w:eastAsia="黑体" w:hAnsi="黑体" w:cs="宋体"/>
                <w:color w:val="000000"/>
                <w:kern w:val="0"/>
                <w:sz w:val="28"/>
                <w:szCs w:val="28"/>
              </w:rPr>
            </w:pPr>
            <w:r w:rsidRPr="00FD0F9F">
              <w:rPr>
                <w:rFonts w:ascii="黑体" w:eastAsia="黑体" w:hAnsi="黑体" w:cs="宋体" w:hint="eastAsia"/>
                <w:color w:val="000000"/>
                <w:kern w:val="0"/>
                <w:sz w:val="28"/>
                <w:szCs w:val="28"/>
              </w:rPr>
              <w:t>基本信息</w:t>
            </w:r>
          </w:p>
        </w:tc>
        <w:tc>
          <w:tcPr>
            <w:tcW w:w="6792" w:type="dxa"/>
            <w:tcBorders>
              <w:top w:val="single" w:sz="8" w:space="0" w:color="FFFFFF"/>
              <w:left w:val="nil"/>
              <w:bottom w:val="single" w:sz="8" w:space="0" w:color="FFFFFF"/>
              <w:right w:val="single" w:sz="8" w:space="0" w:color="FFFFFF"/>
            </w:tcBorders>
            <w:shd w:val="clear" w:color="000000" w:fill="CFD5EA"/>
            <w:vAlign w:val="center"/>
            <w:hideMark/>
          </w:tcPr>
          <w:p w14:paraId="675A668F" w14:textId="77777777" w:rsidR="00FD0F9F" w:rsidRPr="00FD0F9F" w:rsidRDefault="00FD0F9F" w:rsidP="00FD0F9F">
            <w:pPr>
              <w:widowControl/>
              <w:jc w:val="left"/>
              <w:rPr>
                <w:rFonts w:ascii="黑体" w:eastAsia="黑体" w:hAnsi="黑体" w:cs="宋体"/>
                <w:color w:val="000000"/>
                <w:kern w:val="0"/>
                <w:sz w:val="28"/>
                <w:szCs w:val="28"/>
              </w:rPr>
            </w:pPr>
            <w:r w:rsidRPr="00FD0F9F">
              <w:rPr>
                <w:rFonts w:ascii="黑体" w:eastAsia="黑体" w:hAnsi="黑体" w:cs="宋体" w:hint="eastAsia"/>
                <w:color w:val="000000"/>
                <w:kern w:val="0"/>
                <w:sz w:val="28"/>
                <w:szCs w:val="28"/>
              </w:rPr>
              <w:t>油品种类、周转量等</w:t>
            </w:r>
          </w:p>
        </w:tc>
      </w:tr>
      <w:tr w:rsidR="00FD0F9F" w:rsidRPr="00FD0F9F" w14:paraId="7C71DAA5" w14:textId="77777777" w:rsidTr="00FD0F9F">
        <w:trPr>
          <w:trHeight w:val="1515"/>
        </w:trPr>
        <w:tc>
          <w:tcPr>
            <w:tcW w:w="1420" w:type="dxa"/>
            <w:tcBorders>
              <w:top w:val="nil"/>
              <w:left w:val="single" w:sz="8" w:space="0" w:color="FFFFFF"/>
              <w:bottom w:val="single" w:sz="8" w:space="0" w:color="FFFFFF"/>
              <w:right w:val="single" w:sz="8" w:space="0" w:color="FFFFFF"/>
            </w:tcBorders>
            <w:shd w:val="clear" w:color="000000" w:fill="CFD5EA"/>
            <w:vAlign w:val="center"/>
            <w:hideMark/>
          </w:tcPr>
          <w:p w14:paraId="0E1A0DE6" w14:textId="77777777" w:rsidR="00FD0F9F" w:rsidRPr="00FD0F9F" w:rsidRDefault="00FD0F9F" w:rsidP="00FD0F9F">
            <w:pPr>
              <w:widowControl/>
              <w:jc w:val="center"/>
              <w:rPr>
                <w:rFonts w:ascii="黑体" w:eastAsia="黑体" w:hAnsi="黑体" w:cs="宋体"/>
                <w:color w:val="000000"/>
                <w:kern w:val="0"/>
                <w:sz w:val="28"/>
                <w:szCs w:val="28"/>
              </w:rPr>
            </w:pPr>
            <w:r w:rsidRPr="00FD0F9F">
              <w:rPr>
                <w:rFonts w:ascii="黑体" w:eastAsia="黑体" w:hAnsi="黑体" w:cs="宋体" w:hint="eastAsia"/>
                <w:color w:val="000000"/>
                <w:kern w:val="0"/>
                <w:sz w:val="28"/>
                <w:szCs w:val="28"/>
              </w:rPr>
              <w:t>加油过程</w:t>
            </w:r>
          </w:p>
        </w:tc>
        <w:tc>
          <w:tcPr>
            <w:tcW w:w="6792" w:type="dxa"/>
            <w:tcBorders>
              <w:top w:val="nil"/>
              <w:left w:val="nil"/>
              <w:bottom w:val="single" w:sz="8" w:space="0" w:color="FFFFFF"/>
              <w:right w:val="single" w:sz="8" w:space="0" w:color="FFFFFF"/>
            </w:tcBorders>
            <w:shd w:val="clear" w:color="000000" w:fill="CFD5EA"/>
            <w:vAlign w:val="center"/>
            <w:hideMark/>
          </w:tcPr>
          <w:p w14:paraId="1893E2D6" w14:textId="77777777" w:rsidR="00FD0F9F" w:rsidRPr="00FD0F9F" w:rsidRDefault="00FD0F9F" w:rsidP="00FD0F9F">
            <w:pPr>
              <w:widowControl/>
              <w:jc w:val="left"/>
              <w:rPr>
                <w:rFonts w:ascii="黑体" w:eastAsia="黑体" w:hAnsi="黑体" w:cs="宋体"/>
                <w:color w:val="000000"/>
                <w:kern w:val="0"/>
                <w:sz w:val="28"/>
                <w:szCs w:val="28"/>
              </w:rPr>
            </w:pPr>
            <w:r w:rsidRPr="00FD0F9F">
              <w:rPr>
                <w:rFonts w:ascii="黑体" w:eastAsia="黑体" w:hAnsi="黑体" w:cs="宋体" w:hint="eastAsia"/>
                <w:color w:val="000000"/>
                <w:kern w:val="0"/>
                <w:sz w:val="28"/>
                <w:szCs w:val="28"/>
              </w:rPr>
              <w:t>气液比检测时间与结果，修复时间、采取的修复措施等；油气回收系统管 线液阻检测时间与结果，修复时间、采取的修复措施等；油气回收系统密 闭性检测时间与结果，修复时间、采取的修复措施等</w:t>
            </w:r>
          </w:p>
        </w:tc>
      </w:tr>
      <w:tr w:rsidR="00FD0F9F" w:rsidRPr="00FD0F9F" w14:paraId="0CC61B33" w14:textId="77777777" w:rsidTr="00FD0F9F">
        <w:trPr>
          <w:trHeight w:val="390"/>
        </w:trPr>
        <w:tc>
          <w:tcPr>
            <w:tcW w:w="1420" w:type="dxa"/>
            <w:tcBorders>
              <w:top w:val="nil"/>
              <w:left w:val="single" w:sz="8" w:space="0" w:color="FFFFFF"/>
              <w:bottom w:val="single" w:sz="8" w:space="0" w:color="FFFFFF"/>
              <w:right w:val="single" w:sz="8" w:space="0" w:color="FFFFFF"/>
            </w:tcBorders>
            <w:shd w:val="clear" w:color="000000" w:fill="CFD5EA"/>
            <w:vAlign w:val="center"/>
            <w:hideMark/>
          </w:tcPr>
          <w:p w14:paraId="36DDE0E8" w14:textId="77777777" w:rsidR="00FD0F9F" w:rsidRPr="00FD0F9F" w:rsidRDefault="00FD0F9F" w:rsidP="00FD0F9F">
            <w:pPr>
              <w:widowControl/>
              <w:jc w:val="center"/>
              <w:rPr>
                <w:rFonts w:ascii="黑体" w:eastAsia="黑体" w:hAnsi="黑体" w:cs="宋体"/>
                <w:color w:val="000000"/>
                <w:kern w:val="0"/>
                <w:sz w:val="28"/>
                <w:szCs w:val="28"/>
              </w:rPr>
            </w:pPr>
            <w:r w:rsidRPr="00FD0F9F">
              <w:rPr>
                <w:rFonts w:ascii="黑体" w:eastAsia="黑体" w:hAnsi="黑体" w:cs="宋体" w:hint="eastAsia"/>
                <w:color w:val="000000"/>
                <w:kern w:val="0"/>
                <w:sz w:val="28"/>
                <w:szCs w:val="28"/>
              </w:rPr>
              <w:t>卸油过程</w:t>
            </w:r>
          </w:p>
        </w:tc>
        <w:tc>
          <w:tcPr>
            <w:tcW w:w="6792" w:type="dxa"/>
            <w:tcBorders>
              <w:top w:val="nil"/>
              <w:left w:val="nil"/>
              <w:bottom w:val="single" w:sz="8" w:space="0" w:color="FFFFFF"/>
              <w:right w:val="single" w:sz="8" w:space="0" w:color="FFFFFF"/>
            </w:tcBorders>
            <w:shd w:val="clear" w:color="000000" w:fill="CFD5EA"/>
            <w:vAlign w:val="center"/>
            <w:hideMark/>
          </w:tcPr>
          <w:p w14:paraId="7909EC95" w14:textId="77777777" w:rsidR="00FD0F9F" w:rsidRPr="00FD0F9F" w:rsidRDefault="00FD0F9F" w:rsidP="00FD0F9F">
            <w:pPr>
              <w:widowControl/>
              <w:jc w:val="left"/>
              <w:rPr>
                <w:rFonts w:ascii="黑体" w:eastAsia="黑体" w:hAnsi="黑体" w:cs="宋体"/>
                <w:color w:val="000000"/>
                <w:kern w:val="0"/>
                <w:sz w:val="28"/>
                <w:szCs w:val="28"/>
              </w:rPr>
            </w:pPr>
            <w:r w:rsidRPr="00FD0F9F">
              <w:rPr>
                <w:rFonts w:ascii="黑体" w:eastAsia="黑体" w:hAnsi="黑体" w:cs="宋体" w:hint="eastAsia"/>
                <w:color w:val="000000"/>
                <w:kern w:val="0"/>
                <w:sz w:val="28"/>
                <w:szCs w:val="28"/>
              </w:rPr>
              <w:t>卸油时间、油品种类、油品来源、卸油量、卸油方式等</w:t>
            </w:r>
          </w:p>
        </w:tc>
      </w:tr>
      <w:tr w:rsidR="00FD0F9F" w:rsidRPr="00FD0F9F" w14:paraId="231662AA" w14:textId="77777777" w:rsidTr="00FD0F9F">
        <w:trPr>
          <w:trHeight w:val="765"/>
        </w:trPr>
        <w:tc>
          <w:tcPr>
            <w:tcW w:w="1420" w:type="dxa"/>
            <w:tcBorders>
              <w:top w:val="nil"/>
              <w:left w:val="single" w:sz="8" w:space="0" w:color="FFFFFF"/>
              <w:bottom w:val="single" w:sz="8" w:space="0" w:color="FFFFFF"/>
              <w:right w:val="single" w:sz="8" w:space="0" w:color="FFFFFF"/>
            </w:tcBorders>
            <w:shd w:val="clear" w:color="000000" w:fill="CFD5EA"/>
            <w:vAlign w:val="center"/>
            <w:hideMark/>
          </w:tcPr>
          <w:p w14:paraId="270E2BCD" w14:textId="77777777" w:rsidR="00FD0F9F" w:rsidRPr="00FD0F9F" w:rsidRDefault="00FD0F9F" w:rsidP="00FD0F9F">
            <w:pPr>
              <w:widowControl/>
              <w:jc w:val="center"/>
              <w:rPr>
                <w:rFonts w:ascii="黑体" w:eastAsia="黑体" w:hAnsi="黑体" w:cs="宋体"/>
                <w:color w:val="000000"/>
                <w:kern w:val="0"/>
                <w:sz w:val="28"/>
                <w:szCs w:val="28"/>
              </w:rPr>
            </w:pPr>
            <w:r w:rsidRPr="00FD0F9F">
              <w:rPr>
                <w:rFonts w:ascii="黑体" w:eastAsia="黑体" w:hAnsi="黑体" w:cs="宋体" w:hint="eastAsia"/>
                <w:color w:val="000000"/>
                <w:kern w:val="0"/>
                <w:sz w:val="28"/>
                <w:szCs w:val="28"/>
              </w:rPr>
              <w:t>油气处理装置</w:t>
            </w:r>
          </w:p>
        </w:tc>
        <w:tc>
          <w:tcPr>
            <w:tcW w:w="6792" w:type="dxa"/>
            <w:tcBorders>
              <w:top w:val="nil"/>
              <w:left w:val="nil"/>
              <w:bottom w:val="single" w:sz="8" w:space="0" w:color="FFFFFF"/>
              <w:right w:val="single" w:sz="8" w:space="0" w:color="FFFFFF"/>
            </w:tcBorders>
            <w:shd w:val="clear" w:color="000000" w:fill="CFD5EA"/>
            <w:vAlign w:val="center"/>
            <w:hideMark/>
          </w:tcPr>
          <w:p w14:paraId="65B31AC2" w14:textId="77777777" w:rsidR="00FD0F9F" w:rsidRPr="00FD0F9F" w:rsidRDefault="00FD0F9F" w:rsidP="00FD0F9F">
            <w:pPr>
              <w:widowControl/>
              <w:jc w:val="left"/>
              <w:rPr>
                <w:rFonts w:ascii="黑体" w:eastAsia="黑体" w:hAnsi="黑体" w:cs="宋体"/>
                <w:color w:val="000000"/>
                <w:kern w:val="0"/>
                <w:sz w:val="28"/>
                <w:szCs w:val="28"/>
              </w:rPr>
            </w:pPr>
            <w:r w:rsidRPr="00FD0F9F">
              <w:rPr>
                <w:rFonts w:ascii="黑体" w:eastAsia="黑体" w:hAnsi="黑体" w:cs="宋体" w:hint="eastAsia"/>
                <w:color w:val="000000"/>
                <w:kern w:val="0"/>
                <w:sz w:val="28"/>
                <w:szCs w:val="28"/>
              </w:rPr>
              <w:t>一次性吸附剂更换时间和更换量，再生型吸附剂再生周期、更换情况，废 吸附剂储存、处置情况等</w:t>
            </w:r>
          </w:p>
        </w:tc>
      </w:tr>
    </w:tbl>
    <w:p w14:paraId="4273E0C8" w14:textId="77777777" w:rsidR="00FD0F9F" w:rsidRPr="00FD0F9F" w:rsidRDefault="00FD0F9F" w:rsidP="00FD0F9F"/>
    <w:p w14:paraId="6C47308A" w14:textId="77777777" w:rsidR="001671A8" w:rsidRDefault="001671A8">
      <w:pPr>
        <w:widowControl/>
        <w:jc w:val="left"/>
      </w:pPr>
      <w:r>
        <w:br w:type="page"/>
      </w:r>
    </w:p>
    <w:p w14:paraId="4EE851BE" w14:textId="2BD8751B" w:rsidR="00712D4A" w:rsidRPr="00B97EC2" w:rsidRDefault="006E79EB" w:rsidP="00712D4A">
      <w:pPr>
        <w:pStyle w:val="1"/>
      </w:pPr>
      <w:r>
        <w:lastRenderedPageBreak/>
        <w:t>8</w:t>
      </w:r>
      <w:r w:rsidR="00712D4A" w:rsidRPr="00BB5B02">
        <w:t>.</w:t>
      </w:r>
      <w:r w:rsidR="00712D4A">
        <w:t xml:space="preserve"> </w:t>
      </w:r>
      <w:r w:rsidR="00E709D1">
        <w:t xml:space="preserve"> </w:t>
      </w:r>
      <w:r w:rsidR="00712D4A" w:rsidRPr="00B97EC2">
        <w:rPr>
          <w:rFonts w:hint="eastAsia"/>
        </w:rPr>
        <w:t>参考文件</w:t>
      </w:r>
    </w:p>
    <w:bookmarkEnd w:id="0"/>
    <w:p w14:paraId="7BC46BF7" w14:textId="4CFB5E0A" w:rsidR="008C6E59" w:rsidRPr="008C264C" w:rsidRDefault="00941264" w:rsidP="008C264C">
      <w:pPr>
        <w:jc w:val="left"/>
        <w:rPr>
          <w:rFonts w:ascii="Times New Roman" w:eastAsia="黑体" w:hAnsi="Times New Roman" w:cs="Times New Roman"/>
          <w:sz w:val="36"/>
          <w:szCs w:val="36"/>
        </w:rPr>
      </w:pPr>
      <w:r w:rsidRPr="008C264C">
        <w:rPr>
          <w:rFonts w:ascii="Times New Roman" w:eastAsia="黑体" w:hAnsi="Times New Roman" w:cs="Times New Roman" w:hint="eastAsia"/>
          <w:sz w:val="36"/>
          <w:szCs w:val="36"/>
        </w:rPr>
        <w:t>《加油站大气污染物排放标准》（</w:t>
      </w:r>
      <w:r w:rsidRPr="008C264C">
        <w:rPr>
          <w:rFonts w:ascii="Times New Roman" w:eastAsia="黑体" w:hAnsi="Times New Roman" w:cs="Times New Roman"/>
          <w:sz w:val="36"/>
          <w:szCs w:val="36"/>
        </w:rPr>
        <w:t>GB 20952—2020</w:t>
      </w:r>
      <w:r w:rsidRPr="008C264C">
        <w:rPr>
          <w:rFonts w:ascii="Times New Roman" w:eastAsia="黑体" w:hAnsi="Times New Roman" w:cs="Times New Roman" w:hint="eastAsia"/>
          <w:sz w:val="36"/>
          <w:szCs w:val="36"/>
        </w:rPr>
        <w:t>）</w:t>
      </w:r>
    </w:p>
    <w:p w14:paraId="2271F056" w14:textId="067A9ABC" w:rsidR="00941264" w:rsidRPr="008C264C" w:rsidRDefault="00941264" w:rsidP="008C264C">
      <w:pPr>
        <w:jc w:val="left"/>
        <w:rPr>
          <w:rFonts w:ascii="Times New Roman" w:eastAsia="黑体" w:hAnsi="Times New Roman" w:cs="Times New Roman"/>
          <w:sz w:val="36"/>
          <w:szCs w:val="36"/>
        </w:rPr>
      </w:pPr>
      <w:r w:rsidRPr="008C264C">
        <w:rPr>
          <w:rFonts w:ascii="Times New Roman" w:eastAsia="黑体" w:hAnsi="Times New Roman" w:cs="Times New Roman" w:hint="eastAsia"/>
          <w:sz w:val="36"/>
          <w:szCs w:val="36"/>
        </w:rPr>
        <w:t>《油品储运销挥发性有机物治理实用手册》</w:t>
      </w:r>
    </w:p>
    <w:p w14:paraId="3EDD15AE" w14:textId="77777777" w:rsidR="00941264" w:rsidRPr="008C264C" w:rsidRDefault="00941264" w:rsidP="008C264C">
      <w:pPr>
        <w:jc w:val="left"/>
        <w:rPr>
          <w:rFonts w:ascii="Times New Roman" w:eastAsia="黑体" w:hAnsi="Times New Roman" w:cs="Times New Roman"/>
          <w:sz w:val="36"/>
          <w:szCs w:val="36"/>
        </w:rPr>
      </w:pPr>
      <w:r w:rsidRPr="008C264C">
        <w:rPr>
          <w:rFonts w:ascii="Times New Roman" w:eastAsia="黑体" w:hAnsi="Times New Roman" w:cs="Times New Roman" w:hint="eastAsia"/>
          <w:sz w:val="36"/>
          <w:szCs w:val="36"/>
        </w:rPr>
        <w:t>《挥发性有机物治理实用手册》</w:t>
      </w:r>
    </w:p>
    <w:p w14:paraId="1F8B2B53" w14:textId="06D1EF7C" w:rsidR="00941264" w:rsidRPr="008C264C" w:rsidRDefault="00941264" w:rsidP="008C264C">
      <w:pPr>
        <w:jc w:val="left"/>
        <w:rPr>
          <w:rFonts w:ascii="Times New Roman" w:eastAsia="黑体" w:hAnsi="Times New Roman" w:cs="Times New Roman"/>
          <w:sz w:val="36"/>
          <w:szCs w:val="36"/>
        </w:rPr>
      </w:pPr>
      <w:r w:rsidRPr="008C264C">
        <w:rPr>
          <w:rFonts w:ascii="Times New Roman" w:eastAsia="黑体" w:hAnsi="Times New Roman" w:cs="Times New Roman" w:hint="eastAsia"/>
          <w:sz w:val="36"/>
          <w:szCs w:val="36"/>
        </w:rPr>
        <w:t>《重点行业企业挥发性有机物现场检查指南（试行）》</w:t>
      </w:r>
    </w:p>
    <w:p w14:paraId="49FD3971" w14:textId="42957F70" w:rsidR="00941264" w:rsidRPr="008C264C" w:rsidRDefault="00941264" w:rsidP="008C264C">
      <w:pPr>
        <w:jc w:val="left"/>
        <w:rPr>
          <w:rFonts w:ascii="Times New Roman" w:eastAsia="黑体" w:hAnsi="Times New Roman" w:cs="Times New Roman"/>
          <w:sz w:val="36"/>
          <w:szCs w:val="36"/>
        </w:rPr>
      </w:pPr>
      <w:r w:rsidRPr="008C264C">
        <w:rPr>
          <w:rFonts w:ascii="Times New Roman" w:eastAsia="黑体" w:hAnsi="Times New Roman" w:cs="Times New Roman" w:hint="eastAsia"/>
          <w:sz w:val="36"/>
          <w:szCs w:val="36"/>
        </w:rPr>
        <w:t>《浙江省挥发性有机物污染防治可行技术指南</w:t>
      </w:r>
      <w:r w:rsidRPr="008C264C">
        <w:rPr>
          <w:rFonts w:ascii="Times New Roman" w:eastAsia="黑体" w:hAnsi="Times New Roman" w:cs="Times New Roman"/>
          <w:sz w:val="36"/>
          <w:szCs w:val="36"/>
        </w:rPr>
        <w:t xml:space="preserve">  </w:t>
      </w:r>
      <w:r w:rsidRPr="008C264C">
        <w:rPr>
          <w:rFonts w:ascii="Times New Roman" w:eastAsia="黑体" w:hAnsi="Times New Roman" w:cs="Times New Roman"/>
          <w:sz w:val="36"/>
          <w:szCs w:val="36"/>
        </w:rPr>
        <w:t>油品、液体化工物料储存和运输</w:t>
      </w:r>
      <w:r w:rsidRPr="008C264C">
        <w:rPr>
          <w:rFonts w:ascii="Times New Roman" w:eastAsia="黑体" w:hAnsi="Times New Roman" w:cs="Times New Roman" w:hint="eastAsia"/>
          <w:sz w:val="36"/>
          <w:szCs w:val="36"/>
        </w:rPr>
        <w:t>》</w:t>
      </w:r>
    </w:p>
    <w:sectPr w:rsidR="00941264" w:rsidRPr="008C26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24ED8" w14:textId="77777777" w:rsidR="00D63E7C" w:rsidRDefault="00D63E7C" w:rsidP="006E5D21">
      <w:r>
        <w:separator/>
      </w:r>
    </w:p>
  </w:endnote>
  <w:endnote w:type="continuationSeparator" w:id="0">
    <w:p w14:paraId="74B0204F" w14:textId="77777777" w:rsidR="00D63E7C" w:rsidRDefault="00D63E7C" w:rsidP="006E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ED60A" w14:textId="77777777" w:rsidR="00D63E7C" w:rsidRDefault="00D63E7C" w:rsidP="006E5D21">
      <w:r>
        <w:separator/>
      </w:r>
    </w:p>
  </w:footnote>
  <w:footnote w:type="continuationSeparator" w:id="0">
    <w:p w14:paraId="4AB2AAE1" w14:textId="77777777" w:rsidR="00D63E7C" w:rsidRDefault="00D63E7C" w:rsidP="006E5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718B4"/>
    <w:multiLevelType w:val="hybridMultilevel"/>
    <w:tmpl w:val="C0F4D212"/>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 w15:restartNumberingAfterBreak="0">
    <w:nsid w:val="7C423D49"/>
    <w:multiLevelType w:val="hybridMultilevel"/>
    <w:tmpl w:val="C0F4D212"/>
    <w:lvl w:ilvl="0" w:tplc="9112C11E">
      <w:start w:val="1"/>
      <w:numFmt w:val="decimal"/>
      <w:lvlText w:val="%1."/>
      <w:lvlJc w:val="left"/>
      <w:pPr>
        <w:tabs>
          <w:tab w:val="num" w:pos="720"/>
        </w:tabs>
        <w:ind w:left="720" w:hanging="360"/>
      </w:pPr>
    </w:lvl>
    <w:lvl w:ilvl="1" w:tplc="0DCA7F94" w:tentative="1">
      <w:start w:val="1"/>
      <w:numFmt w:val="decimal"/>
      <w:lvlText w:val="%2."/>
      <w:lvlJc w:val="left"/>
      <w:pPr>
        <w:tabs>
          <w:tab w:val="num" w:pos="1440"/>
        </w:tabs>
        <w:ind w:left="1440" w:hanging="360"/>
      </w:pPr>
    </w:lvl>
    <w:lvl w:ilvl="2" w:tplc="CA7A4FA6" w:tentative="1">
      <w:start w:val="1"/>
      <w:numFmt w:val="decimal"/>
      <w:lvlText w:val="%3."/>
      <w:lvlJc w:val="left"/>
      <w:pPr>
        <w:tabs>
          <w:tab w:val="num" w:pos="2160"/>
        </w:tabs>
        <w:ind w:left="2160" w:hanging="360"/>
      </w:pPr>
    </w:lvl>
    <w:lvl w:ilvl="3" w:tplc="1D94412E" w:tentative="1">
      <w:start w:val="1"/>
      <w:numFmt w:val="decimal"/>
      <w:lvlText w:val="%4."/>
      <w:lvlJc w:val="left"/>
      <w:pPr>
        <w:tabs>
          <w:tab w:val="num" w:pos="2880"/>
        </w:tabs>
        <w:ind w:left="2880" w:hanging="360"/>
      </w:pPr>
    </w:lvl>
    <w:lvl w:ilvl="4" w:tplc="D2187546" w:tentative="1">
      <w:start w:val="1"/>
      <w:numFmt w:val="decimal"/>
      <w:lvlText w:val="%5."/>
      <w:lvlJc w:val="left"/>
      <w:pPr>
        <w:tabs>
          <w:tab w:val="num" w:pos="3600"/>
        </w:tabs>
        <w:ind w:left="3600" w:hanging="360"/>
      </w:pPr>
    </w:lvl>
    <w:lvl w:ilvl="5" w:tplc="5D8E9DDC" w:tentative="1">
      <w:start w:val="1"/>
      <w:numFmt w:val="decimal"/>
      <w:lvlText w:val="%6."/>
      <w:lvlJc w:val="left"/>
      <w:pPr>
        <w:tabs>
          <w:tab w:val="num" w:pos="4320"/>
        </w:tabs>
        <w:ind w:left="4320" w:hanging="360"/>
      </w:pPr>
    </w:lvl>
    <w:lvl w:ilvl="6" w:tplc="A64AEDC2" w:tentative="1">
      <w:start w:val="1"/>
      <w:numFmt w:val="decimal"/>
      <w:lvlText w:val="%7."/>
      <w:lvlJc w:val="left"/>
      <w:pPr>
        <w:tabs>
          <w:tab w:val="num" w:pos="5040"/>
        </w:tabs>
        <w:ind w:left="5040" w:hanging="360"/>
      </w:pPr>
    </w:lvl>
    <w:lvl w:ilvl="7" w:tplc="F17264FC" w:tentative="1">
      <w:start w:val="1"/>
      <w:numFmt w:val="decimal"/>
      <w:lvlText w:val="%8."/>
      <w:lvlJc w:val="left"/>
      <w:pPr>
        <w:tabs>
          <w:tab w:val="num" w:pos="5760"/>
        </w:tabs>
        <w:ind w:left="5760" w:hanging="360"/>
      </w:pPr>
    </w:lvl>
    <w:lvl w:ilvl="8" w:tplc="8724ED0E" w:tentative="1">
      <w:start w:val="1"/>
      <w:numFmt w:val="decimal"/>
      <w:lvlText w:val="%9."/>
      <w:lvlJc w:val="left"/>
      <w:pPr>
        <w:tabs>
          <w:tab w:val="num" w:pos="6480"/>
        </w:tabs>
        <w:ind w:left="6480" w:hanging="360"/>
      </w:pPr>
    </w:lvl>
  </w:abstractNum>
  <w:num w:numId="1" w16cid:durableId="130875605">
    <w:abstractNumId w:val="1"/>
  </w:num>
  <w:num w:numId="2" w16cid:durableId="1497459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31"/>
    <w:rsid w:val="000011C6"/>
    <w:rsid w:val="00012046"/>
    <w:rsid w:val="001671A8"/>
    <w:rsid w:val="001C58FE"/>
    <w:rsid w:val="00212E15"/>
    <w:rsid w:val="00304EB9"/>
    <w:rsid w:val="00362642"/>
    <w:rsid w:val="004E1767"/>
    <w:rsid w:val="00526A2F"/>
    <w:rsid w:val="005666BE"/>
    <w:rsid w:val="00586085"/>
    <w:rsid w:val="006E5D21"/>
    <w:rsid w:val="006E79EB"/>
    <w:rsid w:val="00712D4A"/>
    <w:rsid w:val="00764EDB"/>
    <w:rsid w:val="00853C4B"/>
    <w:rsid w:val="008C264C"/>
    <w:rsid w:val="008C6E59"/>
    <w:rsid w:val="00941264"/>
    <w:rsid w:val="009B42E0"/>
    <w:rsid w:val="00A329D3"/>
    <w:rsid w:val="00AD3CBB"/>
    <w:rsid w:val="00B52BE5"/>
    <w:rsid w:val="00B602D4"/>
    <w:rsid w:val="00BC3B99"/>
    <w:rsid w:val="00C4210E"/>
    <w:rsid w:val="00C6211B"/>
    <w:rsid w:val="00CF3D18"/>
    <w:rsid w:val="00D05FA7"/>
    <w:rsid w:val="00D21557"/>
    <w:rsid w:val="00D63E7C"/>
    <w:rsid w:val="00DA7620"/>
    <w:rsid w:val="00DF3D31"/>
    <w:rsid w:val="00E12569"/>
    <w:rsid w:val="00E709D1"/>
    <w:rsid w:val="00E9245D"/>
    <w:rsid w:val="00F23176"/>
    <w:rsid w:val="00F92A67"/>
    <w:rsid w:val="00FD0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ECA74"/>
  <w15:chartTrackingRefBased/>
  <w15:docId w15:val="{DF3799C9-DD38-4B27-BEC7-F7A111BE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12D4A"/>
    <w:pPr>
      <w:keepNext/>
      <w:keepLines/>
      <w:spacing w:line="360" w:lineRule="auto"/>
      <w:outlineLvl w:val="0"/>
    </w:pPr>
    <w:rPr>
      <w:rFonts w:ascii="Times New Roman" w:hAnsi="Times New Roman" w:cs="Times New Roman"/>
      <w:b/>
      <w:bCs/>
      <w:kern w:val="44"/>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D21"/>
    <w:pPr>
      <w:tabs>
        <w:tab w:val="center" w:pos="4153"/>
        <w:tab w:val="right" w:pos="8306"/>
      </w:tabs>
      <w:snapToGrid w:val="0"/>
      <w:jc w:val="center"/>
    </w:pPr>
    <w:rPr>
      <w:sz w:val="18"/>
      <w:szCs w:val="18"/>
    </w:rPr>
  </w:style>
  <w:style w:type="character" w:customStyle="1" w:styleId="a4">
    <w:name w:val="页眉 字符"/>
    <w:basedOn w:val="a0"/>
    <w:link w:val="a3"/>
    <w:uiPriority w:val="99"/>
    <w:rsid w:val="006E5D21"/>
    <w:rPr>
      <w:sz w:val="18"/>
      <w:szCs w:val="18"/>
    </w:rPr>
  </w:style>
  <w:style w:type="paragraph" w:styleId="a5">
    <w:name w:val="footer"/>
    <w:basedOn w:val="a"/>
    <w:link w:val="a6"/>
    <w:uiPriority w:val="99"/>
    <w:unhideWhenUsed/>
    <w:rsid w:val="006E5D21"/>
    <w:pPr>
      <w:tabs>
        <w:tab w:val="center" w:pos="4153"/>
        <w:tab w:val="right" w:pos="8306"/>
      </w:tabs>
      <w:snapToGrid w:val="0"/>
      <w:jc w:val="left"/>
    </w:pPr>
    <w:rPr>
      <w:sz w:val="18"/>
      <w:szCs w:val="18"/>
    </w:rPr>
  </w:style>
  <w:style w:type="character" w:customStyle="1" w:styleId="a6">
    <w:name w:val="页脚 字符"/>
    <w:basedOn w:val="a0"/>
    <w:link w:val="a5"/>
    <w:uiPriority w:val="99"/>
    <w:rsid w:val="006E5D21"/>
    <w:rPr>
      <w:sz w:val="18"/>
      <w:szCs w:val="18"/>
    </w:rPr>
  </w:style>
  <w:style w:type="paragraph" w:styleId="a7">
    <w:name w:val="Normal (Web)"/>
    <w:basedOn w:val="a"/>
    <w:uiPriority w:val="99"/>
    <w:unhideWhenUsed/>
    <w:rsid w:val="006E5D21"/>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712D4A"/>
    <w:pPr>
      <w:widowControl/>
      <w:ind w:firstLineChars="200" w:firstLine="420"/>
      <w:jc w:val="left"/>
    </w:pPr>
    <w:rPr>
      <w:rFonts w:ascii="宋体" w:eastAsia="宋体" w:hAnsi="宋体" w:cs="宋体"/>
      <w:kern w:val="0"/>
      <w:sz w:val="24"/>
      <w:szCs w:val="24"/>
    </w:rPr>
  </w:style>
  <w:style w:type="character" w:customStyle="1" w:styleId="10">
    <w:name w:val="标题 1 字符"/>
    <w:basedOn w:val="a0"/>
    <w:link w:val="1"/>
    <w:uiPriority w:val="9"/>
    <w:rsid w:val="00712D4A"/>
    <w:rPr>
      <w:rFonts w:ascii="Times New Roman" w:hAnsi="Times New Roman" w:cs="Times New Roman"/>
      <w:b/>
      <w:bCs/>
      <w:kern w:val="44"/>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4185">
      <w:bodyDiv w:val="1"/>
      <w:marLeft w:val="0"/>
      <w:marRight w:val="0"/>
      <w:marTop w:val="0"/>
      <w:marBottom w:val="0"/>
      <w:divBdr>
        <w:top w:val="none" w:sz="0" w:space="0" w:color="auto"/>
        <w:left w:val="none" w:sz="0" w:space="0" w:color="auto"/>
        <w:bottom w:val="none" w:sz="0" w:space="0" w:color="auto"/>
        <w:right w:val="none" w:sz="0" w:space="0" w:color="auto"/>
      </w:divBdr>
    </w:div>
    <w:div w:id="317734461">
      <w:bodyDiv w:val="1"/>
      <w:marLeft w:val="0"/>
      <w:marRight w:val="0"/>
      <w:marTop w:val="0"/>
      <w:marBottom w:val="0"/>
      <w:divBdr>
        <w:top w:val="none" w:sz="0" w:space="0" w:color="auto"/>
        <w:left w:val="none" w:sz="0" w:space="0" w:color="auto"/>
        <w:bottom w:val="none" w:sz="0" w:space="0" w:color="auto"/>
        <w:right w:val="none" w:sz="0" w:space="0" w:color="auto"/>
      </w:divBdr>
    </w:div>
    <w:div w:id="371081590">
      <w:bodyDiv w:val="1"/>
      <w:marLeft w:val="0"/>
      <w:marRight w:val="0"/>
      <w:marTop w:val="0"/>
      <w:marBottom w:val="0"/>
      <w:divBdr>
        <w:top w:val="none" w:sz="0" w:space="0" w:color="auto"/>
        <w:left w:val="none" w:sz="0" w:space="0" w:color="auto"/>
        <w:bottom w:val="none" w:sz="0" w:space="0" w:color="auto"/>
        <w:right w:val="none" w:sz="0" w:space="0" w:color="auto"/>
      </w:divBdr>
    </w:div>
    <w:div w:id="494609834">
      <w:bodyDiv w:val="1"/>
      <w:marLeft w:val="0"/>
      <w:marRight w:val="0"/>
      <w:marTop w:val="0"/>
      <w:marBottom w:val="0"/>
      <w:divBdr>
        <w:top w:val="none" w:sz="0" w:space="0" w:color="auto"/>
        <w:left w:val="none" w:sz="0" w:space="0" w:color="auto"/>
        <w:bottom w:val="none" w:sz="0" w:space="0" w:color="auto"/>
        <w:right w:val="none" w:sz="0" w:space="0" w:color="auto"/>
      </w:divBdr>
    </w:div>
    <w:div w:id="500463938">
      <w:bodyDiv w:val="1"/>
      <w:marLeft w:val="0"/>
      <w:marRight w:val="0"/>
      <w:marTop w:val="0"/>
      <w:marBottom w:val="0"/>
      <w:divBdr>
        <w:top w:val="none" w:sz="0" w:space="0" w:color="auto"/>
        <w:left w:val="none" w:sz="0" w:space="0" w:color="auto"/>
        <w:bottom w:val="none" w:sz="0" w:space="0" w:color="auto"/>
        <w:right w:val="none" w:sz="0" w:space="0" w:color="auto"/>
      </w:divBdr>
    </w:div>
    <w:div w:id="785004745">
      <w:bodyDiv w:val="1"/>
      <w:marLeft w:val="0"/>
      <w:marRight w:val="0"/>
      <w:marTop w:val="0"/>
      <w:marBottom w:val="0"/>
      <w:divBdr>
        <w:top w:val="none" w:sz="0" w:space="0" w:color="auto"/>
        <w:left w:val="none" w:sz="0" w:space="0" w:color="auto"/>
        <w:bottom w:val="none" w:sz="0" w:space="0" w:color="auto"/>
        <w:right w:val="none" w:sz="0" w:space="0" w:color="auto"/>
      </w:divBdr>
    </w:div>
    <w:div w:id="825241144">
      <w:bodyDiv w:val="1"/>
      <w:marLeft w:val="0"/>
      <w:marRight w:val="0"/>
      <w:marTop w:val="0"/>
      <w:marBottom w:val="0"/>
      <w:divBdr>
        <w:top w:val="none" w:sz="0" w:space="0" w:color="auto"/>
        <w:left w:val="none" w:sz="0" w:space="0" w:color="auto"/>
        <w:bottom w:val="none" w:sz="0" w:space="0" w:color="auto"/>
        <w:right w:val="none" w:sz="0" w:space="0" w:color="auto"/>
      </w:divBdr>
    </w:div>
    <w:div w:id="844712094">
      <w:bodyDiv w:val="1"/>
      <w:marLeft w:val="0"/>
      <w:marRight w:val="0"/>
      <w:marTop w:val="0"/>
      <w:marBottom w:val="0"/>
      <w:divBdr>
        <w:top w:val="none" w:sz="0" w:space="0" w:color="auto"/>
        <w:left w:val="none" w:sz="0" w:space="0" w:color="auto"/>
        <w:bottom w:val="none" w:sz="0" w:space="0" w:color="auto"/>
        <w:right w:val="none" w:sz="0" w:space="0" w:color="auto"/>
      </w:divBdr>
    </w:div>
    <w:div w:id="1021248853">
      <w:bodyDiv w:val="1"/>
      <w:marLeft w:val="0"/>
      <w:marRight w:val="0"/>
      <w:marTop w:val="0"/>
      <w:marBottom w:val="0"/>
      <w:divBdr>
        <w:top w:val="none" w:sz="0" w:space="0" w:color="auto"/>
        <w:left w:val="none" w:sz="0" w:space="0" w:color="auto"/>
        <w:bottom w:val="none" w:sz="0" w:space="0" w:color="auto"/>
        <w:right w:val="none" w:sz="0" w:space="0" w:color="auto"/>
      </w:divBdr>
    </w:div>
    <w:div w:id="1340497422">
      <w:bodyDiv w:val="1"/>
      <w:marLeft w:val="0"/>
      <w:marRight w:val="0"/>
      <w:marTop w:val="0"/>
      <w:marBottom w:val="0"/>
      <w:divBdr>
        <w:top w:val="none" w:sz="0" w:space="0" w:color="auto"/>
        <w:left w:val="none" w:sz="0" w:space="0" w:color="auto"/>
        <w:bottom w:val="none" w:sz="0" w:space="0" w:color="auto"/>
        <w:right w:val="none" w:sz="0" w:space="0" w:color="auto"/>
      </w:divBdr>
    </w:div>
    <w:div w:id="1879125659">
      <w:bodyDiv w:val="1"/>
      <w:marLeft w:val="0"/>
      <w:marRight w:val="0"/>
      <w:marTop w:val="0"/>
      <w:marBottom w:val="0"/>
      <w:divBdr>
        <w:top w:val="none" w:sz="0" w:space="0" w:color="auto"/>
        <w:left w:val="none" w:sz="0" w:space="0" w:color="auto"/>
        <w:bottom w:val="none" w:sz="0" w:space="0" w:color="auto"/>
        <w:right w:val="none" w:sz="0" w:space="0" w:color="auto"/>
      </w:divBdr>
    </w:div>
    <w:div w:id="194445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467DA-A5CE-41F7-850B-1C2008520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3469</TotalTime>
  <Pages>11</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浩哲 盛</dc:creator>
  <cp:keywords/>
  <dc:description/>
  <cp:lastModifiedBy>浩哲 盛</cp:lastModifiedBy>
  <cp:revision>11</cp:revision>
  <dcterms:created xsi:type="dcterms:W3CDTF">2023-08-19T08:04:00Z</dcterms:created>
  <dcterms:modified xsi:type="dcterms:W3CDTF">2023-08-28T00:39:00Z</dcterms:modified>
</cp:coreProperties>
</file>