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63416">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aps w:val="0"/>
          <w:smallCaps w:val="0"/>
          <w:kern w:val="0"/>
          <w:sz w:val="24"/>
          <w:szCs w:val="24"/>
          <w:highlight w:val="none"/>
          <w:lang w:val="en-US" w:eastAsia="zh-CN"/>
        </w:rPr>
      </w:pPr>
      <w:r>
        <w:rPr>
          <w:rFonts w:hint="eastAsia" w:ascii="宋体" w:hAnsi="宋体" w:eastAsia="宋体" w:cs="宋体"/>
          <w:caps w:val="0"/>
          <w:smallCaps w:val="0"/>
          <w:kern w:val="0"/>
          <w:sz w:val="24"/>
          <w:szCs w:val="24"/>
          <w:highlight w:val="none"/>
          <w:lang w:val="en-US" w:eastAsia="zh-CN"/>
        </w:rPr>
        <w:t>设备</w:t>
      </w:r>
      <w:r>
        <w:rPr>
          <w:rFonts w:hint="eastAsia" w:ascii="宋体" w:hAnsi="宋体" w:cs="宋体"/>
          <w:caps w:val="0"/>
          <w:smallCaps w:val="0"/>
          <w:kern w:val="0"/>
          <w:sz w:val="24"/>
          <w:szCs w:val="24"/>
          <w:highlight w:val="none"/>
          <w:lang w:val="en-US" w:eastAsia="zh-CN"/>
        </w:rPr>
        <w:t>采购</w:t>
      </w:r>
      <w:r>
        <w:rPr>
          <w:rFonts w:hint="eastAsia" w:ascii="宋体" w:hAnsi="宋体" w:eastAsia="宋体" w:cs="宋体"/>
          <w:caps w:val="0"/>
          <w:smallCaps w:val="0"/>
          <w:kern w:val="0"/>
          <w:sz w:val="24"/>
          <w:szCs w:val="24"/>
          <w:highlight w:val="none"/>
          <w:lang w:val="en-US" w:eastAsia="zh-CN"/>
        </w:rPr>
        <w:t>清单：</w:t>
      </w:r>
    </w:p>
    <w:tbl>
      <w:tblPr>
        <w:tblStyle w:val="2"/>
        <w:tblW w:w="500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3"/>
        <w:gridCol w:w="1576"/>
        <w:gridCol w:w="4080"/>
        <w:gridCol w:w="930"/>
        <w:gridCol w:w="765"/>
        <w:gridCol w:w="668"/>
      </w:tblGrid>
      <w:tr w14:paraId="31B92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95" w:type="dxa"/>
            <w:tcBorders>
              <w:top w:val="single" w:color="auto" w:sz="4" w:space="0"/>
              <w:left w:val="single" w:color="auto" w:sz="4" w:space="0"/>
              <w:bottom w:val="single" w:color="auto" w:sz="4" w:space="0"/>
              <w:right w:val="single" w:color="auto" w:sz="4" w:space="0"/>
            </w:tcBorders>
            <w:noWrap/>
            <w:vAlign w:val="center"/>
          </w:tcPr>
          <w:p w14:paraId="10F803F1">
            <w:pPr>
              <w:keepNext w:val="0"/>
              <w:keepLines w:val="0"/>
              <w:widowControl/>
              <w:suppressLineNumbers w:val="0"/>
              <w:jc w:val="center"/>
              <w:rPr>
                <w:rFonts w:hint="eastAsia" w:ascii="宋体" w:hAnsi="宋体" w:eastAsia="宋体"/>
                <w:i w:val="0"/>
                <w:iCs w:val="0"/>
                <w:color w:val="auto"/>
                <w:sz w:val="22"/>
                <w:szCs w:val="22"/>
                <w:highlight w:val="none"/>
                <w:u w:val="none"/>
                <w:lang w:val="en-US" w:eastAsia="zh-CN"/>
              </w:rPr>
            </w:pPr>
            <w:r>
              <w:rPr>
                <w:rFonts w:hint="eastAsia" w:ascii="宋体" w:hAnsi="宋体" w:eastAsia="宋体"/>
                <w:i w:val="0"/>
                <w:iCs w:val="0"/>
                <w:color w:val="auto"/>
                <w:sz w:val="22"/>
                <w:szCs w:val="22"/>
                <w:highlight w:val="none"/>
                <w:u w:val="none"/>
                <w:lang w:val="en-US" w:eastAsia="zh-CN"/>
              </w:rPr>
              <w:t>序号</w:t>
            </w:r>
          </w:p>
        </w:tc>
        <w:tc>
          <w:tcPr>
            <w:tcW w:w="924" w:type="dxa"/>
            <w:tcBorders>
              <w:top w:val="single" w:color="auto" w:sz="4" w:space="0"/>
              <w:left w:val="single" w:color="auto" w:sz="4" w:space="0"/>
              <w:bottom w:val="single" w:color="auto" w:sz="4" w:space="0"/>
              <w:right w:val="single" w:color="auto" w:sz="4" w:space="0"/>
            </w:tcBorders>
            <w:noWrap w:val="0"/>
            <w:vAlign w:val="center"/>
          </w:tcPr>
          <w:p w14:paraId="619A59FE">
            <w:pPr>
              <w:keepNext w:val="0"/>
              <w:keepLines w:val="0"/>
              <w:widowControl/>
              <w:suppressLineNumbers w:val="0"/>
              <w:jc w:val="center"/>
              <w:rPr>
                <w:rFonts w:hint="eastAsia" w:ascii="宋体" w:hAnsi="宋体" w:eastAsia="宋体"/>
                <w:i w:val="0"/>
                <w:iCs w:val="0"/>
                <w:color w:val="auto"/>
                <w:sz w:val="22"/>
                <w:szCs w:val="22"/>
                <w:highlight w:val="none"/>
                <w:u w:val="none"/>
                <w:lang w:val="en-US" w:eastAsia="zh-CN"/>
              </w:rPr>
            </w:pPr>
            <w:r>
              <w:rPr>
                <w:rFonts w:hint="eastAsia" w:ascii="宋体" w:hAnsi="宋体" w:eastAsia="宋体"/>
                <w:i w:val="0"/>
                <w:iCs w:val="0"/>
                <w:color w:val="auto"/>
                <w:sz w:val="22"/>
                <w:szCs w:val="22"/>
                <w:highlight w:val="none"/>
                <w:u w:val="none"/>
                <w:lang w:val="en-US" w:eastAsia="zh-CN"/>
              </w:rPr>
              <w:t>设备名称</w:t>
            </w:r>
          </w:p>
        </w:tc>
        <w:tc>
          <w:tcPr>
            <w:tcW w:w="2393" w:type="dxa"/>
            <w:tcBorders>
              <w:top w:val="single" w:color="auto" w:sz="4" w:space="0"/>
              <w:left w:val="single" w:color="auto" w:sz="4" w:space="0"/>
              <w:bottom w:val="single" w:color="auto" w:sz="4" w:space="0"/>
              <w:right w:val="single" w:color="auto" w:sz="4" w:space="0"/>
            </w:tcBorders>
            <w:noWrap w:val="0"/>
            <w:vAlign w:val="center"/>
          </w:tcPr>
          <w:p w14:paraId="1BAA58F6">
            <w:pPr>
              <w:keepNext w:val="0"/>
              <w:keepLines w:val="0"/>
              <w:widowControl/>
              <w:suppressLineNumbers w:val="0"/>
              <w:jc w:val="center"/>
              <w:rPr>
                <w:rFonts w:hint="eastAsia" w:ascii="宋体" w:hAnsi="宋体" w:eastAsia="宋体"/>
                <w:i w:val="0"/>
                <w:iCs w:val="0"/>
                <w:color w:val="auto"/>
                <w:kern w:val="0"/>
                <w:sz w:val="22"/>
                <w:szCs w:val="22"/>
                <w:highlight w:val="none"/>
                <w:u w:val="none"/>
                <w:lang w:val="en-US" w:eastAsia="zh-CN" w:bidi="ar"/>
              </w:rPr>
            </w:pPr>
            <w:r>
              <w:rPr>
                <w:rFonts w:hint="eastAsia" w:ascii="宋体" w:hAnsi="宋体" w:eastAsia="宋体"/>
                <w:i w:val="0"/>
                <w:iCs w:val="0"/>
                <w:color w:val="auto"/>
                <w:kern w:val="0"/>
                <w:sz w:val="22"/>
                <w:szCs w:val="22"/>
                <w:highlight w:val="none"/>
                <w:u w:val="none"/>
                <w:lang w:val="en-US" w:eastAsia="zh-CN" w:bidi="ar"/>
              </w:rPr>
              <w:t>技术参数</w:t>
            </w:r>
          </w:p>
        </w:tc>
        <w:tc>
          <w:tcPr>
            <w:tcW w:w="545" w:type="dxa"/>
            <w:tcBorders>
              <w:top w:val="single" w:color="auto" w:sz="4" w:space="0"/>
              <w:left w:val="single" w:color="auto" w:sz="4" w:space="0"/>
              <w:bottom w:val="single" w:color="auto" w:sz="4" w:space="0"/>
              <w:right w:val="single" w:color="auto" w:sz="4" w:space="0"/>
            </w:tcBorders>
            <w:noWrap w:val="0"/>
            <w:vAlign w:val="center"/>
          </w:tcPr>
          <w:p w14:paraId="58B96461">
            <w:pPr>
              <w:keepNext w:val="0"/>
              <w:keepLines w:val="0"/>
              <w:widowControl/>
              <w:suppressLineNumbers w:val="0"/>
              <w:jc w:val="center"/>
              <w:rPr>
                <w:rFonts w:hint="eastAsia" w:ascii="宋体" w:hAnsi="宋体" w:eastAsia="宋体"/>
                <w:i w:val="0"/>
                <w:iCs w:val="0"/>
                <w:color w:val="auto"/>
                <w:kern w:val="0"/>
                <w:sz w:val="22"/>
                <w:szCs w:val="22"/>
                <w:highlight w:val="none"/>
                <w:u w:val="none"/>
                <w:lang w:val="en-US" w:eastAsia="zh-CN" w:bidi="ar"/>
              </w:rPr>
            </w:pPr>
            <w:r>
              <w:rPr>
                <w:rFonts w:hint="eastAsia" w:ascii="宋体" w:hAnsi="宋体" w:eastAsia="宋体"/>
                <w:i w:val="0"/>
                <w:iCs w:val="0"/>
                <w:color w:val="auto"/>
                <w:kern w:val="0"/>
                <w:sz w:val="22"/>
                <w:szCs w:val="22"/>
                <w:highlight w:val="none"/>
                <w:u w:val="none"/>
                <w:lang w:val="en-US" w:eastAsia="zh-CN" w:bidi="ar"/>
              </w:rPr>
              <w:t>数量</w:t>
            </w:r>
          </w:p>
        </w:tc>
        <w:tc>
          <w:tcPr>
            <w:tcW w:w="448" w:type="dxa"/>
            <w:tcBorders>
              <w:top w:val="single" w:color="auto" w:sz="4" w:space="0"/>
              <w:left w:val="single" w:color="auto" w:sz="4" w:space="0"/>
              <w:bottom w:val="single" w:color="auto" w:sz="4" w:space="0"/>
              <w:right w:val="single" w:color="auto" w:sz="4" w:space="0"/>
            </w:tcBorders>
            <w:noWrap w:val="0"/>
            <w:vAlign w:val="center"/>
          </w:tcPr>
          <w:p w14:paraId="599D7939">
            <w:pPr>
              <w:keepNext w:val="0"/>
              <w:keepLines w:val="0"/>
              <w:widowControl/>
              <w:suppressLineNumbers w:val="0"/>
              <w:jc w:val="center"/>
              <w:rPr>
                <w:rFonts w:hint="eastAsia" w:ascii="宋体" w:hAnsi="宋体" w:eastAsia="宋体"/>
                <w:i w:val="0"/>
                <w:iCs w:val="0"/>
                <w:color w:val="auto"/>
                <w:kern w:val="0"/>
                <w:sz w:val="22"/>
                <w:szCs w:val="22"/>
                <w:highlight w:val="none"/>
                <w:u w:val="none"/>
                <w:lang w:val="en-US" w:eastAsia="zh-CN" w:bidi="ar"/>
              </w:rPr>
            </w:pPr>
            <w:r>
              <w:rPr>
                <w:rFonts w:hint="eastAsia" w:ascii="宋体" w:hAnsi="宋体" w:eastAsia="宋体"/>
                <w:i w:val="0"/>
                <w:iCs w:val="0"/>
                <w:color w:val="auto"/>
                <w:kern w:val="0"/>
                <w:sz w:val="22"/>
                <w:szCs w:val="22"/>
                <w:highlight w:val="none"/>
                <w:u w:val="none"/>
                <w:lang w:val="en-US" w:eastAsia="zh-CN" w:bidi="ar"/>
              </w:rPr>
              <w:t>单位</w:t>
            </w:r>
          </w:p>
        </w:tc>
        <w:tc>
          <w:tcPr>
            <w:tcW w:w="391" w:type="dxa"/>
            <w:tcBorders>
              <w:top w:val="single" w:color="auto" w:sz="4" w:space="0"/>
              <w:left w:val="single" w:color="auto" w:sz="4" w:space="0"/>
              <w:bottom w:val="single" w:color="auto" w:sz="4" w:space="0"/>
              <w:right w:val="single" w:color="auto" w:sz="4" w:space="0"/>
            </w:tcBorders>
            <w:noWrap w:val="0"/>
            <w:vAlign w:val="center"/>
          </w:tcPr>
          <w:p w14:paraId="338EECD1">
            <w:pPr>
              <w:keepNext w:val="0"/>
              <w:keepLines w:val="0"/>
              <w:widowControl/>
              <w:suppressLineNumbers w:val="0"/>
              <w:jc w:val="center"/>
              <w:rPr>
                <w:rFonts w:hint="eastAsia" w:ascii="宋体" w:hAnsi="宋体" w:eastAsia="宋体"/>
                <w:i w:val="0"/>
                <w:iCs w:val="0"/>
                <w:color w:val="auto"/>
                <w:kern w:val="0"/>
                <w:sz w:val="22"/>
                <w:szCs w:val="22"/>
                <w:highlight w:val="none"/>
                <w:u w:val="none"/>
                <w:lang w:val="en-US" w:eastAsia="zh-CN" w:bidi="ar"/>
              </w:rPr>
            </w:pPr>
            <w:r>
              <w:rPr>
                <w:rFonts w:hint="eastAsia" w:ascii="宋体" w:hAnsi="宋体" w:eastAsia="宋体"/>
                <w:i w:val="0"/>
                <w:iCs w:val="0"/>
                <w:color w:val="auto"/>
                <w:kern w:val="0"/>
                <w:sz w:val="22"/>
                <w:szCs w:val="22"/>
                <w:highlight w:val="none"/>
                <w:u w:val="none"/>
                <w:lang w:val="en-US" w:eastAsia="zh-CN" w:bidi="ar"/>
              </w:rPr>
              <w:t>备注</w:t>
            </w:r>
          </w:p>
        </w:tc>
      </w:tr>
      <w:tr w14:paraId="6D8FB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95" w:type="dxa"/>
            <w:tcBorders>
              <w:top w:val="single" w:color="auto" w:sz="4" w:space="0"/>
              <w:left w:val="single" w:color="auto" w:sz="4" w:space="0"/>
              <w:bottom w:val="single" w:color="auto" w:sz="4" w:space="0"/>
              <w:right w:val="single" w:color="auto" w:sz="4" w:space="0"/>
            </w:tcBorders>
            <w:noWrap/>
            <w:vAlign w:val="center"/>
          </w:tcPr>
          <w:p w14:paraId="5FC86A8A">
            <w:pPr>
              <w:keepNext w:val="0"/>
              <w:keepLines w:val="0"/>
              <w:widowControl/>
              <w:suppressLineNumbers w:val="0"/>
              <w:jc w:val="center"/>
              <w:rPr>
                <w:rFonts w:hint="eastAsia" w:ascii="宋体" w:hAnsi="宋体" w:eastAsia="宋体"/>
                <w:i w:val="0"/>
                <w:iCs w:val="0"/>
                <w:color w:val="auto"/>
                <w:kern w:val="0"/>
                <w:sz w:val="22"/>
                <w:szCs w:val="22"/>
                <w:highlight w:val="none"/>
                <w:u w:val="none"/>
                <w:lang w:val="en-US" w:eastAsia="zh-CN" w:bidi="ar"/>
              </w:rPr>
            </w:pPr>
            <w:r>
              <w:rPr>
                <w:rFonts w:hint="eastAsia" w:ascii="宋体" w:hAnsi="宋体" w:eastAsia="宋体"/>
                <w:i w:val="0"/>
                <w:iCs w:val="0"/>
                <w:color w:val="auto"/>
                <w:kern w:val="0"/>
                <w:sz w:val="22"/>
                <w:szCs w:val="22"/>
                <w:highlight w:val="none"/>
                <w:u w:val="none"/>
                <w:lang w:val="en-US" w:eastAsia="zh-CN" w:bidi="ar"/>
              </w:rPr>
              <w:t>1</w:t>
            </w:r>
          </w:p>
        </w:tc>
        <w:tc>
          <w:tcPr>
            <w:tcW w:w="924" w:type="dxa"/>
            <w:tcBorders>
              <w:top w:val="single" w:color="auto" w:sz="4" w:space="0"/>
              <w:left w:val="single" w:color="auto" w:sz="4" w:space="0"/>
              <w:bottom w:val="single" w:color="auto" w:sz="4" w:space="0"/>
              <w:right w:val="single" w:color="auto" w:sz="4" w:space="0"/>
            </w:tcBorders>
            <w:noWrap/>
            <w:vAlign w:val="center"/>
          </w:tcPr>
          <w:p w14:paraId="7D1EC69E">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车载诊断系统（OBD）环保检测仪</w:t>
            </w:r>
          </w:p>
        </w:tc>
        <w:tc>
          <w:tcPr>
            <w:tcW w:w="2393" w:type="dxa"/>
            <w:tcBorders>
              <w:top w:val="single" w:color="auto" w:sz="4" w:space="0"/>
              <w:left w:val="single" w:color="auto" w:sz="4" w:space="0"/>
              <w:bottom w:val="single" w:color="auto" w:sz="4" w:space="0"/>
              <w:right w:val="single" w:color="auto" w:sz="4" w:space="0"/>
            </w:tcBorders>
            <w:noWrap/>
            <w:vAlign w:val="center"/>
          </w:tcPr>
          <w:p w14:paraId="405C4E24">
            <w:pPr>
              <w:keepNext w:val="0"/>
              <w:keepLines w:val="0"/>
              <w:widowControl/>
              <w:suppressLineNumbers w:val="0"/>
              <w:jc w:val="left"/>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仪器需便携，满足以下需求：</w:t>
            </w:r>
          </w:p>
          <w:p w14:paraId="574D942F">
            <w:pPr>
              <w:keepNext w:val="0"/>
              <w:keepLines w:val="0"/>
              <w:widowControl/>
              <w:suppressLineNumbers w:val="0"/>
              <w:jc w:val="left"/>
              <w:rPr>
                <w:rFonts w:hint="eastAsia" w:ascii="宋体" w:hAnsi="宋体" w:eastAsia="宋体"/>
                <w:b w:val="0"/>
                <w:bCs w:val="0"/>
                <w:i w:val="0"/>
                <w:iCs w:val="0"/>
                <w:color w:val="auto"/>
                <w:kern w:val="0"/>
                <w:sz w:val="21"/>
                <w:szCs w:val="21"/>
                <w:highlight w:val="none"/>
                <w:u w:val="none"/>
                <w:lang w:val="en-US" w:eastAsia="zh-CN" w:bidi="ar"/>
              </w:rPr>
            </w:pPr>
            <w:r>
              <w:rPr>
                <w:rFonts w:hint="eastAsia" w:ascii="宋体" w:hAnsi="宋体" w:eastAsia="宋体"/>
                <w:b w:val="0"/>
                <w:bCs w:val="0"/>
                <w:i w:val="0"/>
                <w:iCs w:val="0"/>
                <w:color w:val="auto"/>
                <w:kern w:val="0"/>
                <w:sz w:val="21"/>
                <w:szCs w:val="21"/>
                <w:highlight w:val="none"/>
                <w:u w:val="none"/>
                <w:lang w:val="en-US" w:eastAsia="zh-CN" w:bidi="ar"/>
              </w:rPr>
              <w:t>1、满足高性能处理器协同工作，一个DOIP网络处理器，一个车辆总线处理器。</w:t>
            </w:r>
            <w:r>
              <w:rPr>
                <w:rFonts w:hint="eastAsia" w:ascii="宋体" w:hAnsi="宋体" w:eastAsia="宋体"/>
                <w:b w:val="0"/>
                <w:bCs w:val="0"/>
                <w:i w:val="0"/>
                <w:iCs w:val="0"/>
                <w:color w:val="auto"/>
                <w:kern w:val="0"/>
                <w:sz w:val="21"/>
                <w:szCs w:val="21"/>
                <w:highlight w:val="none"/>
                <w:u w:val="none"/>
                <w:lang w:val="en-US" w:eastAsia="zh-CN" w:bidi="ar"/>
              </w:rPr>
              <w:br w:type="textWrapping"/>
            </w:r>
            <w:r>
              <w:rPr>
                <w:rFonts w:hint="eastAsia" w:ascii="宋体" w:hAnsi="宋体" w:eastAsia="宋体"/>
                <w:b w:val="0"/>
                <w:bCs w:val="0"/>
                <w:i w:val="0"/>
                <w:iCs w:val="0"/>
                <w:color w:val="auto"/>
                <w:kern w:val="0"/>
                <w:sz w:val="21"/>
                <w:szCs w:val="21"/>
                <w:highlight w:val="none"/>
                <w:u w:val="none"/>
                <w:lang w:val="en-US" w:eastAsia="zh-CN" w:bidi="ar"/>
              </w:rPr>
              <w:t>2、支持DOIP以太网诊断模式智能切换。</w:t>
            </w:r>
            <w:r>
              <w:rPr>
                <w:rFonts w:hint="eastAsia" w:ascii="宋体" w:hAnsi="宋体" w:eastAsia="宋体"/>
                <w:b w:val="0"/>
                <w:bCs w:val="0"/>
                <w:i w:val="0"/>
                <w:iCs w:val="0"/>
                <w:color w:val="auto"/>
                <w:kern w:val="0"/>
                <w:sz w:val="21"/>
                <w:szCs w:val="21"/>
                <w:highlight w:val="none"/>
                <w:u w:val="none"/>
                <w:lang w:val="en-US" w:eastAsia="zh-CN" w:bidi="ar"/>
              </w:rPr>
              <w:br w:type="textWrapping"/>
            </w:r>
            <w:r>
              <w:rPr>
                <w:rFonts w:hint="eastAsia" w:ascii="宋体" w:hAnsi="宋体" w:eastAsia="宋体"/>
                <w:b w:val="0"/>
                <w:bCs w:val="0"/>
                <w:i w:val="0"/>
                <w:iCs w:val="0"/>
                <w:color w:val="auto"/>
                <w:kern w:val="0"/>
                <w:sz w:val="21"/>
                <w:szCs w:val="21"/>
                <w:highlight w:val="none"/>
                <w:u w:val="none"/>
                <w:lang w:val="en-US" w:eastAsia="zh-CN" w:bidi="ar"/>
              </w:rPr>
              <w:t>3、车辆通信接口满足26PIN防反插加固设计，连接稳定可靠。</w:t>
            </w:r>
            <w:r>
              <w:rPr>
                <w:rFonts w:hint="eastAsia" w:ascii="宋体" w:hAnsi="宋体" w:eastAsia="宋体"/>
                <w:b w:val="0"/>
                <w:bCs w:val="0"/>
                <w:i w:val="0"/>
                <w:iCs w:val="0"/>
                <w:color w:val="auto"/>
                <w:kern w:val="0"/>
                <w:sz w:val="21"/>
                <w:szCs w:val="21"/>
                <w:highlight w:val="none"/>
                <w:u w:val="none"/>
                <w:lang w:val="en-US" w:eastAsia="zh-CN" w:bidi="ar"/>
              </w:rPr>
              <w:br w:type="textWrapping"/>
            </w:r>
            <w:r>
              <w:rPr>
                <w:rFonts w:hint="eastAsia" w:ascii="宋体" w:hAnsi="宋体" w:eastAsia="宋体"/>
                <w:b w:val="0"/>
                <w:bCs w:val="0"/>
                <w:i w:val="0"/>
                <w:iCs w:val="0"/>
                <w:color w:val="auto"/>
                <w:kern w:val="0"/>
                <w:sz w:val="21"/>
                <w:szCs w:val="21"/>
                <w:highlight w:val="none"/>
                <w:u w:val="none"/>
                <w:lang w:val="en-US" w:eastAsia="zh-CN" w:bidi="ar"/>
              </w:rPr>
              <w:t>4、硬件支持12V和24V汽车通讯，可支持</w:t>
            </w:r>
            <w:r>
              <w:rPr>
                <w:rFonts w:hint="eastAsia" w:ascii="宋体" w:hAnsi="宋体"/>
                <w:b w:val="0"/>
                <w:bCs w:val="0"/>
                <w:i w:val="0"/>
                <w:iCs w:val="0"/>
                <w:color w:val="auto"/>
                <w:kern w:val="0"/>
                <w:sz w:val="21"/>
                <w:szCs w:val="21"/>
                <w:highlight w:val="none"/>
                <w:u w:val="none"/>
                <w:lang w:val="en-US" w:eastAsia="zh-CN" w:bidi="ar"/>
              </w:rPr>
              <w:t>重型</w:t>
            </w:r>
            <w:r>
              <w:rPr>
                <w:rFonts w:hint="eastAsia" w:ascii="宋体" w:hAnsi="宋体" w:eastAsia="宋体"/>
                <w:i w:val="0"/>
                <w:iCs w:val="0"/>
                <w:color w:val="auto"/>
                <w:kern w:val="0"/>
                <w:sz w:val="21"/>
                <w:szCs w:val="21"/>
                <w:highlight w:val="none"/>
                <w:u w:val="none"/>
                <w:lang w:val="en-US" w:eastAsia="zh-CN" w:bidi="ar"/>
              </w:rPr>
              <w:t>柴油车、重型燃气货车</w:t>
            </w:r>
            <w:r>
              <w:rPr>
                <w:rFonts w:hint="eastAsia" w:ascii="宋体" w:hAnsi="宋体" w:eastAsia="宋体"/>
                <w:b w:val="0"/>
                <w:bCs w:val="0"/>
                <w:i w:val="0"/>
                <w:iCs w:val="0"/>
                <w:color w:val="auto"/>
                <w:kern w:val="0"/>
                <w:sz w:val="21"/>
                <w:szCs w:val="21"/>
                <w:highlight w:val="none"/>
                <w:u w:val="none"/>
                <w:lang w:val="en-US" w:eastAsia="zh-CN" w:bidi="ar"/>
              </w:rPr>
              <w:t>辆诊断。</w:t>
            </w:r>
          </w:p>
          <w:p w14:paraId="597F8C44">
            <w:pPr>
              <w:keepNext w:val="0"/>
              <w:keepLines w:val="0"/>
              <w:widowControl/>
              <w:suppressLineNumbers w:val="0"/>
              <w:jc w:val="left"/>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5、满足新车一致性抽查、路检路查及入户抽查时，OBD现场快速检查的要求。</w:t>
            </w:r>
          </w:p>
          <w:p w14:paraId="777863F5">
            <w:pPr>
              <w:keepNext w:val="0"/>
              <w:keepLines w:val="0"/>
              <w:widowControl/>
              <w:suppressLineNumbers w:val="0"/>
              <w:jc w:val="left"/>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通过OBD数据检查仪读取ECU内部数据，利用OBD数据检查仪对其与ECU原厂数据进行对比和解析，判断哪些数据被屏蔽和修改，并作出车辆是否有破坏机动车车载排放诊断系统或未安装的污染控制装置或者污染控制装置不符合要求的情形。</w:t>
            </w:r>
          </w:p>
          <w:p w14:paraId="353A7E1D">
            <w:pPr>
              <w:keepNext w:val="0"/>
              <w:keepLines w:val="0"/>
              <w:widowControl/>
              <w:suppressLineNumbers w:val="0"/>
              <w:jc w:val="left"/>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6、具备识别</w:t>
            </w:r>
            <w:r>
              <w:rPr>
                <w:rFonts w:hint="eastAsia" w:ascii="宋体" w:hAnsi="宋体"/>
                <w:b w:val="0"/>
                <w:bCs w:val="0"/>
                <w:i w:val="0"/>
                <w:iCs w:val="0"/>
                <w:color w:val="auto"/>
                <w:kern w:val="0"/>
                <w:sz w:val="21"/>
                <w:szCs w:val="21"/>
                <w:highlight w:val="none"/>
                <w:u w:val="none"/>
                <w:lang w:val="en-US" w:eastAsia="zh-CN" w:bidi="ar"/>
              </w:rPr>
              <w:t>重型</w:t>
            </w:r>
            <w:r>
              <w:rPr>
                <w:rFonts w:hint="eastAsia" w:ascii="宋体" w:hAnsi="宋体" w:eastAsia="宋体"/>
                <w:i w:val="0"/>
                <w:iCs w:val="0"/>
                <w:color w:val="auto"/>
                <w:kern w:val="0"/>
                <w:sz w:val="21"/>
                <w:szCs w:val="21"/>
                <w:highlight w:val="none"/>
                <w:u w:val="none"/>
                <w:lang w:val="en-US" w:eastAsia="zh-CN" w:bidi="ar"/>
              </w:rPr>
              <w:t>柴油车、重型燃气货车ECU中的故障码是否被屏蔽的功能。</w:t>
            </w:r>
          </w:p>
          <w:p w14:paraId="43EF283C">
            <w:pPr>
              <w:keepNext w:val="0"/>
              <w:keepLines w:val="0"/>
              <w:widowControl/>
              <w:suppressLineNumbers w:val="0"/>
              <w:jc w:val="left"/>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7、具备读取</w:t>
            </w:r>
            <w:r>
              <w:rPr>
                <w:rFonts w:hint="eastAsia" w:ascii="宋体" w:hAnsi="宋体"/>
                <w:b w:val="0"/>
                <w:bCs w:val="0"/>
                <w:i w:val="0"/>
                <w:iCs w:val="0"/>
                <w:color w:val="auto"/>
                <w:kern w:val="0"/>
                <w:sz w:val="21"/>
                <w:szCs w:val="21"/>
                <w:highlight w:val="none"/>
                <w:u w:val="none"/>
                <w:lang w:val="en-US" w:eastAsia="zh-CN" w:bidi="ar"/>
              </w:rPr>
              <w:t>重型</w:t>
            </w:r>
            <w:r>
              <w:rPr>
                <w:rFonts w:hint="eastAsia" w:ascii="宋体" w:hAnsi="宋体" w:eastAsia="宋体"/>
                <w:i w:val="0"/>
                <w:iCs w:val="0"/>
                <w:color w:val="auto"/>
                <w:kern w:val="0"/>
                <w:sz w:val="21"/>
                <w:szCs w:val="21"/>
                <w:highlight w:val="none"/>
                <w:u w:val="none"/>
                <w:lang w:val="en-US" w:eastAsia="zh-CN" w:bidi="ar"/>
              </w:rPr>
              <w:t>柴油车、重型燃气货车ECU中的车辆跛行状态限制条件设定值的功能（车速限制设定值、扭矩限制设定值、转速限制设定值等），并判断是否进行了非法修改。</w:t>
            </w:r>
          </w:p>
          <w:p w14:paraId="06C5FC5B">
            <w:pPr>
              <w:keepNext w:val="0"/>
              <w:keepLines w:val="0"/>
              <w:widowControl/>
              <w:suppressLineNumbers w:val="0"/>
              <w:jc w:val="left"/>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8、具备读取柴油车辆ECU中的排烟系数设定值的功能。</w:t>
            </w:r>
          </w:p>
          <w:p w14:paraId="58CEBC81">
            <w:pPr>
              <w:keepNext w:val="0"/>
              <w:keepLines w:val="0"/>
              <w:widowControl/>
              <w:suppressLineNumbers w:val="0"/>
              <w:jc w:val="left"/>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9、具备读取</w:t>
            </w:r>
            <w:r>
              <w:rPr>
                <w:rFonts w:hint="eastAsia" w:ascii="宋体" w:hAnsi="宋体"/>
                <w:b w:val="0"/>
                <w:bCs w:val="0"/>
                <w:i w:val="0"/>
                <w:iCs w:val="0"/>
                <w:color w:val="auto"/>
                <w:kern w:val="0"/>
                <w:sz w:val="21"/>
                <w:szCs w:val="21"/>
                <w:highlight w:val="none"/>
                <w:u w:val="none"/>
                <w:lang w:val="en-US" w:eastAsia="zh-CN" w:bidi="ar"/>
              </w:rPr>
              <w:t>重型</w:t>
            </w:r>
            <w:r>
              <w:rPr>
                <w:rFonts w:hint="eastAsia" w:ascii="宋体" w:hAnsi="宋体" w:eastAsia="宋体"/>
                <w:i w:val="0"/>
                <w:iCs w:val="0"/>
                <w:color w:val="auto"/>
                <w:kern w:val="0"/>
                <w:sz w:val="21"/>
                <w:szCs w:val="21"/>
                <w:highlight w:val="none"/>
                <w:u w:val="none"/>
                <w:lang w:val="en-US" w:eastAsia="zh-CN" w:bidi="ar"/>
              </w:rPr>
              <w:t>柴油车、重型燃气货车ECU中的扭矩限制开关状态的功能。</w:t>
            </w:r>
          </w:p>
          <w:p w14:paraId="1ED53F5A">
            <w:pPr>
              <w:keepNext w:val="0"/>
              <w:keepLines w:val="0"/>
              <w:widowControl/>
              <w:suppressLineNumbers w:val="0"/>
              <w:jc w:val="left"/>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10、具备读取</w:t>
            </w:r>
            <w:r>
              <w:rPr>
                <w:rFonts w:hint="eastAsia" w:ascii="宋体" w:hAnsi="宋体"/>
                <w:b w:val="0"/>
                <w:bCs w:val="0"/>
                <w:i w:val="0"/>
                <w:iCs w:val="0"/>
                <w:color w:val="auto"/>
                <w:kern w:val="0"/>
                <w:sz w:val="21"/>
                <w:szCs w:val="21"/>
                <w:highlight w:val="none"/>
                <w:u w:val="none"/>
                <w:lang w:val="en-US" w:eastAsia="zh-CN" w:bidi="ar"/>
              </w:rPr>
              <w:t>重型</w:t>
            </w:r>
            <w:r>
              <w:rPr>
                <w:rFonts w:hint="eastAsia" w:ascii="宋体" w:hAnsi="宋体" w:eastAsia="宋体"/>
                <w:i w:val="0"/>
                <w:iCs w:val="0"/>
                <w:color w:val="auto"/>
                <w:kern w:val="0"/>
                <w:sz w:val="21"/>
                <w:szCs w:val="21"/>
                <w:highlight w:val="none"/>
                <w:u w:val="none"/>
                <w:lang w:val="en-US" w:eastAsia="zh-CN" w:bidi="ar"/>
              </w:rPr>
              <w:t>柴油车ECU中尿素喷射温度设定值的功能</w:t>
            </w:r>
            <w:r>
              <w:rPr>
                <w:rFonts w:hint="eastAsia" w:ascii="宋体" w:hAnsi="宋体"/>
                <w:i w:val="0"/>
                <w:iCs w:val="0"/>
                <w:color w:val="auto"/>
                <w:kern w:val="0"/>
                <w:sz w:val="21"/>
                <w:szCs w:val="21"/>
                <w:highlight w:val="none"/>
                <w:u w:val="none"/>
                <w:lang w:val="en-US" w:eastAsia="zh-CN" w:bidi="ar"/>
              </w:rPr>
              <w:t>。根据车辆专检协议，测试驱动尿素泵等器件，判断是否存在尿素泵屏蔽等违法行为</w:t>
            </w:r>
            <w:r>
              <w:rPr>
                <w:rFonts w:hint="eastAsia" w:ascii="宋体" w:hAnsi="宋体" w:eastAsia="宋体"/>
                <w:i w:val="0"/>
                <w:iCs w:val="0"/>
                <w:color w:val="auto"/>
                <w:kern w:val="0"/>
                <w:sz w:val="21"/>
                <w:szCs w:val="21"/>
                <w:highlight w:val="none"/>
                <w:u w:val="none"/>
                <w:lang w:val="en-US" w:eastAsia="zh-CN" w:bidi="ar"/>
              </w:rPr>
              <w:t>。</w:t>
            </w:r>
          </w:p>
          <w:p w14:paraId="237A2416">
            <w:pPr>
              <w:keepNext w:val="0"/>
              <w:keepLines w:val="0"/>
              <w:widowControl/>
              <w:suppressLineNumbers w:val="0"/>
              <w:jc w:val="left"/>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11、具备读取车辆ECU内部保存的VIN、CALID、CVN的功能。</w:t>
            </w:r>
          </w:p>
          <w:p w14:paraId="217047BF">
            <w:pPr>
              <w:keepNext w:val="0"/>
              <w:keepLines w:val="0"/>
              <w:widowControl/>
              <w:suppressLineNumbers w:val="0"/>
              <w:jc w:val="left"/>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12、国五及以下</w:t>
            </w:r>
            <w:r>
              <w:rPr>
                <w:rFonts w:hint="eastAsia" w:ascii="宋体" w:hAnsi="宋体"/>
                <w:b w:val="0"/>
                <w:bCs w:val="0"/>
                <w:i w:val="0"/>
                <w:iCs w:val="0"/>
                <w:color w:val="auto"/>
                <w:kern w:val="0"/>
                <w:sz w:val="21"/>
                <w:szCs w:val="21"/>
                <w:highlight w:val="none"/>
                <w:u w:val="none"/>
                <w:lang w:val="en-US" w:eastAsia="zh-CN" w:bidi="ar"/>
              </w:rPr>
              <w:t>重型</w:t>
            </w:r>
            <w:r>
              <w:rPr>
                <w:rFonts w:hint="eastAsia" w:ascii="宋体" w:hAnsi="宋体" w:eastAsia="宋体"/>
                <w:i w:val="0"/>
                <w:iCs w:val="0"/>
                <w:color w:val="auto"/>
                <w:kern w:val="0"/>
                <w:sz w:val="21"/>
                <w:szCs w:val="21"/>
                <w:highlight w:val="none"/>
                <w:u w:val="none"/>
                <w:lang w:val="en-US" w:eastAsia="zh-CN" w:bidi="ar"/>
              </w:rPr>
              <w:t>柴油车、重型燃气货车读取ECU内部数据成功率不低于98%，国六柴油车辆、重型燃气货车读取ECU内部数据成功率不低于95%。</w:t>
            </w:r>
          </w:p>
          <w:p w14:paraId="21F6CFF1">
            <w:pPr>
              <w:keepNext w:val="0"/>
              <w:keepLines w:val="0"/>
              <w:widowControl/>
              <w:suppressLineNumbers w:val="0"/>
              <w:jc w:val="left"/>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13、成功读取ECU内部数据并解析和判断的平均时间不长于10分钟。</w:t>
            </w:r>
          </w:p>
          <w:p w14:paraId="2509C92D">
            <w:pPr>
              <w:keepNext w:val="0"/>
              <w:keepLines w:val="0"/>
              <w:widowControl/>
              <w:suppressLineNumbers w:val="0"/>
              <w:jc w:val="left"/>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14、检查结束时，自动生成检查报告，并自动判断车辆是否有破坏机动车车载排放诊断系统或未安装的污染控制装置或者污染控制装置不符合要求的情形。</w:t>
            </w:r>
          </w:p>
          <w:p w14:paraId="162A04DB">
            <w:pPr>
              <w:keepNext w:val="0"/>
              <w:keepLines w:val="0"/>
              <w:widowControl/>
              <w:suppressLineNumbers w:val="0"/>
              <w:jc w:val="left"/>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15、</w:t>
            </w:r>
            <w:r>
              <w:rPr>
                <w:rFonts w:hint="eastAsia" w:ascii="宋体" w:hAnsi="宋体"/>
                <w:i w:val="0"/>
                <w:iCs w:val="0"/>
                <w:color w:val="auto"/>
                <w:kern w:val="0"/>
                <w:sz w:val="21"/>
                <w:szCs w:val="21"/>
                <w:highlight w:val="none"/>
                <w:u w:val="none"/>
                <w:lang w:val="en-US" w:eastAsia="zh-CN" w:bidi="ar"/>
              </w:rPr>
              <w:t>根据车牌号码或检测时间，查看</w:t>
            </w:r>
            <w:r>
              <w:rPr>
                <w:rFonts w:hint="eastAsia" w:ascii="宋体" w:hAnsi="宋体" w:eastAsia="宋体"/>
                <w:i w:val="0"/>
                <w:iCs w:val="0"/>
                <w:color w:val="auto"/>
                <w:kern w:val="0"/>
                <w:sz w:val="21"/>
                <w:szCs w:val="21"/>
                <w:highlight w:val="none"/>
                <w:u w:val="none"/>
                <w:lang w:val="en-US" w:eastAsia="zh-CN" w:bidi="ar"/>
              </w:rPr>
              <w:t>检查</w:t>
            </w:r>
            <w:r>
              <w:rPr>
                <w:rFonts w:hint="eastAsia" w:ascii="宋体" w:hAnsi="宋体"/>
                <w:i w:val="0"/>
                <w:iCs w:val="0"/>
                <w:color w:val="auto"/>
                <w:kern w:val="0"/>
                <w:sz w:val="21"/>
                <w:szCs w:val="21"/>
                <w:highlight w:val="none"/>
                <w:u w:val="none"/>
                <w:lang w:val="en-US" w:eastAsia="zh-CN" w:bidi="ar"/>
              </w:rPr>
              <w:t>记录和检测报告，</w:t>
            </w:r>
            <w:r>
              <w:rPr>
                <w:rFonts w:hint="eastAsia" w:ascii="宋体" w:hAnsi="宋体" w:eastAsia="宋体"/>
                <w:i w:val="0"/>
                <w:iCs w:val="0"/>
                <w:color w:val="auto"/>
                <w:kern w:val="0"/>
                <w:sz w:val="21"/>
                <w:szCs w:val="21"/>
                <w:highlight w:val="none"/>
                <w:u w:val="none"/>
                <w:lang w:val="en-US" w:eastAsia="zh-CN" w:bidi="ar"/>
              </w:rPr>
              <w:t>保存的记录</w:t>
            </w:r>
            <w:r>
              <w:rPr>
                <w:rFonts w:hint="eastAsia" w:ascii="宋体" w:hAnsi="宋体"/>
                <w:i w:val="0"/>
                <w:iCs w:val="0"/>
                <w:color w:val="auto"/>
                <w:kern w:val="0"/>
                <w:sz w:val="21"/>
                <w:szCs w:val="21"/>
                <w:highlight w:val="none"/>
                <w:u w:val="none"/>
                <w:lang w:val="en-US" w:eastAsia="zh-CN" w:bidi="ar"/>
              </w:rPr>
              <w:t>和报告</w:t>
            </w:r>
            <w:r>
              <w:rPr>
                <w:rFonts w:hint="eastAsia" w:ascii="宋体" w:hAnsi="宋体" w:eastAsia="宋体"/>
                <w:i w:val="0"/>
                <w:iCs w:val="0"/>
                <w:color w:val="auto"/>
                <w:kern w:val="0"/>
                <w:sz w:val="21"/>
                <w:szCs w:val="21"/>
                <w:highlight w:val="none"/>
                <w:u w:val="none"/>
                <w:lang w:val="en-US" w:eastAsia="zh-CN" w:bidi="ar"/>
              </w:rPr>
              <w:t>可打印。</w:t>
            </w:r>
          </w:p>
          <w:p w14:paraId="3CB7F42B">
            <w:pPr>
              <w:keepNext w:val="0"/>
              <w:keepLines w:val="0"/>
              <w:widowControl/>
              <w:suppressLineNumbers w:val="0"/>
              <w:jc w:val="left"/>
              <w:rPr>
                <w:rFonts w:hint="eastAsia"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16、通过现场拍摄车牌照片，自动识别、录入车牌信息。</w:t>
            </w:r>
          </w:p>
          <w:p w14:paraId="572E4245">
            <w:pPr>
              <w:keepNext w:val="0"/>
              <w:keepLines w:val="0"/>
              <w:widowControl/>
              <w:suppressLineNumbers w:val="0"/>
              <w:jc w:val="left"/>
              <w:rPr>
                <w:rFonts w:hint="default"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17、无论OBD检测还是专检检测，均可一键直达。</w:t>
            </w:r>
          </w:p>
          <w:p w14:paraId="1A2336BF">
            <w:pPr>
              <w:keepNext w:val="0"/>
              <w:keepLines w:val="0"/>
              <w:widowControl/>
              <w:suppressLineNumbers w:val="0"/>
              <w:jc w:val="left"/>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1</w:t>
            </w:r>
            <w:r>
              <w:rPr>
                <w:rFonts w:hint="eastAsia" w:ascii="宋体" w:hAnsi="宋体"/>
                <w:i w:val="0"/>
                <w:iCs w:val="0"/>
                <w:color w:val="auto"/>
                <w:kern w:val="0"/>
                <w:sz w:val="21"/>
                <w:szCs w:val="21"/>
                <w:highlight w:val="none"/>
                <w:u w:val="none"/>
                <w:lang w:val="en-US" w:eastAsia="zh-CN" w:bidi="ar"/>
              </w:rPr>
              <w:t>8</w:t>
            </w:r>
            <w:r>
              <w:rPr>
                <w:rFonts w:hint="eastAsia" w:ascii="宋体" w:hAnsi="宋体" w:eastAsia="宋体"/>
                <w:i w:val="0"/>
                <w:iCs w:val="0"/>
                <w:color w:val="auto"/>
                <w:kern w:val="0"/>
                <w:sz w:val="21"/>
                <w:szCs w:val="21"/>
                <w:highlight w:val="none"/>
                <w:u w:val="none"/>
                <w:lang w:val="en-US" w:eastAsia="zh-CN" w:bidi="ar"/>
              </w:rPr>
              <w:t>、可通过4G网络或者无线WIFI实现检查数据实时上传功能，并支持系统远程升级功能，WIFI802.11(a/b/g/n)频率 2.4G+5.8G 双频 WIFI。</w:t>
            </w:r>
            <w:r>
              <w:rPr>
                <w:rFonts w:hint="eastAsia" w:ascii="宋体" w:hAnsi="宋体" w:eastAsia="宋体"/>
                <w:i w:val="0"/>
                <w:iCs w:val="0"/>
                <w:color w:val="auto"/>
                <w:kern w:val="0"/>
                <w:sz w:val="21"/>
                <w:szCs w:val="21"/>
                <w:highlight w:val="none"/>
                <w:u w:val="none"/>
                <w:lang w:val="en-US" w:eastAsia="zh-CN" w:bidi="ar"/>
              </w:rPr>
              <w:br w:type="textWrapping"/>
            </w:r>
            <w:r>
              <w:rPr>
                <w:rFonts w:hint="eastAsia" w:ascii="宋体" w:hAnsi="宋体" w:eastAsia="宋体"/>
                <w:i w:val="0"/>
                <w:iCs w:val="0"/>
                <w:color w:val="auto"/>
                <w:kern w:val="0"/>
                <w:sz w:val="21"/>
                <w:szCs w:val="21"/>
                <w:highlight w:val="none"/>
                <w:u w:val="none"/>
                <w:lang w:val="en-US" w:eastAsia="zh-CN" w:bidi="ar"/>
              </w:rPr>
              <w:t>1</w:t>
            </w:r>
            <w:r>
              <w:rPr>
                <w:rFonts w:hint="eastAsia" w:ascii="宋体" w:hAnsi="宋体"/>
                <w:i w:val="0"/>
                <w:iCs w:val="0"/>
                <w:color w:val="auto"/>
                <w:kern w:val="0"/>
                <w:sz w:val="21"/>
                <w:szCs w:val="21"/>
                <w:highlight w:val="none"/>
                <w:u w:val="none"/>
                <w:lang w:val="en-US" w:eastAsia="zh-CN" w:bidi="ar"/>
              </w:rPr>
              <w:t>9</w:t>
            </w:r>
            <w:r>
              <w:rPr>
                <w:rFonts w:hint="eastAsia" w:ascii="宋体" w:hAnsi="宋体" w:eastAsia="宋体"/>
                <w:i w:val="0"/>
                <w:iCs w:val="0"/>
                <w:color w:val="auto"/>
                <w:kern w:val="0"/>
                <w:sz w:val="21"/>
                <w:szCs w:val="21"/>
                <w:highlight w:val="none"/>
                <w:u w:val="none"/>
                <w:lang w:val="en-US" w:eastAsia="zh-CN" w:bidi="ar"/>
              </w:rPr>
              <w:t>、系统:支持Andriod11系统；</w:t>
            </w:r>
            <w:r>
              <w:rPr>
                <w:rFonts w:hint="eastAsia" w:ascii="宋体" w:hAnsi="宋体" w:eastAsia="宋体"/>
                <w:i w:val="0"/>
                <w:iCs w:val="0"/>
                <w:color w:val="auto"/>
                <w:kern w:val="0"/>
                <w:sz w:val="21"/>
                <w:szCs w:val="21"/>
                <w:highlight w:val="none"/>
                <w:u w:val="none"/>
                <w:lang w:val="en-US" w:eastAsia="zh-CN" w:bidi="ar"/>
              </w:rPr>
              <w:br w:type="textWrapping"/>
            </w:r>
            <w:r>
              <w:rPr>
                <w:rFonts w:hint="eastAsia" w:ascii="宋体" w:hAnsi="宋体" w:eastAsia="宋体"/>
                <w:i w:val="0"/>
                <w:iCs w:val="0"/>
                <w:color w:val="auto"/>
                <w:kern w:val="0"/>
                <w:sz w:val="21"/>
                <w:szCs w:val="21"/>
                <w:highlight w:val="none"/>
                <w:u w:val="none"/>
                <w:lang w:val="en-US" w:eastAsia="zh-CN" w:bidi="ar"/>
              </w:rPr>
              <w:t>CPU:不低于Rockchip (Quad-core)；四核；1.8GHZ</w:t>
            </w:r>
            <w:r>
              <w:rPr>
                <w:rFonts w:hint="eastAsia" w:ascii="宋体" w:hAnsi="宋体" w:eastAsia="宋体"/>
                <w:i w:val="0"/>
                <w:iCs w:val="0"/>
                <w:color w:val="auto"/>
                <w:kern w:val="0"/>
                <w:sz w:val="21"/>
                <w:szCs w:val="21"/>
                <w:highlight w:val="none"/>
                <w:u w:val="none"/>
                <w:lang w:val="en-US" w:eastAsia="zh-CN" w:bidi="ar"/>
              </w:rPr>
              <w:br w:type="textWrapping"/>
            </w:r>
            <w:r>
              <w:rPr>
                <w:rFonts w:hint="eastAsia" w:ascii="宋体" w:hAnsi="宋体" w:eastAsia="宋体"/>
                <w:i w:val="0"/>
                <w:iCs w:val="0"/>
                <w:color w:val="auto"/>
                <w:kern w:val="0"/>
                <w:sz w:val="21"/>
                <w:szCs w:val="21"/>
                <w:highlight w:val="none"/>
                <w:u w:val="none"/>
                <w:lang w:val="en-US" w:eastAsia="zh-CN" w:bidi="ar"/>
              </w:rPr>
              <w:t>内存:8GB以上</w:t>
            </w:r>
            <w:r>
              <w:rPr>
                <w:rFonts w:hint="eastAsia" w:ascii="宋体" w:hAnsi="宋体" w:eastAsia="宋体"/>
                <w:i w:val="0"/>
                <w:iCs w:val="0"/>
                <w:color w:val="auto"/>
                <w:kern w:val="0"/>
                <w:sz w:val="21"/>
                <w:szCs w:val="21"/>
                <w:highlight w:val="none"/>
                <w:u w:val="none"/>
                <w:lang w:val="en-US" w:eastAsia="zh-CN" w:bidi="ar"/>
              </w:rPr>
              <w:br w:type="textWrapping"/>
            </w:r>
            <w:r>
              <w:rPr>
                <w:rFonts w:hint="eastAsia" w:ascii="宋体" w:hAnsi="宋体" w:eastAsia="宋体"/>
                <w:i w:val="0"/>
                <w:iCs w:val="0"/>
                <w:color w:val="auto"/>
                <w:kern w:val="0"/>
                <w:sz w:val="21"/>
                <w:szCs w:val="21"/>
                <w:highlight w:val="none"/>
                <w:u w:val="none"/>
                <w:lang w:val="en-US" w:eastAsia="zh-CN" w:bidi="ar"/>
              </w:rPr>
              <w:t>储存:128GB以上</w:t>
            </w:r>
            <w:r>
              <w:rPr>
                <w:rFonts w:hint="eastAsia" w:ascii="宋体" w:hAnsi="宋体" w:eastAsia="宋体"/>
                <w:i w:val="0"/>
                <w:iCs w:val="0"/>
                <w:color w:val="auto"/>
                <w:kern w:val="0"/>
                <w:sz w:val="21"/>
                <w:szCs w:val="21"/>
                <w:highlight w:val="none"/>
                <w:u w:val="none"/>
                <w:lang w:val="en-US" w:eastAsia="zh-CN" w:bidi="ar"/>
              </w:rPr>
              <w:br w:type="textWrapping"/>
            </w:r>
            <w:r>
              <w:rPr>
                <w:rFonts w:hint="eastAsia" w:ascii="宋体" w:hAnsi="宋体" w:eastAsia="宋体"/>
                <w:i w:val="0"/>
                <w:iCs w:val="0"/>
                <w:color w:val="auto"/>
                <w:kern w:val="0"/>
                <w:sz w:val="21"/>
                <w:szCs w:val="21"/>
                <w:highlight w:val="none"/>
                <w:u w:val="none"/>
                <w:lang w:val="en-US" w:eastAsia="zh-CN" w:bidi="ar"/>
              </w:rPr>
              <w:t>连接:蓝牙2.0、4.0、WiFi 2.4G、5.8G等。</w:t>
            </w:r>
            <w:r>
              <w:rPr>
                <w:rFonts w:hint="eastAsia" w:ascii="宋体" w:hAnsi="宋体" w:eastAsia="宋体"/>
                <w:i w:val="0"/>
                <w:iCs w:val="0"/>
                <w:color w:val="auto"/>
                <w:kern w:val="0"/>
                <w:sz w:val="21"/>
                <w:szCs w:val="21"/>
                <w:highlight w:val="none"/>
                <w:u w:val="none"/>
                <w:lang w:val="en-US" w:eastAsia="zh-CN" w:bidi="ar"/>
              </w:rPr>
              <w:br w:type="textWrapping"/>
            </w:r>
            <w:r>
              <w:rPr>
                <w:rFonts w:hint="eastAsia" w:ascii="宋体" w:hAnsi="宋体" w:eastAsia="宋体"/>
                <w:i w:val="0"/>
                <w:iCs w:val="0"/>
                <w:color w:val="auto"/>
                <w:kern w:val="0"/>
                <w:sz w:val="21"/>
                <w:szCs w:val="21"/>
                <w:highlight w:val="none"/>
                <w:u w:val="none"/>
                <w:lang w:val="en-US" w:eastAsia="zh-CN" w:bidi="ar"/>
              </w:rPr>
              <w:t>电池:不低于10000mAh电池</w:t>
            </w:r>
            <w:r>
              <w:rPr>
                <w:rFonts w:hint="eastAsia" w:ascii="宋体" w:hAnsi="宋体" w:eastAsia="宋体"/>
                <w:i w:val="0"/>
                <w:iCs w:val="0"/>
                <w:color w:val="auto"/>
                <w:kern w:val="0"/>
                <w:sz w:val="21"/>
                <w:szCs w:val="21"/>
                <w:highlight w:val="none"/>
                <w:u w:val="none"/>
                <w:lang w:val="en-US" w:eastAsia="zh-CN" w:bidi="ar"/>
              </w:rPr>
              <w:br w:type="textWrapping"/>
            </w:r>
            <w:r>
              <w:rPr>
                <w:rFonts w:hint="eastAsia" w:ascii="宋体" w:hAnsi="宋体" w:eastAsia="宋体"/>
                <w:i w:val="0"/>
                <w:iCs w:val="0"/>
                <w:color w:val="auto"/>
                <w:kern w:val="0"/>
                <w:sz w:val="21"/>
                <w:szCs w:val="21"/>
                <w:highlight w:val="none"/>
                <w:u w:val="none"/>
                <w:lang w:val="en-US" w:eastAsia="zh-CN" w:bidi="ar"/>
              </w:rPr>
              <w:t xml:space="preserve">工作温度：0°C to 40°C </w:t>
            </w:r>
            <w:r>
              <w:rPr>
                <w:rFonts w:hint="eastAsia" w:ascii="宋体" w:hAnsi="宋体" w:eastAsia="宋体"/>
                <w:i w:val="0"/>
                <w:iCs w:val="0"/>
                <w:color w:val="auto"/>
                <w:kern w:val="0"/>
                <w:sz w:val="21"/>
                <w:szCs w:val="21"/>
                <w:highlight w:val="none"/>
                <w:u w:val="none"/>
                <w:lang w:val="en-US" w:eastAsia="zh-CN" w:bidi="ar"/>
              </w:rPr>
              <w:br w:type="textWrapping"/>
            </w:r>
            <w:r>
              <w:rPr>
                <w:rFonts w:hint="eastAsia" w:ascii="宋体" w:hAnsi="宋体" w:eastAsia="宋体"/>
                <w:i w:val="0"/>
                <w:iCs w:val="0"/>
                <w:color w:val="auto"/>
                <w:kern w:val="0"/>
                <w:sz w:val="21"/>
                <w:szCs w:val="21"/>
                <w:highlight w:val="none"/>
                <w:u w:val="none"/>
                <w:lang w:val="en-US" w:eastAsia="zh-CN" w:bidi="ar"/>
              </w:rPr>
              <w:t xml:space="preserve">存储温度：-10°C to 60°C </w:t>
            </w:r>
            <w:r>
              <w:rPr>
                <w:rFonts w:hint="eastAsia" w:ascii="宋体" w:hAnsi="宋体" w:eastAsia="宋体"/>
                <w:i w:val="0"/>
                <w:iCs w:val="0"/>
                <w:color w:val="auto"/>
                <w:kern w:val="0"/>
                <w:sz w:val="21"/>
                <w:szCs w:val="21"/>
                <w:highlight w:val="none"/>
                <w:u w:val="none"/>
                <w:lang w:val="en-US" w:eastAsia="zh-CN" w:bidi="ar"/>
              </w:rPr>
              <w:br w:type="textWrapping"/>
            </w:r>
            <w:r>
              <w:rPr>
                <w:rFonts w:hint="eastAsia" w:ascii="宋体" w:hAnsi="宋体" w:eastAsia="宋体"/>
                <w:i w:val="0"/>
                <w:iCs w:val="0"/>
                <w:color w:val="auto"/>
                <w:kern w:val="0"/>
                <w:sz w:val="21"/>
                <w:szCs w:val="21"/>
                <w:highlight w:val="none"/>
                <w:u w:val="none"/>
                <w:lang w:val="en-US" w:eastAsia="zh-CN" w:bidi="ar"/>
              </w:rPr>
              <w:t>续航时间：不低于4小时</w:t>
            </w:r>
          </w:p>
          <w:p w14:paraId="700C2E56">
            <w:pPr>
              <w:keepNext w:val="0"/>
              <w:keepLines w:val="0"/>
              <w:widowControl/>
              <w:suppressLineNumbers w:val="0"/>
              <w:jc w:val="left"/>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显示屏≥10吋，分辨率:IPS 屏 1280*800 摄像头:800 万像素，AF 带闪光灯(后置)</w:t>
            </w:r>
          </w:p>
          <w:p w14:paraId="3765EF20">
            <w:pPr>
              <w:keepNext w:val="0"/>
              <w:keepLines w:val="0"/>
              <w:widowControl/>
              <w:suppressLineNumbers w:val="0"/>
              <w:jc w:val="left"/>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20、接口: USB Type A3.0，Android 0TGx1、USB Type Cx1、p3.5mm 标准耳 机接口 x1、DC12V3A 磁吸电源接口 x1、HDMI2.</w:t>
            </w:r>
          </w:p>
          <w:p w14:paraId="12D8B921">
            <w:pPr>
              <w:keepNext w:val="0"/>
              <w:keepLines w:val="0"/>
              <w:widowControl/>
              <w:suppressLineNumbers w:val="0"/>
              <w:jc w:val="left"/>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21、提供具有资质机构出具带有CNAS或CMA标识的检测报告。</w:t>
            </w:r>
          </w:p>
        </w:tc>
        <w:tc>
          <w:tcPr>
            <w:tcW w:w="545" w:type="dxa"/>
            <w:tcBorders>
              <w:top w:val="single" w:color="auto" w:sz="4" w:space="0"/>
              <w:left w:val="single" w:color="auto" w:sz="4" w:space="0"/>
              <w:bottom w:val="single" w:color="auto" w:sz="4" w:space="0"/>
              <w:right w:val="single" w:color="auto" w:sz="4" w:space="0"/>
            </w:tcBorders>
            <w:noWrap/>
            <w:vAlign w:val="center"/>
          </w:tcPr>
          <w:p w14:paraId="79215E5A">
            <w:pPr>
              <w:keepNext w:val="0"/>
              <w:keepLines w:val="0"/>
              <w:widowControl/>
              <w:suppressLineNumbers w:val="0"/>
              <w:jc w:val="center"/>
              <w:rPr>
                <w:rFonts w:hint="eastAsia"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9</w:t>
            </w:r>
          </w:p>
        </w:tc>
        <w:tc>
          <w:tcPr>
            <w:tcW w:w="448" w:type="dxa"/>
            <w:tcBorders>
              <w:top w:val="single" w:color="auto" w:sz="4" w:space="0"/>
              <w:left w:val="single" w:color="auto" w:sz="4" w:space="0"/>
              <w:bottom w:val="single" w:color="auto" w:sz="4" w:space="0"/>
              <w:right w:val="single" w:color="auto" w:sz="4" w:space="0"/>
            </w:tcBorders>
            <w:noWrap/>
            <w:vAlign w:val="center"/>
          </w:tcPr>
          <w:p w14:paraId="730BCCEB">
            <w:pPr>
              <w:keepNext w:val="0"/>
              <w:keepLines w:val="0"/>
              <w:widowControl/>
              <w:suppressLineNumbers w:val="0"/>
              <w:jc w:val="center"/>
              <w:rPr>
                <w:rFonts w:hint="eastAsia"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套</w:t>
            </w:r>
          </w:p>
        </w:tc>
        <w:tc>
          <w:tcPr>
            <w:tcW w:w="391" w:type="dxa"/>
            <w:tcBorders>
              <w:top w:val="single" w:color="auto" w:sz="4" w:space="0"/>
              <w:left w:val="single" w:color="auto" w:sz="4" w:space="0"/>
              <w:bottom w:val="single" w:color="auto" w:sz="4" w:space="0"/>
              <w:right w:val="single" w:color="auto" w:sz="4" w:space="0"/>
            </w:tcBorders>
            <w:noWrap/>
            <w:vAlign w:val="center"/>
          </w:tcPr>
          <w:p w14:paraId="197CCFB4">
            <w:pPr>
              <w:keepNext w:val="0"/>
              <w:keepLines w:val="0"/>
              <w:widowControl/>
              <w:suppressLineNumbers w:val="0"/>
              <w:jc w:val="center"/>
              <w:rPr>
                <w:rFonts w:hint="eastAsia" w:ascii="宋体" w:hAnsi="宋体" w:eastAsia="宋体"/>
                <w:i w:val="0"/>
                <w:iCs w:val="0"/>
                <w:color w:val="auto"/>
                <w:kern w:val="0"/>
                <w:sz w:val="22"/>
                <w:szCs w:val="22"/>
                <w:highlight w:val="none"/>
                <w:u w:val="none"/>
                <w:lang w:val="en-US" w:eastAsia="zh-CN" w:bidi="ar"/>
              </w:rPr>
            </w:pPr>
          </w:p>
        </w:tc>
      </w:tr>
      <w:tr w14:paraId="31E43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95" w:type="dxa"/>
            <w:tcBorders>
              <w:top w:val="single" w:color="auto" w:sz="4" w:space="0"/>
              <w:left w:val="single" w:color="auto" w:sz="4" w:space="0"/>
              <w:bottom w:val="single" w:color="auto" w:sz="4" w:space="0"/>
              <w:right w:val="single" w:color="auto" w:sz="4" w:space="0"/>
            </w:tcBorders>
            <w:noWrap/>
            <w:vAlign w:val="center"/>
          </w:tcPr>
          <w:p w14:paraId="3BD74532">
            <w:pPr>
              <w:keepNext w:val="0"/>
              <w:keepLines w:val="0"/>
              <w:widowControl/>
              <w:suppressLineNumbers w:val="0"/>
              <w:jc w:val="center"/>
              <w:rPr>
                <w:rFonts w:hint="eastAsia" w:ascii="宋体" w:hAnsi="宋体" w:eastAsia="宋体"/>
                <w:i w:val="0"/>
                <w:iCs w:val="0"/>
                <w:color w:val="auto"/>
                <w:kern w:val="0"/>
                <w:sz w:val="22"/>
                <w:szCs w:val="22"/>
                <w:highlight w:val="none"/>
                <w:u w:val="none"/>
                <w:lang w:val="en-US" w:eastAsia="zh-CN" w:bidi="ar"/>
              </w:rPr>
            </w:pPr>
            <w:r>
              <w:rPr>
                <w:rFonts w:hint="eastAsia" w:ascii="宋体" w:hAnsi="宋体" w:eastAsia="宋体"/>
                <w:i w:val="0"/>
                <w:iCs w:val="0"/>
                <w:color w:val="auto"/>
                <w:kern w:val="0"/>
                <w:sz w:val="22"/>
                <w:szCs w:val="22"/>
                <w:highlight w:val="none"/>
                <w:u w:val="none"/>
                <w:lang w:val="en-US" w:eastAsia="zh-CN" w:bidi="ar"/>
              </w:rPr>
              <w:t>2</w:t>
            </w:r>
          </w:p>
        </w:tc>
        <w:tc>
          <w:tcPr>
            <w:tcW w:w="924" w:type="dxa"/>
            <w:tcBorders>
              <w:top w:val="single" w:color="auto" w:sz="4" w:space="0"/>
              <w:left w:val="single" w:color="auto" w:sz="4" w:space="0"/>
              <w:bottom w:val="single" w:color="auto" w:sz="4" w:space="0"/>
              <w:right w:val="single" w:color="auto" w:sz="4" w:space="0"/>
            </w:tcBorders>
            <w:noWrap/>
            <w:vAlign w:val="center"/>
          </w:tcPr>
          <w:p w14:paraId="0656F414">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尿素折光仪</w:t>
            </w:r>
          </w:p>
        </w:tc>
        <w:tc>
          <w:tcPr>
            <w:tcW w:w="2393" w:type="dxa"/>
            <w:tcBorders>
              <w:top w:val="single" w:color="auto" w:sz="4" w:space="0"/>
              <w:left w:val="single" w:color="auto" w:sz="4" w:space="0"/>
              <w:bottom w:val="single" w:color="auto" w:sz="4" w:space="0"/>
              <w:right w:val="single" w:color="auto" w:sz="4" w:space="0"/>
            </w:tcBorders>
            <w:noWrap/>
            <w:vAlign w:val="center"/>
          </w:tcPr>
          <w:p w14:paraId="56460D90">
            <w:pPr>
              <w:keepNext w:val="0"/>
              <w:keepLines w:val="0"/>
              <w:widowControl/>
              <w:suppressLineNumbers w:val="0"/>
              <w:jc w:val="left"/>
              <w:rPr>
                <w:rFonts w:hint="eastAsia" w:ascii="宋体" w:hAnsi="宋体" w:eastAsia="宋体"/>
                <w:b w:val="0"/>
                <w:bCs w:val="0"/>
                <w:i w:val="0"/>
                <w:iCs w:val="0"/>
                <w:color w:val="auto"/>
                <w:kern w:val="0"/>
                <w:sz w:val="21"/>
                <w:szCs w:val="21"/>
                <w:highlight w:val="none"/>
                <w:u w:val="none"/>
                <w:lang w:val="en-US" w:eastAsia="zh-CN" w:bidi="ar"/>
              </w:rPr>
            </w:pPr>
            <w:r>
              <w:rPr>
                <w:rFonts w:hint="eastAsia" w:ascii="宋体" w:hAnsi="宋体" w:eastAsia="宋体"/>
                <w:b w:val="0"/>
                <w:bCs w:val="0"/>
                <w:i w:val="0"/>
                <w:iCs w:val="0"/>
                <w:color w:val="auto"/>
                <w:kern w:val="0"/>
                <w:sz w:val="21"/>
                <w:szCs w:val="21"/>
                <w:highlight w:val="none"/>
                <w:u w:val="none"/>
                <w:lang w:val="en-US" w:eastAsia="zh-CN" w:bidi="ar"/>
              </w:rPr>
              <w:t xml:space="preserve">1、尿素范围：0-51%；       </w:t>
            </w:r>
          </w:p>
          <w:p w14:paraId="658D3DBB">
            <w:pPr>
              <w:keepNext w:val="0"/>
              <w:keepLines w:val="0"/>
              <w:widowControl/>
              <w:suppressLineNumbers w:val="0"/>
              <w:jc w:val="left"/>
              <w:rPr>
                <w:rFonts w:hint="eastAsia" w:ascii="宋体" w:hAnsi="宋体" w:eastAsia="宋体"/>
                <w:b w:val="0"/>
                <w:bCs w:val="0"/>
                <w:i w:val="0"/>
                <w:iCs w:val="0"/>
                <w:color w:val="auto"/>
                <w:kern w:val="0"/>
                <w:sz w:val="21"/>
                <w:szCs w:val="21"/>
                <w:highlight w:val="none"/>
                <w:u w:val="none"/>
                <w:lang w:val="en-US" w:eastAsia="zh-CN" w:bidi="ar"/>
              </w:rPr>
            </w:pPr>
            <w:r>
              <w:rPr>
                <w:rFonts w:hint="eastAsia" w:ascii="宋体" w:hAnsi="宋体" w:eastAsia="宋体"/>
                <w:b w:val="0"/>
                <w:bCs w:val="0"/>
                <w:i w:val="0"/>
                <w:iCs w:val="0"/>
                <w:color w:val="auto"/>
                <w:kern w:val="0"/>
                <w:sz w:val="21"/>
                <w:szCs w:val="21"/>
                <w:highlight w:val="none"/>
                <w:u w:val="none"/>
                <w:lang w:val="en-US" w:eastAsia="zh-CN" w:bidi="ar"/>
              </w:rPr>
              <w:t>精度：0.1</w:t>
            </w:r>
            <w:r>
              <w:rPr>
                <w:rFonts w:hint="eastAsia" w:ascii="宋体" w:hAnsi="宋体"/>
                <w:b w:val="0"/>
                <w:bCs w:val="0"/>
                <w:i w:val="0"/>
                <w:iCs w:val="0"/>
                <w:color w:val="auto"/>
                <w:kern w:val="0"/>
                <w:sz w:val="21"/>
                <w:szCs w:val="21"/>
                <w:highlight w:val="none"/>
                <w:u w:val="none"/>
                <w:lang w:val="en-US" w:eastAsia="zh-CN" w:bidi="ar"/>
              </w:rPr>
              <w:t>%</w:t>
            </w:r>
            <w:r>
              <w:rPr>
                <w:rFonts w:hint="eastAsia" w:ascii="宋体" w:hAnsi="宋体" w:eastAsia="宋体"/>
                <w:b w:val="0"/>
                <w:bCs w:val="0"/>
                <w:i w:val="0"/>
                <w:iCs w:val="0"/>
                <w:color w:val="auto"/>
                <w:kern w:val="0"/>
                <w:sz w:val="21"/>
                <w:szCs w:val="21"/>
                <w:highlight w:val="none"/>
                <w:u w:val="none"/>
                <w:lang w:val="en-US" w:eastAsia="zh-CN" w:bidi="ar"/>
              </w:rPr>
              <w:t>±0.2</w:t>
            </w:r>
            <w:r>
              <w:rPr>
                <w:rFonts w:hint="eastAsia" w:ascii="宋体" w:hAnsi="宋体"/>
                <w:b w:val="0"/>
                <w:bCs w:val="0"/>
                <w:i w:val="0"/>
                <w:iCs w:val="0"/>
                <w:color w:val="auto"/>
                <w:kern w:val="0"/>
                <w:sz w:val="21"/>
                <w:szCs w:val="21"/>
                <w:highlight w:val="none"/>
                <w:u w:val="none"/>
                <w:lang w:val="en-US" w:eastAsia="zh-CN" w:bidi="ar"/>
              </w:rPr>
              <w:t>%</w:t>
            </w:r>
            <w:r>
              <w:rPr>
                <w:rFonts w:hint="eastAsia" w:ascii="宋体" w:hAnsi="宋体" w:eastAsia="宋体"/>
                <w:b w:val="0"/>
                <w:bCs w:val="0"/>
                <w:i w:val="0"/>
                <w:iCs w:val="0"/>
                <w:color w:val="auto"/>
                <w:kern w:val="0"/>
                <w:sz w:val="21"/>
                <w:szCs w:val="21"/>
                <w:highlight w:val="none"/>
                <w:u w:val="none"/>
                <w:lang w:val="en-US" w:eastAsia="zh-CN" w:bidi="ar"/>
              </w:rPr>
              <w:t>；</w:t>
            </w:r>
          </w:p>
          <w:p w14:paraId="29F6EC91">
            <w:pPr>
              <w:keepNext w:val="0"/>
              <w:keepLines w:val="0"/>
              <w:widowControl/>
              <w:suppressLineNumbers w:val="0"/>
              <w:jc w:val="left"/>
              <w:rPr>
                <w:rFonts w:hint="eastAsia" w:ascii="宋体" w:hAnsi="宋体" w:eastAsia="宋体"/>
                <w:b w:val="0"/>
                <w:bCs w:val="0"/>
                <w:i w:val="0"/>
                <w:iCs w:val="0"/>
                <w:color w:val="auto"/>
                <w:kern w:val="0"/>
                <w:sz w:val="21"/>
                <w:szCs w:val="21"/>
                <w:highlight w:val="none"/>
                <w:u w:val="none"/>
                <w:lang w:val="en-US" w:eastAsia="zh-CN" w:bidi="ar"/>
              </w:rPr>
            </w:pPr>
            <w:r>
              <w:rPr>
                <w:rFonts w:hint="eastAsia" w:ascii="宋体" w:hAnsi="宋体" w:eastAsia="宋体"/>
                <w:b w:val="0"/>
                <w:bCs w:val="0"/>
                <w:i w:val="0"/>
                <w:iCs w:val="0"/>
                <w:color w:val="auto"/>
                <w:kern w:val="0"/>
                <w:sz w:val="21"/>
                <w:szCs w:val="21"/>
                <w:highlight w:val="none"/>
                <w:u w:val="none"/>
                <w:lang w:val="en-US" w:eastAsia="zh-CN" w:bidi="ar"/>
              </w:rPr>
              <w:t>2、折射率范围：1.3330-1.4200</w:t>
            </w:r>
            <w:r>
              <w:rPr>
                <w:rFonts w:hint="eastAsia" w:ascii="宋体" w:hAnsi="宋体"/>
                <w:b w:val="0"/>
                <w:bCs w:val="0"/>
                <w:i w:val="0"/>
                <w:iCs w:val="0"/>
                <w:color w:val="auto"/>
                <w:kern w:val="0"/>
                <w:sz w:val="21"/>
                <w:szCs w:val="21"/>
                <w:highlight w:val="none"/>
                <w:u w:val="none"/>
                <w:lang w:val="en-US" w:eastAsia="zh-CN" w:bidi="ar"/>
              </w:rPr>
              <w:t>nD</w:t>
            </w:r>
            <w:r>
              <w:rPr>
                <w:rFonts w:hint="eastAsia" w:ascii="宋体" w:hAnsi="宋体" w:eastAsia="宋体"/>
                <w:b w:val="0"/>
                <w:bCs w:val="0"/>
                <w:i w:val="0"/>
                <w:iCs w:val="0"/>
                <w:color w:val="auto"/>
                <w:kern w:val="0"/>
                <w:sz w:val="21"/>
                <w:szCs w:val="21"/>
                <w:highlight w:val="none"/>
                <w:u w:val="none"/>
                <w:lang w:val="en-US" w:eastAsia="zh-CN" w:bidi="ar"/>
              </w:rPr>
              <w:t>；</w:t>
            </w:r>
          </w:p>
          <w:p w14:paraId="2BD4F488">
            <w:pPr>
              <w:keepNext w:val="0"/>
              <w:keepLines w:val="0"/>
              <w:widowControl/>
              <w:suppressLineNumbers w:val="0"/>
              <w:jc w:val="left"/>
              <w:rPr>
                <w:rFonts w:hint="eastAsia" w:ascii="宋体" w:hAnsi="宋体" w:eastAsia="宋体"/>
                <w:b w:val="0"/>
                <w:bCs w:val="0"/>
                <w:i w:val="0"/>
                <w:iCs w:val="0"/>
                <w:color w:val="auto"/>
                <w:kern w:val="0"/>
                <w:sz w:val="21"/>
                <w:szCs w:val="21"/>
                <w:highlight w:val="none"/>
                <w:u w:val="none"/>
                <w:lang w:val="en-US" w:eastAsia="zh-CN" w:bidi="ar"/>
              </w:rPr>
            </w:pPr>
            <w:r>
              <w:rPr>
                <w:rFonts w:hint="eastAsia" w:ascii="宋体" w:hAnsi="宋体" w:eastAsia="宋体"/>
                <w:b w:val="0"/>
                <w:bCs w:val="0"/>
                <w:i w:val="0"/>
                <w:iCs w:val="0"/>
                <w:color w:val="auto"/>
                <w:kern w:val="0"/>
                <w:sz w:val="21"/>
                <w:szCs w:val="21"/>
                <w:highlight w:val="none"/>
                <w:u w:val="none"/>
                <w:lang w:val="en-US" w:eastAsia="zh-CN" w:bidi="ar"/>
              </w:rPr>
              <w:t>精度：0.0001</w:t>
            </w:r>
            <w:r>
              <w:rPr>
                <w:rFonts w:hint="eastAsia" w:ascii="宋体" w:hAnsi="宋体"/>
                <w:b w:val="0"/>
                <w:bCs w:val="0"/>
                <w:i w:val="0"/>
                <w:iCs w:val="0"/>
                <w:color w:val="auto"/>
                <w:kern w:val="0"/>
                <w:sz w:val="21"/>
                <w:szCs w:val="21"/>
                <w:highlight w:val="none"/>
                <w:u w:val="none"/>
                <w:lang w:val="en-US" w:eastAsia="zh-CN" w:bidi="ar"/>
              </w:rPr>
              <w:t>nD</w:t>
            </w:r>
            <w:r>
              <w:rPr>
                <w:rFonts w:hint="eastAsia" w:ascii="宋体" w:hAnsi="宋体" w:eastAsia="宋体"/>
                <w:b w:val="0"/>
                <w:bCs w:val="0"/>
                <w:i w:val="0"/>
                <w:iCs w:val="0"/>
                <w:color w:val="auto"/>
                <w:kern w:val="0"/>
                <w:sz w:val="21"/>
                <w:szCs w:val="21"/>
                <w:highlight w:val="none"/>
                <w:u w:val="none"/>
                <w:lang w:val="en-US" w:eastAsia="zh-CN" w:bidi="ar"/>
              </w:rPr>
              <w:t>±0.000</w:t>
            </w:r>
            <w:r>
              <w:rPr>
                <w:rFonts w:hint="eastAsia" w:ascii="宋体" w:hAnsi="宋体"/>
                <w:b w:val="0"/>
                <w:bCs w:val="0"/>
                <w:i w:val="0"/>
                <w:iCs w:val="0"/>
                <w:color w:val="auto"/>
                <w:kern w:val="0"/>
                <w:sz w:val="21"/>
                <w:szCs w:val="21"/>
                <w:highlight w:val="none"/>
                <w:u w:val="none"/>
                <w:lang w:val="en-US" w:eastAsia="zh-CN" w:bidi="ar"/>
              </w:rPr>
              <w:t>3nD</w:t>
            </w:r>
            <w:r>
              <w:rPr>
                <w:rFonts w:hint="eastAsia" w:ascii="宋体" w:hAnsi="宋体" w:eastAsia="宋体"/>
                <w:b w:val="0"/>
                <w:bCs w:val="0"/>
                <w:i w:val="0"/>
                <w:iCs w:val="0"/>
                <w:color w:val="auto"/>
                <w:kern w:val="0"/>
                <w:sz w:val="21"/>
                <w:szCs w:val="21"/>
                <w:highlight w:val="none"/>
                <w:u w:val="none"/>
                <w:lang w:val="en-US" w:eastAsia="zh-CN" w:bidi="ar"/>
              </w:rPr>
              <w:t>；</w:t>
            </w:r>
          </w:p>
          <w:p w14:paraId="04D09BB6">
            <w:pPr>
              <w:keepNext w:val="0"/>
              <w:keepLines w:val="0"/>
              <w:widowControl/>
              <w:suppressLineNumbers w:val="0"/>
              <w:jc w:val="left"/>
              <w:rPr>
                <w:rFonts w:hint="eastAsia" w:ascii="宋体" w:hAnsi="宋体" w:eastAsia="宋体"/>
                <w:b w:val="0"/>
                <w:bCs w:val="0"/>
                <w:i w:val="0"/>
                <w:iCs w:val="0"/>
                <w:color w:val="auto"/>
                <w:kern w:val="0"/>
                <w:sz w:val="21"/>
                <w:szCs w:val="21"/>
                <w:highlight w:val="none"/>
                <w:u w:val="none"/>
                <w:lang w:val="en-US" w:eastAsia="zh-CN" w:bidi="ar"/>
              </w:rPr>
            </w:pPr>
            <w:r>
              <w:rPr>
                <w:rFonts w:hint="eastAsia" w:ascii="宋体" w:hAnsi="宋体" w:eastAsia="宋体"/>
                <w:b w:val="0"/>
                <w:bCs w:val="0"/>
                <w:i w:val="0"/>
                <w:iCs w:val="0"/>
                <w:color w:val="auto"/>
                <w:kern w:val="0"/>
                <w:sz w:val="21"/>
                <w:szCs w:val="21"/>
                <w:highlight w:val="none"/>
                <w:u w:val="none"/>
                <w:lang w:val="en-US" w:eastAsia="zh-CN" w:bidi="ar"/>
              </w:rPr>
              <w:t>3、</w:t>
            </w:r>
            <w:r>
              <w:rPr>
                <w:rFonts w:hint="eastAsia" w:ascii="宋体" w:hAnsi="宋体"/>
                <w:b w:val="0"/>
                <w:bCs w:val="0"/>
                <w:i w:val="0"/>
                <w:iCs w:val="0"/>
                <w:color w:val="auto"/>
                <w:kern w:val="0"/>
                <w:sz w:val="21"/>
                <w:szCs w:val="21"/>
                <w:highlight w:val="none"/>
                <w:u w:val="none"/>
                <w:lang w:val="en-US" w:eastAsia="zh-CN" w:bidi="ar"/>
              </w:rPr>
              <w:t>彩色液晶显示屏，</w:t>
            </w:r>
            <w:r>
              <w:rPr>
                <w:rFonts w:hint="eastAsia" w:ascii="宋体" w:hAnsi="宋体" w:eastAsia="宋体"/>
                <w:b w:val="0"/>
                <w:bCs w:val="0"/>
                <w:i w:val="0"/>
                <w:iCs w:val="0"/>
                <w:color w:val="auto"/>
                <w:kern w:val="0"/>
                <w:sz w:val="21"/>
                <w:szCs w:val="21"/>
                <w:highlight w:val="none"/>
                <w:u w:val="none"/>
                <w:lang w:val="en-US" w:eastAsia="zh-CN" w:bidi="ar"/>
              </w:rPr>
              <w:t>需便携，操作方便，测量准确；满足车用尿素水溶性折光率快速检测；续航时间不低于8小时；</w:t>
            </w:r>
          </w:p>
          <w:p w14:paraId="63FA4407">
            <w:pPr>
              <w:keepNext w:val="0"/>
              <w:keepLines w:val="0"/>
              <w:widowControl/>
              <w:suppressLineNumbers w:val="0"/>
              <w:jc w:val="left"/>
              <w:rPr>
                <w:rFonts w:hint="eastAsia" w:ascii="宋体" w:hAnsi="宋体" w:eastAsia="宋体"/>
                <w:b w:val="0"/>
                <w:bCs w:val="0"/>
                <w:i w:val="0"/>
                <w:iCs w:val="0"/>
                <w:color w:val="auto"/>
                <w:kern w:val="0"/>
                <w:sz w:val="21"/>
                <w:szCs w:val="21"/>
                <w:highlight w:val="none"/>
                <w:u w:val="none"/>
                <w:lang w:val="en-US" w:eastAsia="zh-CN" w:bidi="ar"/>
              </w:rPr>
            </w:pPr>
            <w:r>
              <w:rPr>
                <w:rFonts w:hint="eastAsia" w:ascii="宋体" w:hAnsi="宋体" w:eastAsia="宋体"/>
                <w:b w:val="0"/>
                <w:bCs w:val="0"/>
                <w:i w:val="0"/>
                <w:iCs w:val="0"/>
                <w:color w:val="auto"/>
                <w:kern w:val="0"/>
                <w:sz w:val="21"/>
                <w:szCs w:val="21"/>
                <w:highlight w:val="none"/>
                <w:u w:val="none"/>
                <w:lang w:val="en-US" w:eastAsia="zh-CN" w:bidi="ar"/>
              </w:rPr>
              <w:t xml:space="preserve">4、提供具有资质机构出具带有CNAS或CMA标识的检测报告。 </w:t>
            </w:r>
          </w:p>
        </w:tc>
        <w:tc>
          <w:tcPr>
            <w:tcW w:w="545" w:type="dxa"/>
            <w:tcBorders>
              <w:top w:val="single" w:color="auto" w:sz="4" w:space="0"/>
              <w:left w:val="single" w:color="auto" w:sz="4" w:space="0"/>
              <w:bottom w:val="single" w:color="auto" w:sz="4" w:space="0"/>
              <w:right w:val="single" w:color="auto" w:sz="4" w:space="0"/>
            </w:tcBorders>
            <w:noWrap/>
            <w:vAlign w:val="center"/>
          </w:tcPr>
          <w:p w14:paraId="3F89ACA5">
            <w:pPr>
              <w:keepNext w:val="0"/>
              <w:keepLines w:val="0"/>
              <w:widowControl/>
              <w:suppressLineNumbers w:val="0"/>
              <w:jc w:val="center"/>
              <w:rPr>
                <w:rFonts w:hint="eastAsia"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9</w:t>
            </w:r>
          </w:p>
        </w:tc>
        <w:tc>
          <w:tcPr>
            <w:tcW w:w="448" w:type="dxa"/>
            <w:tcBorders>
              <w:top w:val="single" w:color="auto" w:sz="4" w:space="0"/>
              <w:left w:val="single" w:color="auto" w:sz="4" w:space="0"/>
              <w:bottom w:val="single" w:color="auto" w:sz="4" w:space="0"/>
              <w:right w:val="single" w:color="auto" w:sz="4" w:space="0"/>
            </w:tcBorders>
            <w:noWrap/>
            <w:vAlign w:val="center"/>
          </w:tcPr>
          <w:p w14:paraId="03569553">
            <w:pPr>
              <w:keepNext w:val="0"/>
              <w:keepLines w:val="0"/>
              <w:widowControl/>
              <w:suppressLineNumbers w:val="0"/>
              <w:jc w:val="center"/>
              <w:rPr>
                <w:rFonts w:hint="eastAsia"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套</w:t>
            </w:r>
          </w:p>
        </w:tc>
        <w:tc>
          <w:tcPr>
            <w:tcW w:w="391" w:type="dxa"/>
            <w:tcBorders>
              <w:top w:val="single" w:color="auto" w:sz="4" w:space="0"/>
              <w:left w:val="single" w:color="auto" w:sz="4" w:space="0"/>
              <w:bottom w:val="single" w:color="auto" w:sz="4" w:space="0"/>
              <w:right w:val="single" w:color="auto" w:sz="4" w:space="0"/>
            </w:tcBorders>
            <w:noWrap/>
            <w:vAlign w:val="center"/>
          </w:tcPr>
          <w:p w14:paraId="09F9A314">
            <w:pPr>
              <w:keepNext w:val="0"/>
              <w:keepLines w:val="0"/>
              <w:widowControl/>
              <w:suppressLineNumbers w:val="0"/>
              <w:jc w:val="center"/>
              <w:rPr>
                <w:rFonts w:hint="eastAsia" w:ascii="宋体" w:hAnsi="宋体" w:eastAsia="宋体"/>
                <w:i w:val="0"/>
                <w:iCs w:val="0"/>
                <w:color w:val="auto"/>
                <w:kern w:val="0"/>
                <w:sz w:val="22"/>
                <w:szCs w:val="22"/>
                <w:highlight w:val="none"/>
                <w:u w:val="none"/>
                <w:lang w:val="en-US" w:eastAsia="zh-CN" w:bidi="ar"/>
              </w:rPr>
            </w:pPr>
          </w:p>
        </w:tc>
      </w:tr>
      <w:tr w14:paraId="3F7EE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295" w:type="dxa"/>
            <w:tcBorders>
              <w:top w:val="single" w:color="auto" w:sz="4" w:space="0"/>
              <w:left w:val="single" w:color="auto" w:sz="4" w:space="0"/>
              <w:bottom w:val="single" w:color="auto" w:sz="4" w:space="0"/>
              <w:right w:val="single" w:color="auto" w:sz="4" w:space="0"/>
            </w:tcBorders>
            <w:noWrap/>
            <w:vAlign w:val="center"/>
          </w:tcPr>
          <w:p w14:paraId="0BE793A2">
            <w:pPr>
              <w:keepNext w:val="0"/>
              <w:keepLines w:val="0"/>
              <w:widowControl/>
              <w:suppressLineNumbers w:val="0"/>
              <w:jc w:val="center"/>
              <w:rPr>
                <w:rFonts w:hint="eastAsia" w:ascii="宋体" w:hAnsi="宋体" w:eastAsia="宋体"/>
                <w:i w:val="0"/>
                <w:iCs w:val="0"/>
                <w:color w:val="auto"/>
                <w:kern w:val="0"/>
                <w:sz w:val="22"/>
                <w:szCs w:val="22"/>
                <w:highlight w:val="none"/>
                <w:u w:val="none"/>
                <w:lang w:val="en-US" w:eastAsia="zh-CN" w:bidi="ar"/>
              </w:rPr>
            </w:pPr>
            <w:r>
              <w:rPr>
                <w:rFonts w:hint="eastAsia" w:ascii="宋体" w:hAnsi="宋体" w:eastAsia="宋体"/>
                <w:i w:val="0"/>
                <w:iCs w:val="0"/>
                <w:color w:val="auto"/>
                <w:kern w:val="0"/>
                <w:sz w:val="22"/>
                <w:szCs w:val="22"/>
                <w:highlight w:val="none"/>
                <w:u w:val="none"/>
                <w:lang w:val="en-US" w:eastAsia="zh-CN" w:bidi="ar"/>
              </w:rPr>
              <w:t>3</w:t>
            </w:r>
          </w:p>
        </w:tc>
        <w:tc>
          <w:tcPr>
            <w:tcW w:w="924" w:type="dxa"/>
            <w:tcBorders>
              <w:top w:val="single" w:color="auto" w:sz="4" w:space="0"/>
              <w:left w:val="single" w:color="auto" w:sz="4" w:space="0"/>
              <w:bottom w:val="single" w:color="auto" w:sz="4" w:space="0"/>
              <w:right w:val="single" w:color="auto" w:sz="4" w:space="0"/>
            </w:tcBorders>
            <w:noWrap/>
            <w:vAlign w:val="center"/>
          </w:tcPr>
          <w:p w14:paraId="1FBED7E9">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内窥镜</w:t>
            </w:r>
          </w:p>
        </w:tc>
        <w:tc>
          <w:tcPr>
            <w:tcW w:w="2393" w:type="dxa"/>
            <w:tcBorders>
              <w:top w:val="single" w:color="auto" w:sz="4" w:space="0"/>
              <w:left w:val="single" w:color="auto" w:sz="4" w:space="0"/>
              <w:bottom w:val="single" w:color="auto" w:sz="4" w:space="0"/>
              <w:right w:val="single" w:color="auto" w:sz="4" w:space="0"/>
            </w:tcBorders>
            <w:noWrap/>
            <w:vAlign w:val="center"/>
          </w:tcPr>
          <w:p w14:paraId="51CD1CEE">
            <w:pPr>
              <w:keepNext w:val="0"/>
              <w:keepLines w:val="0"/>
              <w:widowControl/>
              <w:suppressLineNumbers w:val="0"/>
              <w:jc w:val="left"/>
              <w:rPr>
                <w:rFonts w:hint="eastAsia" w:ascii="宋体" w:hAnsi="宋体" w:eastAsia="宋体"/>
                <w:b w:val="0"/>
                <w:bCs w:val="0"/>
                <w:i w:val="0"/>
                <w:iCs w:val="0"/>
                <w:color w:val="auto"/>
                <w:kern w:val="0"/>
                <w:sz w:val="21"/>
                <w:szCs w:val="21"/>
                <w:highlight w:val="none"/>
                <w:u w:val="none"/>
                <w:lang w:val="en-US" w:eastAsia="zh-CN" w:bidi="ar"/>
              </w:rPr>
            </w:pPr>
            <w:r>
              <w:rPr>
                <w:rFonts w:hint="eastAsia" w:ascii="宋体" w:hAnsi="宋体" w:eastAsia="宋体"/>
                <w:b w:val="0"/>
                <w:bCs w:val="0"/>
                <w:i w:val="0"/>
                <w:iCs w:val="0"/>
                <w:color w:val="auto"/>
                <w:kern w:val="0"/>
                <w:sz w:val="21"/>
                <w:szCs w:val="21"/>
                <w:highlight w:val="none"/>
                <w:u w:val="none"/>
                <w:lang w:val="en-US" w:eastAsia="zh-CN" w:bidi="ar"/>
              </w:rPr>
              <w:t>1、需便携，具备360°转向，</w:t>
            </w:r>
            <w:r>
              <w:rPr>
                <w:rFonts w:hint="eastAsia" w:ascii="宋体" w:hAnsi="宋体"/>
                <w:b w:val="0"/>
                <w:bCs w:val="0"/>
                <w:i w:val="0"/>
                <w:iCs w:val="0"/>
                <w:color w:val="auto"/>
                <w:kern w:val="0"/>
                <w:sz w:val="21"/>
                <w:szCs w:val="21"/>
                <w:highlight w:val="none"/>
                <w:u w:val="none"/>
                <w:lang w:val="en-US" w:eastAsia="zh-CN" w:bidi="ar"/>
              </w:rPr>
              <w:t>IPS全彩液晶屏，1920P高清显示，</w:t>
            </w:r>
            <w:r>
              <w:rPr>
                <w:rFonts w:hint="eastAsia" w:ascii="宋体" w:hAnsi="宋体" w:eastAsia="宋体"/>
                <w:b w:val="0"/>
                <w:bCs w:val="0"/>
                <w:i w:val="0"/>
                <w:iCs w:val="0"/>
                <w:color w:val="auto"/>
                <w:kern w:val="0"/>
                <w:sz w:val="21"/>
                <w:szCs w:val="21"/>
                <w:highlight w:val="none"/>
                <w:u w:val="none"/>
                <w:lang w:val="en-US" w:eastAsia="zh-CN" w:bidi="ar"/>
              </w:rPr>
              <w:t>屏幕≥</w:t>
            </w:r>
            <w:r>
              <w:rPr>
                <w:rFonts w:hint="eastAsia" w:ascii="宋体" w:hAnsi="宋体"/>
                <w:b w:val="0"/>
                <w:bCs w:val="0"/>
                <w:i w:val="0"/>
                <w:iCs w:val="0"/>
                <w:color w:val="auto"/>
                <w:kern w:val="0"/>
                <w:sz w:val="21"/>
                <w:szCs w:val="21"/>
                <w:highlight w:val="none"/>
                <w:u w:val="none"/>
                <w:lang w:val="en-US" w:eastAsia="zh-CN" w:bidi="ar"/>
              </w:rPr>
              <w:t>5英寸，画面三倍放大，实时温度显示</w:t>
            </w:r>
            <w:r>
              <w:rPr>
                <w:rFonts w:hint="eastAsia" w:ascii="宋体" w:hAnsi="宋体" w:eastAsia="宋体"/>
                <w:b w:val="0"/>
                <w:bCs w:val="0"/>
                <w:i w:val="0"/>
                <w:iCs w:val="0"/>
                <w:color w:val="auto"/>
                <w:kern w:val="0"/>
                <w:sz w:val="21"/>
                <w:szCs w:val="21"/>
                <w:highlight w:val="none"/>
                <w:u w:val="none"/>
                <w:lang w:val="en-US" w:eastAsia="zh-CN" w:bidi="ar"/>
              </w:rPr>
              <w:t>，耐高温</w:t>
            </w:r>
            <w:r>
              <w:rPr>
                <w:rFonts w:hint="eastAsia" w:ascii="宋体" w:hAnsi="宋体"/>
                <w:b w:val="0"/>
                <w:bCs w:val="0"/>
                <w:i w:val="0"/>
                <w:iCs w:val="0"/>
                <w:color w:val="auto"/>
                <w:kern w:val="0"/>
                <w:sz w:val="21"/>
                <w:szCs w:val="21"/>
                <w:highlight w:val="none"/>
                <w:u w:val="none"/>
                <w:lang w:val="en-US" w:eastAsia="zh-CN" w:bidi="ar"/>
              </w:rPr>
              <w:t>（自动温度识别，温度＞100度自动断电保护）</w:t>
            </w:r>
            <w:r>
              <w:rPr>
                <w:rFonts w:hint="eastAsia" w:ascii="宋体" w:hAnsi="宋体" w:eastAsia="宋体"/>
                <w:b w:val="0"/>
                <w:bCs w:val="0"/>
                <w:i w:val="0"/>
                <w:iCs w:val="0"/>
                <w:color w:val="auto"/>
                <w:kern w:val="0"/>
                <w:sz w:val="21"/>
                <w:szCs w:val="21"/>
                <w:highlight w:val="none"/>
                <w:u w:val="none"/>
                <w:lang w:val="en-US" w:eastAsia="zh-CN" w:bidi="ar"/>
              </w:rPr>
              <w:t>、防水防油</w:t>
            </w:r>
            <w:r>
              <w:rPr>
                <w:rFonts w:hint="eastAsia" w:ascii="宋体" w:hAnsi="宋体"/>
                <w:b w:val="0"/>
                <w:bCs w:val="0"/>
                <w:i w:val="0"/>
                <w:iCs w:val="0"/>
                <w:color w:val="auto"/>
                <w:kern w:val="0"/>
                <w:sz w:val="21"/>
                <w:szCs w:val="21"/>
                <w:highlight w:val="none"/>
                <w:u w:val="none"/>
                <w:lang w:val="en-US" w:eastAsia="zh-CN" w:bidi="ar"/>
              </w:rPr>
              <w:t>（IP67级防水）</w:t>
            </w:r>
            <w:r>
              <w:rPr>
                <w:rFonts w:hint="eastAsia" w:ascii="宋体" w:hAnsi="宋体" w:eastAsia="宋体"/>
                <w:b w:val="0"/>
                <w:bCs w:val="0"/>
                <w:i w:val="0"/>
                <w:iCs w:val="0"/>
                <w:color w:val="auto"/>
                <w:kern w:val="0"/>
                <w:sz w:val="21"/>
                <w:szCs w:val="21"/>
                <w:highlight w:val="none"/>
                <w:u w:val="none"/>
                <w:lang w:val="en-US" w:eastAsia="zh-CN" w:bidi="ar"/>
              </w:rPr>
              <w:t>、</w:t>
            </w:r>
            <w:r>
              <w:rPr>
                <w:rFonts w:hint="eastAsia" w:ascii="宋体" w:hAnsi="宋体"/>
                <w:b w:val="0"/>
                <w:bCs w:val="0"/>
                <w:i w:val="0"/>
                <w:iCs w:val="0"/>
                <w:color w:val="auto"/>
                <w:kern w:val="0"/>
                <w:sz w:val="21"/>
                <w:szCs w:val="21"/>
                <w:highlight w:val="none"/>
                <w:u w:val="none"/>
                <w:lang w:val="en-US" w:eastAsia="zh-CN" w:bidi="ar"/>
              </w:rPr>
              <w:t>8.5mm镜头，</w:t>
            </w:r>
            <w:r>
              <w:rPr>
                <w:rFonts w:hint="eastAsia" w:ascii="宋体" w:hAnsi="宋体" w:eastAsia="宋体"/>
                <w:b w:val="0"/>
                <w:bCs w:val="0"/>
                <w:i w:val="0"/>
                <w:iCs w:val="0"/>
                <w:color w:val="auto"/>
                <w:kern w:val="0"/>
                <w:sz w:val="21"/>
                <w:szCs w:val="21"/>
                <w:highlight w:val="none"/>
                <w:u w:val="none"/>
                <w:lang w:val="en-US" w:eastAsia="zh-CN" w:bidi="ar"/>
              </w:rPr>
              <w:t>可照明，支持截屏、录像等功能。</w:t>
            </w:r>
            <w:r>
              <w:rPr>
                <w:rFonts w:hint="eastAsia" w:ascii="宋体" w:hAnsi="宋体"/>
                <w:b w:val="0"/>
                <w:bCs w:val="0"/>
                <w:i w:val="0"/>
                <w:iCs w:val="0"/>
                <w:color w:val="auto"/>
                <w:kern w:val="0"/>
                <w:sz w:val="21"/>
                <w:szCs w:val="21"/>
                <w:highlight w:val="none"/>
                <w:u w:val="none"/>
                <w:lang w:val="en-US" w:eastAsia="zh-CN" w:bidi="ar"/>
              </w:rPr>
              <w:t>电池容量≥3000</w:t>
            </w:r>
            <w:r>
              <w:rPr>
                <w:rFonts w:hint="default" w:ascii="宋体" w:hAnsi="宋体"/>
                <w:b w:val="0"/>
                <w:bCs w:val="0"/>
                <w:i w:val="0"/>
                <w:iCs w:val="0"/>
                <w:color w:val="auto"/>
                <w:kern w:val="0"/>
                <w:sz w:val="21"/>
                <w:szCs w:val="21"/>
                <w:highlight w:val="none"/>
                <w:u w:val="none"/>
                <w:lang w:val="en" w:eastAsia="zh-CN" w:bidi="ar"/>
              </w:rPr>
              <w:t>mAh</w:t>
            </w:r>
            <w:r>
              <w:rPr>
                <w:rFonts w:hint="eastAsia" w:ascii="宋体" w:hAnsi="宋体" w:eastAsia="宋体"/>
                <w:b w:val="0"/>
                <w:bCs w:val="0"/>
                <w:i w:val="0"/>
                <w:iCs w:val="0"/>
                <w:color w:val="auto"/>
                <w:kern w:val="0"/>
                <w:sz w:val="21"/>
                <w:szCs w:val="21"/>
                <w:highlight w:val="none"/>
                <w:u w:val="none"/>
                <w:lang w:val="en-US" w:eastAsia="zh-CN" w:bidi="ar"/>
              </w:rPr>
              <w:t>，支持回看、图像参数调节、翻转等功能。</w:t>
            </w:r>
          </w:p>
          <w:p w14:paraId="47A0034F">
            <w:pPr>
              <w:keepNext w:val="0"/>
              <w:keepLines w:val="0"/>
              <w:widowControl/>
              <w:suppressLineNumbers w:val="0"/>
              <w:jc w:val="left"/>
              <w:rPr>
                <w:rFonts w:hint="eastAsia" w:ascii="宋体" w:hAnsi="宋体" w:eastAsia="宋体"/>
                <w:b w:val="0"/>
                <w:bCs w:val="0"/>
                <w:color w:val="auto"/>
                <w:kern w:val="0"/>
                <w:sz w:val="21"/>
                <w:szCs w:val="21"/>
                <w:highlight w:val="none"/>
                <w:lang w:val="en-US" w:eastAsia="zh-CN" w:bidi="ar"/>
              </w:rPr>
            </w:pPr>
            <w:r>
              <w:rPr>
                <w:rFonts w:hint="eastAsia" w:ascii="宋体" w:hAnsi="宋体" w:eastAsia="宋体"/>
                <w:b w:val="0"/>
                <w:bCs w:val="0"/>
                <w:color w:val="auto"/>
                <w:kern w:val="0"/>
                <w:sz w:val="21"/>
                <w:szCs w:val="21"/>
                <w:highlight w:val="none"/>
                <w:lang w:val="en-US" w:eastAsia="zh-CN" w:bidi="ar"/>
              </w:rPr>
              <w:t>2、</w:t>
            </w:r>
            <w:r>
              <w:rPr>
                <w:rFonts w:hint="eastAsia" w:ascii="宋体" w:hAnsi="宋体" w:eastAsia="宋体"/>
                <w:b w:val="0"/>
                <w:bCs w:val="0"/>
                <w:color w:val="auto"/>
                <w:kern w:val="0"/>
                <w:sz w:val="21"/>
                <w:szCs w:val="21"/>
                <w:highlight w:val="none"/>
                <w:lang w:bidi="ar"/>
              </w:rPr>
              <w:t>蛇管长度：</w:t>
            </w:r>
            <w:r>
              <w:rPr>
                <w:rFonts w:hint="eastAsia" w:ascii="宋体" w:hAnsi="宋体" w:eastAsia="宋体"/>
                <w:b w:val="0"/>
                <w:bCs w:val="0"/>
                <w:color w:val="auto"/>
                <w:kern w:val="0"/>
                <w:sz w:val="21"/>
                <w:szCs w:val="21"/>
                <w:highlight w:val="none"/>
                <w:lang w:val="en-US" w:eastAsia="zh-CN" w:bidi="ar"/>
              </w:rPr>
              <w:t>≥1</w:t>
            </w:r>
            <w:r>
              <w:rPr>
                <w:rFonts w:hint="eastAsia" w:ascii="宋体" w:hAnsi="宋体" w:eastAsia="宋体"/>
                <w:b w:val="0"/>
                <w:bCs w:val="0"/>
                <w:color w:val="auto"/>
                <w:kern w:val="0"/>
                <w:sz w:val="21"/>
                <w:szCs w:val="21"/>
                <w:highlight w:val="none"/>
                <w:lang w:bidi="ar"/>
              </w:rPr>
              <w:t>m</w:t>
            </w:r>
            <w:r>
              <w:rPr>
                <w:rFonts w:hint="eastAsia" w:ascii="宋体" w:hAnsi="宋体" w:eastAsia="宋体"/>
                <w:b w:val="0"/>
                <w:bCs w:val="0"/>
                <w:color w:val="auto"/>
                <w:kern w:val="0"/>
                <w:sz w:val="21"/>
                <w:szCs w:val="21"/>
                <w:highlight w:val="none"/>
                <w:lang w:val="en-US" w:eastAsia="zh-CN" w:bidi="ar"/>
              </w:rPr>
              <w:t xml:space="preserve"> ；</w:t>
            </w:r>
          </w:p>
          <w:p w14:paraId="01BA49B0">
            <w:pPr>
              <w:keepNext w:val="0"/>
              <w:keepLines w:val="0"/>
              <w:widowControl/>
              <w:suppressLineNumbers w:val="0"/>
              <w:jc w:val="left"/>
              <w:rPr>
                <w:rFonts w:hint="eastAsia" w:ascii="宋体" w:hAnsi="宋体" w:eastAsia="宋体"/>
                <w:b w:val="0"/>
                <w:bCs w:val="0"/>
                <w:color w:val="auto"/>
                <w:kern w:val="0"/>
                <w:sz w:val="21"/>
                <w:szCs w:val="21"/>
                <w:highlight w:val="none"/>
                <w:lang w:bidi="ar"/>
              </w:rPr>
            </w:pPr>
            <w:r>
              <w:rPr>
                <w:rFonts w:hint="eastAsia" w:ascii="宋体" w:hAnsi="宋体" w:eastAsia="宋体"/>
                <w:b w:val="0"/>
                <w:bCs w:val="0"/>
                <w:color w:val="auto"/>
                <w:kern w:val="0"/>
                <w:sz w:val="21"/>
                <w:szCs w:val="21"/>
                <w:highlight w:val="none"/>
                <w:lang w:bidi="ar"/>
              </w:rPr>
              <w:t>摄像头：像素</w:t>
            </w:r>
            <w:r>
              <w:rPr>
                <w:rFonts w:hint="eastAsia" w:ascii="宋体" w:hAnsi="宋体" w:eastAsia="宋体"/>
                <w:b w:val="0"/>
                <w:bCs w:val="0"/>
                <w:color w:val="auto"/>
                <w:kern w:val="0"/>
                <w:sz w:val="21"/>
                <w:szCs w:val="21"/>
                <w:highlight w:val="none"/>
                <w:lang w:val="en-US" w:eastAsia="zh-CN" w:bidi="ar"/>
              </w:rPr>
              <w:t>5</w:t>
            </w:r>
            <w:r>
              <w:rPr>
                <w:rFonts w:hint="eastAsia" w:ascii="宋体" w:hAnsi="宋体" w:eastAsia="宋体"/>
                <w:b w:val="0"/>
                <w:bCs w:val="0"/>
                <w:color w:val="auto"/>
                <w:kern w:val="0"/>
                <w:sz w:val="21"/>
                <w:szCs w:val="21"/>
                <w:highlight w:val="none"/>
                <w:lang w:bidi="ar"/>
              </w:rPr>
              <w:t>00万</w:t>
            </w:r>
            <w:r>
              <w:rPr>
                <w:rFonts w:hint="eastAsia" w:ascii="宋体" w:hAnsi="宋体" w:eastAsia="宋体"/>
                <w:b w:val="0"/>
                <w:bCs w:val="0"/>
                <w:color w:val="auto"/>
                <w:kern w:val="0"/>
                <w:sz w:val="21"/>
                <w:szCs w:val="21"/>
                <w:highlight w:val="none"/>
                <w:lang w:val="en-US" w:eastAsia="zh-CN" w:bidi="ar"/>
              </w:rPr>
              <w:t>以上，</w:t>
            </w:r>
            <w:r>
              <w:rPr>
                <w:rFonts w:hint="eastAsia" w:ascii="宋体" w:hAnsi="宋体" w:eastAsia="宋体"/>
                <w:b w:val="0"/>
                <w:bCs w:val="0"/>
                <w:color w:val="auto"/>
                <w:kern w:val="0"/>
                <w:sz w:val="21"/>
                <w:szCs w:val="21"/>
                <w:highlight w:val="none"/>
                <w:lang w:bidi="ar"/>
              </w:rPr>
              <w:t>高亮LED灯</w:t>
            </w:r>
            <w:r>
              <w:rPr>
                <w:rFonts w:hint="eastAsia" w:ascii="宋体" w:hAnsi="宋体"/>
                <w:b w:val="0"/>
                <w:bCs w:val="0"/>
                <w:color w:val="auto"/>
                <w:kern w:val="0"/>
                <w:sz w:val="21"/>
                <w:szCs w:val="21"/>
                <w:highlight w:val="none"/>
                <w:lang w:eastAsia="zh-CN" w:bidi="ar"/>
              </w:rPr>
              <w:t>，</w:t>
            </w:r>
            <w:r>
              <w:rPr>
                <w:rFonts w:hint="eastAsia" w:ascii="宋体" w:hAnsi="宋体"/>
                <w:b w:val="0"/>
                <w:bCs w:val="0"/>
                <w:color w:val="auto"/>
                <w:kern w:val="0"/>
                <w:sz w:val="21"/>
                <w:szCs w:val="21"/>
                <w:highlight w:val="none"/>
                <w:lang w:val="en-US" w:eastAsia="zh-CN" w:bidi="ar"/>
              </w:rPr>
              <w:t>LED亮度可调</w:t>
            </w:r>
            <w:r>
              <w:rPr>
                <w:rFonts w:hint="eastAsia" w:ascii="宋体" w:hAnsi="宋体" w:eastAsia="宋体"/>
                <w:b w:val="0"/>
                <w:bCs w:val="0"/>
                <w:color w:val="auto"/>
                <w:kern w:val="0"/>
                <w:sz w:val="21"/>
                <w:szCs w:val="21"/>
                <w:highlight w:val="none"/>
                <w:lang w:eastAsia="zh-CN" w:bidi="ar"/>
              </w:rPr>
              <w:t>；</w:t>
            </w:r>
          </w:p>
          <w:p w14:paraId="05E1E7AE">
            <w:pPr>
              <w:keepNext w:val="0"/>
              <w:keepLines w:val="0"/>
              <w:widowControl/>
              <w:suppressLineNumbers w:val="0"/>
              <w:jc w:val="left"/>
              <w:rPr>
                <w:rFonts w:hint="eastAsia" w:ascii="宋体" w:hAnsi="宋体" w:eastAsia="宋体"/>
                <w:b w:val="0"/>
                <w:bCs w:val="0"/>
                <w:i w:val="0"/>
                <w:iCs w:val="0"/>
                <w:color w:val="auto"/>
                <w:kern w:val="0"/>
                <w:sz w:val="21"/>
                <w:szCs w:val="21"/>
                <w:highlight w:val="none"/>
                <w:u w:val="none"/>
                <w:lang w:val="en-US" w:eastAsia="zh-CN" w:bidi="ar"/>
              </w:rPr>
            </w:pPr>
            <w:r>
              <w:rPr>
                <w:rFonts w:hint="eastAsia" w:ascii="宋体" w:hAnsi="宋体" w:eastAsia="宋体"/>
                <w:b w:val="0"/>
                <w:bCs w:val="0"/>
                <w:i w:val="0"/>
                <w:iCs w:val="0"/>
                <w:color w:val="auto"/>
                <w:kern w:val="0"/>
                <w:sz w:val="21"/>
                <w:szCs w:val="21"/>
                <w:highlight w:val="none"/>
                <w:u w:val="none"/>
                <w:lang w:val="en-US" w:eastAsia="zh-CN" w:bidi="ar"/>
              </w:rPr>
              <w:t>3、提供具有资质机构出具带有CNAS或CMA</w:t>
            </w:r>
            <w:bookmarkStart w:id="0" w:name="_GoBack"/>
            <w:bookmarkEnd w:id="0"/>
            <w:r>
              <w:rPr>
                <w:rFonts w:hint="eastAsia" w:ascii="宋体" w:hAnsi="宋体" w:eastAsia="宋体"/>
                <w:b w:val="0"/>
                <w:bCs w:val="0"/>
                <w:i w:val="0"/>
                <w:iCs w:val="0"/>
                <w:color w:val="auto"/>
                <w:kern w:val="0"/>
                <w:sz w:val="21"/>
                <w:szCs w:val="21"/>
                <w:highlight w:val="none"/>
                <w:u w:val="none"/>
                <w:lang w:val="en-US" w:eastAsia="zh-CN" w:bidi="ar"/>
              </w:rPr>
              <w:t>标识的检测报告。</w:t>
            </w:r>
          </w:p>
        </w:tc>
        <w:tc>
          <w:tcPr>
            <w:tcW w:w="545" w:type="dxa"/>
            <w:tcBorders>
              <w:top w:val="single" w:color="auto" w:sz="4" w:space="0"/>
              <w:left w:val="single" w:color="auto" w:sz="4" w:space="0"/>
              <w:bottom w:val="single" w:color="auto" w:sz="4" w:space="0"/>
              <w:right w:val="single" w:color="auto" w:sz="4" w:space="0"/>
            </w:tcBorders>
            <w:noWrap/>
            <w:vAlign w:val="center"/>
          </w:tcPr>
          <w:p w14:paraId="7D67BEBD">
            <w:pPr>
              <w:keepNext w:val="0"/>
              <w:keepLines w:val="0"/>
              <w:widowControl/>
              <w:suppressLineNumbers w:val="0"/>
              <w:jc w:val="center"/>
              <w:rPr>
                <w:rFonts w:hint="eastAsia"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9</w:t>
            </w:r>
          </w:p>
        </w:tc>
        <w:tc>
          <w:tcPr>
            <w:tcW w:w="448" w:type="dxa"/>
            <w:tcBorders>
              <w:top w:val="single" w:color="auto" w:sz="4" w:space="0"/>
              <w:left w:val="single" w:color="auto" w:sz="4" w:space="0"/>
              <w:bottom w:val="single" w:color="auto" w:sz="4" w:space="0"/>
              <w:right w:val="single" w:color="auto" w:sz="4" w:space="0"/>
            </w:tcBorders>
            <w:noWrap/>
            <w:vAlign w:val="center"/>
          </w:tcPr>
          <w:p w14:paraId="41DF3B62">
            <w:pPr>
              <w:keepNext w:val="0"/>
              <w:keepLines w:val="0"/>
              <w:widowControl/>
              <w:suppressLineNumbers w:val="0"/>
              <w:jc w:val="center"/>
              <w:rPr>
                <w:rFonts w:hint="eastAsia"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套</w:t>
            </w:r>
          </w:p>
        </w:tc>
        <w:tc>
          <w:tcPr>
            <w:tcW w:w="391" w:type="dxa"/>
            <w:tcBorders>
              <w:top w:val="single" w:color="auto" w:sz="4" w:space="0"/>
              <w:left w:val="single" w:color="auto" w:sz="4" w:space="0"/>
              <w:bottom w:val="single" w:color="auto" w:sz="4" w:space="0"/>
              <w:right w:val="single" w:color="auto" w:sz="4" w:space="0"/>
            </w:tcBorders>
            <w:noWrap/>
            <w:vAlign w:val="center"/>
          </w:tcPr>
          <w:p w14:paraId="752F5A3D">
            <w:pPr>
              <w:keepNext w:val="0"/>
              <w:keepLines w:val="0"/>
              <w:widowControl/>
              <w:suppressLineNumbers w:val="0"/>
              <w:jc w:val="center"/>
              <w:rPr>
                <w:rFonts w:hint="eastAsia" w:ascii="宋体" w:hAnsi="宋体" w:eastAsia="宋体"/>
                <w:i w:val="0"/>
                <w:iCs w:val="0"/>
                <w:color w:val="auto"/>
                <w:kern w:val="0"/>
                <w:sz w:val="22"/>
                <w:szCs w:val="22"/>
                <w:highlight w:val="none"/>
                <w:u w:val="none"/>
                <w:lang w:val="en-US" w:eastAsia="zh-CN" w:bidi="ar"/>
              </w:rPr>
            </w:pPr>
          </w:p>
        </w:tc>
      </w:tr>
      <w:tr w14:paraId="443C0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95" w:type="dxa"/>
            <w:tcBorders>
              <w:top w:val="single" w:color="auto" w:sz="4" w:space="0"/>
              <w:left w:val="single" w:color="auto" w:sz="4" w:space="0"/>
              <w:bottom w:val="single" w:color="auto" w:sz="4" w:space="0"/>
              <w:right w:val="single" w:color="auto" w:sz="4" w:space="0"/>
            </w:tcBorders>
            <w:noWrap/>
            <w:vAlign w:val="center"/>
          </w:tcPr>
          <w:p w14:paraId="587B03BE">
            <w:pPr>
              <w:keepNext w:val="0"/>
              <w:keepLines w:val="0"/>
              <w:widowControl/>
              <w:suppressLineNumbers w:val="0"/>
              <w:jc w:val="center"/>
              <w:rPr>
                <w:rFonts w:hint="eastAsia" w:ascii="宋体" w:hAnsi="宋体" w:eastAsia="宋体"/>
                <w:i w:val="0"/>
                <w:iCs w:val="0"/>
                <w:color w:val="auto"/>
                <w:kern w:val="0"/>
                <w:sz w:val="22"/>
                <w:szCs w:val="22"/>
                <w:highlight w:val="none"/>
                <w:u w:val="none"/>
                <w:lang w:val="en-US" w:eastAsia="zh-CN" w:bidi="ar"/>
              </w:rPr>
            </w:pPr>
            <w:r>
              <w:rPr>
                <w:rFonts w:hint="eastAsia" w:ascii="宋体" w:hAnsi="宋体" w:eastAsia="宋体"/>
                <w:i w:val="0"/>
                <w:iCs w:val="0"/>
                <w:color w:val="auto"/>
                <w:kern w:val="0"/>
                <w:sz w:val="22"/>
                <w:szCs w:val="22"/>
                <w:highlight w:val="none"/>
                <w:u w:val="none"/>
                <w:lang w:val="en-US" w:eastAsia="zh-CN" w:bidi="ar"/>
              </w:rPr>
              <w:t>4</w:t>
            </w:r>
          </w:p>
        </w:tc>
        <w:tc>
          <w:tcPr>
            <w:tcW w:w="924" w:type="dxa"/>
            <w:tcBorders>
              <w:top w:val="single" w:color="auto" w:sz="4" w:space="0"/>
              <w:left w:val="single" w:color="auto" w:sz="4" w:space="0"/>
              <w:bottom w:val="single" w:color="auto" w:sz="4" w:space="0"/>
              <w:right w:val="single" w:color="auto" w:sz="4" w:space="0"/>
            </w:tcBorders>
            <w:noWrap/>
            <w:vAlign w:val="center"/>
          </w:tcPr>
          <w:p w14:paraId="09D3AF72">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尿素取样设备</w:t>
            </w:r>
          </w:p>
        </w:tc>
        <w:tc>
          <w:tcPr>
            <w:tcW w:w="2393" w:type="dxa"/>
            <w:tcBorders>
              <w:top w:val="single" w:color="auto" w:sz="4" w:space="0"/>
              <w:left w:val="single" w:color="auto" w:sz="4" w:space="0"/>
              <w:bottom w:val="single" w:color="auto" w:sz="4" w:space="0"/>
              <w:right w:val="single" w:color="auto" w:sz="4" w:space="0"/>
            </w:tcBorders>
            <w:noWrap/>
            <w:vAlign w:val="center"/>
          </w:tcPr>
          <w:p w14:paraId="7783E611">
            <w:pPr>
              <w:keepNext w:val="0"/>
              <w:keepLines w:val="0"/>
              <w:widowControl/>
              <w:suppressLineNumbers w:val="0"/>
              <w:jc w:val="left"/>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材质：LDPE材质</w:t>
            </w:r>
            <w:r>
              <w:rPr>
                <w:rFonts w:hint="eastAsia" w:ascii="宋体" w:hAnsi="宋体" w:eastAsia="宋体"/>
                <w:i w:val="0"/>
                <w:iCs w:val="0"/>
                <w:color w:val="auto"/>
                <w:kern w:val="0"/>
                <w:sz w:val="21"/>
                <w:szCs w:val="21"/>
                <w:highlight w:val="none"/>
                <w:u w:val="none"/>
                <w:lang w:val="en-US" w:eastAsia="zh-CN" w:bidi="ar"/>
              </w:rPr>
              <w:br w:type="textWrapping"/>
            </w:r>
            <w:r>
              <w:rPr>
                <w:rFonts w:hint="eastAsia" w:ascii="宋体" w:hAnsi="宋体" w:eastAsia="宋体"/>
                <w:i w:val="0"/>
                <w:iCs w:val="0"/>
                <w:color w:val="auto"/>
                <w:kern w:val="0"/>
                <w:sz w:val="21"/>
                <w:szCs w:val="21"/>
                <w:highlight w:val="none"/>
                <w:u w:val="none"/>
                <w:lang w:val="en-US" w:eastAsia="zh-CN" w:bidi="ar"/>
              </w:rPr>
              <w:t>规格：1ml-10ml</w:t>
            </w:r>
            <w:r>
              <w:rPr>
                <w:rFonts w:hint="eastAsia" w:ascii="宋体" w:hAnsi="宋体" w:eastAsia="宋体"/>
                <w:i w:val="0"/>
                <w:iCs w:val="0"/>
                <w:color w:val="auto"/>
                <w:kern w:val="0"/>
                <w:sz w:val="21"/>
                <w:szCs w:val="21"/>
                <w:highlight w:val="none"/>
                <w:u w:val="none"/>
                <w:lang w:val="en-US" w:eastAsia="zh-CN" w:bidi="ar"/>
              </w:rPr>
              <w:br w:type="textWrapping"/>
            </w:r>
            <w:r>
              <w:rPr>
                <w:rFonts w:hint="eastAsia" w:ascii="宋体" w:hAnsi="宋体" w:eastAsia="宋体"/>
                <w:i w:val="0"/>
                <w:iCs w:val="0"/>
                <w:color w:val="auto"/>
                <w:kern w:val="0"/>
                <w:sz w:val="21"/>
                <w:szCs w:val="21"/>
                <w:highlight w:val="none"/>
                <w:u w:val="none"/>
                <w:lang w:val="en-US" w:eastAsia="zh-CN" w:bidi="ar"/>
              </w:rPr>
              <w:t>产品特点：刻度清晰，回弹性好</w:t>
            </w:r>
          </w:p>
        </w:tc>
        <w:tc>
          <w:tcPr>
            <w:tcW w:w="545" w:type="dxa"/>
            <w:tcBorders>
              <w:top w:val="single" w:color="auto" w:sz="4" w:space="0"/>
              <w:left w:val="single" w:color="auto" w:sz="4" w:space="0"/>
              <w:bottom w:val="single" w:color="auto" w:sz="4" w:space="0"/>
              <w:right w:val="single" w:color="auto" w:sz="4" w:space="0"/>
            </w:tcBorders>
            <w:noWrap/>
            <w:vAlign w:val="center"/>
          </w:tcPr>
          <w:p w14:paraId="1EEF2383">
            <w:pPr>
              <w:keepNext w:val="0"/>
              <w:keepLines w:val="0"/>
              <w:widowControl/>
              <w:suppressLineNumbers w:val="0"/>
              <w:jc w:val="center"/>
              <w:rPr>
                <w:rFonts w:hint="default"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90</w:t>
            </w:r>
          </w:p>
        </w:tc>
        <w:tc>
          <w:tcPr>
            <w:tcW w:w="448" w:type="dxa"/>
            <w:tcBorders>
              <w:top w:val="single" w:color="auto" w:sz="4" w:space="0"/>
              <w:left w:val="single" w:color="auto" w:sz="4" w:space="0"/>
              <w:bottom w:val="single" w:color="auto" w:sz="4" w:space="0"/>
              <w:right w:val="single" w:color="auto" w:sz="4" w:space="0"/>
            </w:tcBorders>
            <w:noWrap/>
            <w:vAlign w:val="center"/>
          </w:tcPr>
          <w:p w14:paraId="60C1BD81">
            <w:pPr>
              <w:keepNext w:val="0"/>
              <w:keepLines w:val="0"/>
              <w:widowControl/>
              <w:suppressLineNumbers w:val="0"/>
              <w:jc w:val="center"/>
              <w:rPr>
                <w:rFonts w:hint="eastAsia"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套</w:t>
            </w:r>
          </w:p>
        </w:tc>
        <w:tc>
          <w:tcPr>
            <w:tcW w:w="391" w:type="dxa"/>
            <w:tcBorders>
              <w:top w:val="single" w:color="auto" w:sz="4" w:space="0"/>
              <w:left w:val="single" w:color="auto" w:sz="4" w:space="0"/>
              <w:bottom w:val="single" w:color="auto" w:sz="4" w:space="0"/>
              <w:right w:val="single" w:color="auto" w:sz="4" w:space="0"/>
            </w:tcBorders>
            <w:noWrap/>
            <w:vAlign w:val="center"/>
          </w:tcPr>
          <w:p w14:paraId="692C6BEC">
            <w:pPr>
              <w:keepNext w:val="0"/>
              <w:keepLines w:val="0"/>
              <w:widowControl/>
              <w:suppressLineNumbers w:val="0"/>
              <w:jc w:val="center"/>
              <w:rPr>
                <w:rFonts w:hint="eastAsia" w:ascii="宋体" w:hAnsi="宋体" w:eastAsia="宋体"/>
                <w:i w:val="0"/>
                <w:iCs w:val="0"/>
                <w:color w:val="auto"/>
                <w:kern w:val="0"/>
                <w:sz w:val="22"/>
                <w:szCs w:val="22"/>
                <w:highlight w:val="none"/>
                <w:u w:val="none"/>
                <w:lang w:val="en-US" w:eastAsia="zh-CN" w:bidi="ar"/>
              </w:rPr>
            </w:pPr>
          </w:p>
        </w:tc>
      </w:tr>
      <w:tr w14:paraId="2B7CF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95" w:type="dxa"/>
            <w:tcBorders>
              <w:top w:val="single" w:color="auto" w:sz="4" w:space="0"/>
              <w:left w:val="single" w:color="auto" w:sz="4" w:space="0"/>
              <w:bottom w:val="single" w:color="auto" w:sz="4" w:space="0"/>
              <w:right w:val="single" w:color="auto" w:sz="4" w:space="0"/>
            </w:tcBorders>
            <w:noWrap/>
            <w:vAlign w:val="center"/>
          </w:tcPr>
          <w:p w14:paraId="2B2B3241">
            <w:pPr>
              <w:keepNext w:val="0"/>
              <w:keepLines w:val="0"/>
              <w:widowControl/>
              <w:suppressLineNumbers w:val="0"/>
              <w:jc w:val="center"/>
              <w:rPr>
                <w:rFonts w:hint="eastAsia" w:ascii="宋体" w:hAnsi="宋体" w:eastAsia="宋体"/>
                <w:i w:val="0"/>
                <w:iCs w:val="0"/>
                <w:color w:val="auto"/>
                <w:kern w:val="0"/>
                <w:sz w:val="22"/>
                <w:szCs w:val="22"/>
                <w:highlight w:val="none"/>
                <w:u w:val="none"/>
                <w:lang w:val="en-US" w:eastAsia="zh-CN" w:bidi="ar"/>
              </w:rPr>
            </w:pPr>
            <w:r>
              <w:rPr>
                <w:rFonts w:hint="eastAsia" w:ascii="宋体" w:hAnsi="宋体" w:eastAsia="宋体"/>
                <w:i w:val="0"/>
                <w:iCs w:val="0"/>
                <w:color w:val="auto"/>
                <w:kern w:val="0"/>
                <w:sz w:val="22"/>
                <w:szCs w:val="22"/>
                <w:highlight w:val="none"/>
                <w:u w:val="none"/>
                <w:lang w:val="en-US" w:eastAsia="zh-CN" w:bidi="ar"/>
              </w:rPr>
              <w:t>5</w:t>
            </w:r>
          </w:p>
        </w:tc>
        <w:tc>
          <w:tcPr>
            <w:tcW w:w="924" w:type="dxa"/>
            <w:tcBorders>
              <w:top w:val="single" w:color="auto" w:sz="4" w:space="0"/>
              <w:left w:val="single" w:color="auto" w:sz="4" w:space="0"/>
              <w:bottom w:val="single" w:color="auto" w:sz="4" w:space="0"/>
              <w:right w:val="single" w:color="auto" w:sz="4" w:space="0"/>
            </w:tcBorders>
            <w:noWrap/>
            <w:vAlign w:val="center"/>
          </w:tcPr>
          <w:p w14:paraId="51D339E5">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防护手套</w:t>
            </w:r>
          </w:p>
        </w:tc>
        <w:tc>
          <w:tcPr>
            <w:tcW w:w="2393" w:type="dxa"/>
            <w:tcBorders>
              <w:top w:val="single" w:color="auto" w:sz="4" w:space="0"/>
              <w:left w:val="single" w:color="auto" w:sz="4" w:space="0"/>
              <w:bottom w:val="single" w:color="auto" w:sz="4" w:space="0"/>
              <w:right w:val="single" w:color="auto" w:sz="4" w:space="0"/>
            </w:tcBorders>
            <w:noWrap/>
            <w:vAlign w:val="center"/>
          </w:tcPr>
          <w:p w14:paraId="704EF0DD">
            <w:pPr>
              <w:keepNext w:val="0"/>
              <w:keepLines w:val="0"/>
              <w:widowControl/>
              <w:suppressLineNumbers w:val="0"/>
              <w:jc w:val="left"/>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材质：PVC</w:t>
            </w:r>
          </w:p>
          <w:p w14:paraId="14CF8C62">
            <w:pPr>
              <w:keepNext w:val="0"/>
              <w:keepLines w:val="0"/>
              <w:widowControl/>
              <w:suppressLineNumbers w:val="0"/>
              <w:jc w:val="left"/>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耐磨、耐油污、可重复使用</w:t>
            </w:r>
          </w:p>
        </w:tc>
        <w:tc>
          <w:tcPr>
            <w:tcW w:w="545" w:type="dxa"/>
            <w:tcBorders>
              <w:top w:val="single" w:color="auto" w:sz="4" w:space="0"/>
              <w:left w:val="single" w:color="auto" w:sz="4" w:space="0"/>
              <w:bottom w:val="single" w:color="auto" w:sz="4" w:space="0"/>
              <w:right w:val="single" w:color="auto" w:sz="4" w:space="0"/>
            </w:tcBorders>
            <w:noWrap/>
            <w:vAlign w:val="center"/>
          </w:tcPr>
          <w:p w14:paraId="1790A805">
            <w:pPr>
              <w:keepNext w:val="0"/>
              <w:keepLines w:val="0"/>
              <w:widowControl/>
              <w:suppressLineNumbers w:val="0"/>
              <w:jc w:val="center"/>
              <w:rPr>
                <w:rFonts w:hint="default"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1000</w:t>
            </w:r>
          </w:p>
        </w:tc>
        <w:tc>
          <w:tcPr>
            <w:tcW w:w="448" w:type="dxa"/>
            <w:tcBorders>
              <w:top w:val="single" w:color="auto" w:sz="4" w:space="0"/>
              <w:left w:val="single" w:color="auto" w:sz="4" w:space="0"/>
              <w:bottom w:val="single" w:color="auto" w:sz="4" w:space="0"/>
              <w:right w:val="single" w:color="auto" w:sz="4" w:space="0"/>
            </w:tcBorders>
            <w:noWrap/>
            <w:vAlign w:val="center"/>
          </w:tcPr>
          <w:p w14:paraId="32A2BD56">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套</w:t>
            </w:r>
          </w:p>
        </w:tc>
        <w:tc>
          <w:tcPr>
            <w:tcW w:w="391" w:type="dxa"/>
            <w:tcBorders>
              <w:top w:val="single" w:color="auto" w:sz="4" w:space="0"/>
              <w:left w:val="single" w:color="auto" w:sz="4" w:space="0"/>
              <w:bottom w:val="single" w:color="auto" w:sz="4" w:space="0"/>
              <w:right w:val="single" w:color="auto" w:sz="4" w:space="0"/>
            </w:tcBorders>
            <w:noWrap/>
            <w:vAlign w:val="center"/>
          </w:tcPr>
          <w:p w14:paraId="7364DA99">
            <w:pPr>
              <w:keepNext w:val="0"/>
              <w:keepLines w:val="0"/>
              <w:widowControl/>
              <w:suppressLineNumbers w:val="0"/>
              <w:jc w:val="center"/>
              <w:rPr>
                <w:rFonts w:hint="eastAsia" w:ascii="宋体" w:hAnsi="宋体" w:eastAsia="宋体"/>
                <w:i w:val="0"/>
                <w:iCs w:val="0"/>
                <w:color w:val="auto"/>
                <w:kern w:val="0"/>
                <w:sz w:val="22"/>
                <w:szCs w:val="22"/>
                <w:highlight w:val="none"/>
                <w:u w:val="none"/>
                <w:lang w:val="en-US" w:eastAsia="zh-CN" w:bidi="ar"/>
              </w:rPr>
            </w:pPr>
          </w:p>
        </w:tc>
      </w:tr>
    </w:tbl>
    <w:p w14:paraId="314B44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A3588"/>
    <w:rsid w:val="0BF10265"/>
    <w:rsid w:val="1EBA3588"/>
    <w:rsid w:val="5E997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01"/>
    <w:basedOn w:val="4"/>
    <w:qFormat/>
    <w:uiPriority w:val="0"/>
    <w:rPr>
      <w:rFonts w:hint="eastAsia" w:ascii="宋体" w:hAnsi="宋体" w:eastAsia="宋体" w:cs="宋体"/>
      <w:color w:val="000000"/>
      <w:sz w:val="24"/>
      <w:szCs w:val="24"/>
      <w:u w:val="none"/>
    </w:rPr>
  </w:style>
  <w:style w:type="character" w:customStyle="1" w:styleId="6">
    <w:name w:val="font11"/>
    <w:basedOn w:val="4"/>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1428</Words>
  <Characters>1800</Characters>
  <Lines>0</Lines>
  <Paragraphs>0</Paragraphs>
  <TotalTime>1</TotalTime>
  <ScaleCrop>false</ScaleCrop>
  <LinksUpToDate>false</LinksUpToDate>
  <CharactersWithSpaces>1921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2024-12-19T05:01:00Z</dcterms:created>
  <dc:creator>A</dc:creator>
  <cp:lastModifiedBy>Acelce</cp:lastModifiedBy>
  <dcterms:modified xsi:type="dcterms:W3CDTF">2025-04-29T09:21:13Z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09C321301B984F81815598EBAD73452F_11</vt:lpwstr>
  </property>
  <property fmtid="{D5CDD505-2E9C-101B-9397-08002B2CF9AE}" pid="4" name="KSOTemplateDocerSaveRecord">
    <vt:lpwstr>eyJoZGlkIjoiNmFlOWZiZGJmNzJkNzY0OTE4YTkwZWQxN2E3YjAxZGYiLCJ1c2VySWQiOiIxNDg2NDg2OTE5In0=</vt:lpwstr>
  </property>
</Properties>
</file>