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_GB2312" w:hAnsi="仿宋_GB2312" w:eastAsia="仿宋_GB2312" w:cs="仿宋_GB2312"/>
          <w:b/>
          <w:bCs/>
          <w:sz w:val="44"/>
          <w:szCs w:val="44"/>
        </w:rPr>
      </w:pPr>
      <w:r>
        <w:rPr>
          <w:rFonts w:ascii="仿宋_GB2312" w:hAnsi="仿宋_GB2312" w:eastAsia="仿宋_GB2312" w:cs="仿宋_GB2312"/>
          <w:b/>
          <w:bCs/>
          <w:sz w:val="44"/>
          <w:szCs w:val="44"/>
        </w:rPr>
        <w:t>印刷行业企业挥发性有机物</w:t>
      </w:r>
    </w:p>
    <w:p>
      <w:pPr>
        <w:jc w:val="center"/>
        <w:rPr>
          <w:rFonts w:ascii="仿宋_GB2312" w:hAnsi="仿宋_GB2312" w:eastAsia="仿宋_GB2312" w:cs="仿宋_GB2312"/>
          <w:b/>
          <w:bCs/>
          <w:sz w:val="44"/>
          <w:szCs w:val="44"/>
        </w:rPr>
      </w:pPr>
      <w:r>
        <w:rPr>
          <w:rFonts w:ascii="仿宋_GB2312" w:hAnsi="仿宋_GB2312" w:eastAsia="仿宋_GB2312" w:cs="仿宋_GB2312"/>
          <w:b/>
          <w:bCs/>
          <w:sz w:val="44"/>
          <w:szCs w:val="44"/>
        </w:rPr>
        <w:t>治理手册</w:t>
      </w: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jc w:val="center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许昌市生态环境局</w:t>
      </w:r>
    </w:p>
    <w:p>
      <w:pPr>
        <w:jc w:val="center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许昌市细颗粒物和臭氧污染协同防控“一市一策”</w:t>
      </w:r>
    </w:p>
    <w:p>
      <w:pPr>
        <w:jc w:val="center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驻点跟踪研究工作组</w:t>
      </w: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  <w:sectPr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Times New Roman" w:hAnsi="Times New Roman" w:eastAsia="仿宋_GB2312" w:cs="Times New Roman"/>
          <w:b/>
          <w:bCs/>
          <w:sz w:val="36"/>
          <w:szCs w:val="36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6"/>
          <w:szCs w:val="36"/>
          <w:lang w:val="en-US" w:eastAsia="zh-CN"/>
        </w:rPr>
        <w:t>前言</w:t>
      </w: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挥发性有机物（VOCs）指参与大气光化学反应的有机化合物，即在标准状况下，饱和蒸汽压较高、沸点较低（50—260℃）、易挥发的有机化合物。VOCs是大气环境中臭氧和颗粒物的重要前体物，显著影响人体呼吸系统、神经系统、新陈代谢等功能。VOCs治理是全面落实大气污染防治，有效提升空气质量的重要手段，也是“十四五”大气环境质量的约束性指标。</w:t>
      </w: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印刷行业是VOCs的重要排放源，原辅料具有种类多样、VOCs成分复杂、甲苯和二甲苯等高活性VOCs组分占比大的特点。生产过程涉及多个VOCs排放环节、密闭操作难度较大，往往需要借助集气罩等装置进行VOCs废气收集。与此同时，原辅料和生产工艺随产品变化，排放的VOCs组分、浓度和废气量也发生变化，这就要求企业末端治理措施满足目标工序VOCs组分的有效处理。</w:t>
      </w: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为了高效开展印刷行业企业挥发性有机物治理，切实改善城市空气质量，实现细颗粒物和臭氧污染的协同防控，许昌市生态环境局和“一市一策”驻点跟踪研究工作组基于2021-2022年印刷行业企业现场帮扶经验，组织行业专家编制了包装行业挥发性有机物治理手册。本手册旨在指导管理部门和企业管理人员开展VOCs治理排查和自查，提升企业管理人员环保认知和污染物治理水平，促进全行业减排，实现大气污染防治区域联防联控。</w:t>
      </w: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722" w:firstLineChars="200"/>
        <w:jc w:val="center"/>
        <w:rPr>
          <w:rFonts w:ascii="Times New Roman" w:hAnsi="Times New Roman" w:eastAsia="仿宋_GB2312" w:cs="Times New Roman"/>
          <w:b/>
          <w:bCs/>
          <w:sz w:val="36"/>
          <w:szCs w:val="36"/>
        </w:rPr>
      </w:pPr>
      <w:r>
        <w:rPr>
          <w:rFonts w:ascii="Times New Roman" w:hAnsi="Times New Roman" w:eastAsia="仿宋_GB2312" w:cs="Times New Roman"/>
          <w:b/>
          <w:bCs/>
          <w:sz w:val="36"/>
          <w:szCs w:val="36"/>
        </w:rPr>
        <w:t>目录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8590"/>
        <w15:color w:val="DBDBDB"/>
        <w:docPartObj>
          <w:docPartGallery w:val="Table of Contents"/>
          <w:docPartUnique/>
        </w:docPartObj>
      </w:sdtPr>
      <w:sdtEndP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</w:p>
        <w:p>
          <w:pPr>
            <w:pStyle w:val="9"/>
            <w:tabs>
              <w:tab w:val="right" w:leader="dot" w:pos="8306"/>
            </w:tabs>
            <w:rPr>
              <w:rFonts w:hint="default" w:ascii="Times New Roman" w:hAnsi="Times New Roman" w:eastAsia="仿宋_GB2312" w:cs="Times New Roman"/>
              <w:sz w:val="28"/>
              <w:szCs w:val="28"/>
            </w:rPr>
          </w:pP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instrText xml:space="preserve">TOC \o "1-1" \h \u </w:instrTex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instrText xml:space="preserve"> HYPERLINK \l _Toc6576 </w:instrTex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t>1.手册适用范围</w: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instrText xml:space="preserve"> PAGEREF _Toc6576 \h </w:instrTex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t>2</w: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default" w:ascii="Times New Roman" w:hAnsi="Times New Roman" w:eastAsia="仿宋_GB2312" w:cs="Times New Roman"/>
              <w:sz w:val="28"/>
              <w:szCs w:val="28"/>
            </w:rPr>
          </w:pP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instrText xml:space="preserve"> HYPERLINK \l _Toc3611 </w:instrTex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t>2、原辅料VOCs含量与VOCs排放限值</w: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instrText xml:space="preserve"> PAGEREF _Toc3611 \h </w:instrTex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t>3</w: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default" w:ascii="Times New Roman" w:hAnsi="Times New Roman" w:eastAsia="仿宋_GB2312" w:cs="Times New Roman"/>
              <w:sz w:val="28"/>
              <w:szCs w:val="28"/>
            </w:rPr>
          </w:pP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instrText xml:space="preserve"> HYPERLINK \l _Toc25500 </w:instrTex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t>3</w:t>
          </w:r>
          <w:r>
            <w:rPr>
              <w:rFonts w:hint="eastAsia" w:ascii="Times New Roman" w:hAnsi="Times New Roman" w:eastAsia="仿宋_GB2312" w:cs="Times New Roman"/>
              <w:sz w:val="28"/>
              <w:szCs w:val="28"/>
              <w:lang w:eastAsia="zh-CN"/>
            </w:rPr>
            <w:t>、</w: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t>主要生产工艺与产排污环节</w: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instrText xml:space="preserve"> PAGEREF _Toc25500 \h </w:instrTex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t>7</w: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default" w:ascii="Times New Roman" w:hAnsi="Times New Roman" w:eastAsia="仿宋_GB2312" w:cs="Times New Roman"/>
              <w:sz w:val="28"/>
              <w:szCs w:val="28"/>
            </w:rPr>
          </w:pP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instrText xml:space="preserve"> HYPERLINK \l _Toc13185 </w:instrTex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t>4、VOCs物料管理与替代</w: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instrText xml:space="preserve"> PAGEREF _Toc13185 \h </w:instrTex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t>8</w: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default" w:ascii="Times New Roman" w:hAnsi="Times New Roman" w:eastAsia="仿宋_GB2312" w:cs="Times New Roman"/>
              <w:sz w:val="28"/>
              <w:szCs w:val="28"/>
            </w:rPr>
          </w:pP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instrText xml:space="preserve"> HYPERLINK \l _Toc22663 </w:instrTex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t>5</w:t>
          </w:r>
          <w:r>
            <w:rPr>
              <w:rFonts w:hint="eastAsia" w:ascii="Times New Roman" w:hAnsi="Times New Roman" w:eastAsia="仿宋_GB2312" w:cs="Times New Roman"/>
              <w:sz w:val="28"/>
              <w:szCs w:val="28"/>
              <w:lang w:eastAsia="zh-CN"/>
            </w:rPr>
            <w:t>、</w: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t>生产过程管理</w: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instrText xml:space="preserve"> PAGEREF _Toc22663 \h </w:instrTex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t>10</w: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default" w:ascii="Times New Roman" w:hAnsi="Times New Roman" w:eastAsia="仿宋_GB2312" w:cs="Times New Roman"/>
              <w:sz w:val="28"/>
              <w:szCs w:val="28"/>
            </w:rPr>
          </w:pP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instrText xml:space="preserve"> HYPERLINK \l _Toc22915 </w:instrTex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t>6、末端治理</w: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instrText xml:space="preserve"> PAGEREF _Toc22915 \h </w:instrTex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t>13</w: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default" w:ascii="Times New Roman" w:hAnsi="Times New Roman" w:eastAsia="仿宋_GB2312" w:cs="Times New Roman"/>
              <w:sz w:val="28"/>
              <w:szCs w:val="28"/>
            </w:rPr>
          </w:pP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instrText xml:space="preserve"> HYPERLINK \l _Toc15315 </w:instrTex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t>7、监测监控</w: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instrText xml:space="preserve"> PAGEREF _Toc15315 \h </w:instrTex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t>14</w: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default" w:ascii="Times New Roman" w:hAnsi="Times New Roman" w:eastAsia="仿宋_GB2312" w:cs="Times New Roman"/>
              <w:sz w:val="28"/>
              <w:szCs w:val="28"/>
            </w:rPr>
          </w:pP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instrText xml:space="preserve"> HYPERLINK \l _Toc1224 </w:instrTex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t>8、台账记录</w: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instrText xml:space="preserve"> PAGEREF _Toc1224 \h </w:instrTex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t>15</w: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default" w:ascii="Times New Roman" w:hAnsi="Times New Roman" w:eastAsia="仿宋_GB2312" w:cs="Times New Roman"/>
              <w:sz w:val="28"/>
              <w:szCs w:val="28"/>
            </w:rPr>
          </w:pP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instrText xml:space="preserve"> HYPERLINK \l _Toc15149 </w:instrTex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separate"/>
          </w:r>
          <w:r>
            <w:rPr>
              <w:rFonts w:hint="eastAsia" w:ascii="Times New Roman" w:hAnsi="Times New Roman" w:eastAsia="仿宋_GB2312" w:cs="Times New Roman"/>
              <w:sz w:val="28"/>
              <w:szCs w:val="28"/>
              <w:lang w:val="en-US" w:eastAsia="zh-CN"/>
            </w:rPr>
            <w:t>9、</w: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t>行业企业常见问题示例</w: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instrText xml:space="preserve"> PAGEREF _Toc15149 \h </w:instrTex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t>16</w: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default" w:ascii="Times New Roman" w:hAnsi="Times New Roman" w:eastAsia="仿宋_GB2312" w:cs="Times New Roman"/>
              <w:sz w:val="28"/>
              <w:szCs w:val="28"/>
            </w:rPr>
          </w:pP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instrText xml:space="preserve"> HYPERLINK \l _Toc350 </w:instrTex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t>10、参考文件</w: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instrText xml:space="preserve"> PAGEREF _Toc350 \h </w:instrTex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t>19</w: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end"/>
          </w:r>
        </w:p>
        <w:p>
          <w:pPr>
            <w:ind w:firstLine="560" w:firstLineChars="200"/>
            <w:rPr>
              <w:rFonts w:hint="default" w:ascii="Times New Roman" w:hAnsi="Times New Roman" w:eastAsia="仿宋_GB2312" w:cs="Times New Roman"/>
              <w:sz w:val="28"/>
              <w:szCs w:val="28"/>
            </w:rPr>
          </w:pP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fldChar w:fldCharType="end"/>
          </w:r>
        </w:p>
      </w:sdtContent>
    </w:sdt>
    <w:p>
      <w:pPr>
        <w:ind w:firstLine="560" w:firstLineChars="200"/>
        <w:rPr>
          <w:rFonts w:hint="default"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pStyle w:val="2"/>
      </w:pPr>
      <w:bookmarkStart w:id="0" w:name="_Toc6576"/>
      <w:r>
        <w:t>1.手册适用范围</w:t>
      </w:r>
      <w:bookmarkEnd w:id="0"/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国民经济行业分类（GB/T 4754-2017）中规定的包装装潢及其他印刷（C2319），按承印材料包括塑料软包装印刷、纸制包装印刷、金属印刷等，按印刷方式包括平板（主要为胶印）、凹版、凸版、孔版印刷（主要为丝网印刷）。</w:t>
      </w:r>
    </w:p>
    <w:p>
      <w:pPr>
        <w:jc w:val="center"/>
        <w:rPr>
          <w:rFonts w:ascii="Times New Roman" w:hAnsi="Times New Roman" w:eastAsia="仿宋_GB2312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eastAsia="仿宋_GB2312" w:cs="Times New Roman"/>
          <w:b/>
          <w:bCs/>
          <w:color w:val="FF0000"/>
          <w:sz w:val="28"/>
          <w:szCs w:val="28"/>
        </w:rPr>
        <w:t>承印材料与主要印刷方式对应示意</w:t>
      </w:r>
    </w:p>
    <w:p>
      <w:pPr>
        <w:jc w:val="center"/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871855</wp:posOffset>
            </wp:positionH>
            <wp:positionV relativeFrom="paragraph">
              <wp:posOffset>31750</wp:posOffset>
            </wp:positionV>
            <wp:extent cx="4027805" cy="4450715"/>
            <wp:effectExtent l="0" t="0" r="10795" b="698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ind w:firstLine="233"/>
        <w:jc w:val="left"/>
      </w:pPr>
    </w:p>
    <w:p>
      <w:pPr>
        <w:ind w:firstLine="233"/>
        <w:jc w:val="left"/>
      </w:pPr>
    </w:p>
    <w:p>
      <w:pPr>
        <w:pStyle w:val="2"/>
        <w:numPr>
          <w:ilvl w:val="0"/>
          <w:numId w:val="1"/>
        </w:numPr>
      </w:pPr>
      <w:bookmarkStart w:id="1" w:name="_Toc3611"/>
      <w:r>
        <w:t>原辅料VOCs含量与VOCs排放限值</w:t>
      </w:r>
      <w:bookmarkEnd w:id="1"/>
    </w:p>
    <w:p>
      <w:pPr>
        <w:ind w:firstLine="233"/>
        <w:jc w:val="center"/>
      </w:pPr>
      <w:r>
        <w:rPr>
          <w:rFonts w:ascii="Times New Roman" w:hAnsi="Times New Roman" w:eastAsia="仿宋_GB2312" w:cs="Times New Roman"/>
          <w:b/>
          <w:bCs/>
          <w:color w:val="FF0000"/>
          <w:sz w:val="28"/>
          <w:szCs w:val="28"/>
        </w:rPr>
        <w:t>油墨VOCs含量限值</w:t>
      </w:r>
    </w:p>
    <w:tbl>
      <w:tblPr>
        <w:tblStyle w:val="6"/>
        <w:tblpPr w:leftFromText="180" w:rightFromText="180" w:vertAnchor="text" w:horzAnchor="page" w:tblpX="1987" w:tblpY="621"/>
        <w:tblOverlap w:val="never"/>
        <w:tblW w:w="8272" w:type="dxa"/>
        <w:tblCellSpacing w:w="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54"/>
        <w:gridCol w:w="2245"/>
        <w:gridCol w:w="2705"/>
        <w:gridCol w:w="196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  <w:tblCellSpacing w:w="0" w:type="dxa"/>
        </w:trPr>
        <w:tc>
          <w:tcPr>
            <w:tcW w:w="6304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b/>
                <w:bCs/>
                <w:color w:val="FFFFFF"/>
              </w:rPr>
              <w:t>油墨类型</w:t>
            </w:r>
          </w:p>
        </w:tc>
        <w:tc>
          <w:tcPr>
            <w:tcW w:w="1968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b/>
                <w:bCs/>
                <w:color w:val="FFFFFF"/>
              </w:rPr>
              <w:t>VOCs含量限值（%）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  <w:tblCellSpacing w:w="0" w:type="dxa"/>
        </w:trPr>
        <w:tc>
          <w:tcPr>
            <w:tcW w:w="1354" w:type="dxa"/>
            <w:vMerge w:val="restart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溶剂油墨</w:t>
            </w:r>
          </w:p>
        </w:tc>
        <w:tc>
          <w:tcPr>
            <w:tcW w:w="4950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凹印油墨</w:t>
            </w:r>
          </w:p>
        </w:tc>
        <w:tc>
          <w:tcPr>
            <w:tcW w:w="1968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≤75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  <w:tblCellSpacing w:w="0" w:type="dxa"/>
        </w:trPr>
        <w:tc>
          <w:tcPr>
            <w:tcW w:w="1354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4950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柔印油墨</w:t>
            </w:r>
          </w:p>
        </w:tc>
        <w:tc>
          <w:tcPr>
            <w:tcW w:w="1968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≤75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  <w:tblCellSpacing w:w="0" w:type="dxa"/>
        </w:trPr>
        <w:tc>
          <w:tcPr>
            <w:tcW w:w="1354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4950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喷墨印刷油墨</w:t>
            </w:r>
          </w:p>
        </w:tc>
        <w:tc>
          <w:tcPr>
            <w:tcW w:w="1968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≤95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  <w:tblCellSpacing w:w="0" w:type="dxa"/>
        </w:trPr>
        <w:tc>
          <w:tcPr>
            <w:tcW w:w="1354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4950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网印油墨</w:t>
            </w:r>
          </w:p>
        </w:tc>
        <w:tc>
          <w:tcPr>
            <w:tcW w:w="1968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≤75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  <w:tblCellSpacing w:w="0" w:type="dxa"/>
        </w:trPr>
        <w:tc>
          <w:tcPr>
            <w:tcW w:w="1354" w:type="dxa"/>
            <w:vMerge w:val="restart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水性油墨</w:t>
            </w:r>
          </w:p>
        </w:tc>
        <w:tc>
          <w:tcPr>
            <w:tcW w:w="2245" w:type="dxa"/>
            <w:vMerge w:val="restart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凹印油墨</w:t>
            </w:r>
          </w:p>
        </w:tc>
        <w:tc>
          <w:tcPr>
            <w:tcW w:w="2705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吸收性承印物</w:t>
            </w:r>
          </w:p>
        </w:tc>
        <w:tc>
          <w:tcPr>
            <w:tcW w:w="1968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≤15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  <w:tblCellSpacing w:w="0" w:type="dxa"/>
        </w:trPr>
        <w:tc>
          <w:tcPr>
            <w:tcW w:w="1354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245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705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非吸收性承印物</w:t>
            </w:r>
          </w:p>
        </w:tc>
        <w:tc>
          <w:tcPr>
            <w:tcW w:w="1968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≤30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  <w:tblCellSpacing w:w="0" w:type="dxa"/>
        </w:trPr>
        <w:tc>
          <w:tcPr>
            <w:tcW w:w="1354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245" w:type="dxa"/>
            <w:vMerge w:val="restart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柔印油墨</w:t>
            </w:r>
          </w:p>
        </w:tc>
        <w:tc>
          <w:tcPr>
            <w:tcW w:w="2705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吸收性承印物</w:t>
            </w:r>
          </w:p>
        </w:tc>
        <w:tc>
          <w:tcPr>
            <w:tcW w:w="1968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≤5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  <w:tblCellSpacing w:w="0" w:type="dxa"/>
        </w:trPr>
        <w:tc>
          <w:tcPr>
            <w:tcW w:w="1354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245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705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非吸收性承印物</w:t>
            </w:r>
          </w:p>
        </w:tc>
        <w:tc>
          <w:tcPr>
            <w:tcW w:w="1968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≤25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  <w:tblCellSpacing w:w="0" w:type="dxa"/>
        </w:trPr>
        <w:tc>
          <w:tcPr>
            <w:tcW w:w="1354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4950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喷墨印刷油墨</w:t>
            </w:r>
          </w:p>
        </w:tc>
        <w:tc>
          <w:tcPr>
            <w:tcW w:w="1968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≤30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  <w:tblCellSpacing w:w="0" w:type="dxa"/>
        </w:trPr>
        <w:tc>
          <w:tcPr>
            <w:tcW w:w="1354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4950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网印油墨</w:t>
            </w:r>
          </w:p>
        </w:tc>
        <w:tc>
          <w:tcPr>
            <w:tcW w:w="1968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≤30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  <w:tblCellSpacing w:w="0" w:type="dxa"/>
        </w:trPr>
        <w:tc>
          <w:tcPr>
            <w:tcW w:w="1354" w:type="dxa"/>
            <w:vMerge w:val="restart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胶印油墨</w:t>
            </w:r>
          </w:p>
        </w:tc>
        <w:tc>
          <w:tcPr>
            <w:tcW w:w="4950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单张胶印油墨</w:t>
            </w:r>
          </w:p>
        </w:tc>
        <w:tc>
          <w:tcPr>
            <w:tcW w:w="1968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≤3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  <w:tblCellSpacing w:w="0" w:type="dxa"/>
        </w:trPr>
        <w:tc>
          <w:tcPr>
            <w:tcW w:w="1354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4950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冷固轮转油墨</w:t>
            </w:r>
          </w:p>
        </w:tc>
        <w:tc>
          <w:tcPr>
            <w:tcW w:w="1968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≤3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  <w:tblCellSpacing w:w="0" w:type="dxa"/>
        </w:trPr>
        <w:tc>
          <w:tcPr>
            <w:tcW w:w="1354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4950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热固轮转油墨</w:t>
            </w:r>
          </w:p>
        </w:tc>
        <w:tc>
          <w:tcPr>
            <w:tcW w:w="1968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≤10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  <w:tblCellSpacing w:w="0" w:type="dxa"/>
        </w:trPr>
        <w:tc>
          <w:tcPr>
            <w:tcW w:w="1354" w:type="dxa"/>
            <w:vMerge w:val="restart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能量固化油墨</w:t>
            </w:r>
          </w:p>
        </w:tc>
        <w:tc>
          <w:tcPr>
            <w:tcW w:w="4950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胶印油墨</w:t>
            </w:r>
          </w:p>
        </w:tc>
        <w:tc>
          <w:tcPr>
            <w:tcW w:w="1968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≤2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  <w:tblCellSpacing w:w="0" w:type="dxa"/>
        </w:trPr>
        <w:tc>
          <w:tcPr>
            <w:tcW w:w="1354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4950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柔印油墨</w:t>
            </w:r>
          </w:p>
        </w:tc>
        <w:tc>
          <w:tcPr>
            <w:tcW w:w="1968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≤5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  <w:tblCellSpacing w:w="0" w:type="dxa"/>
        </w:trPr>
        <w:tc>
          <w:tcPr>
            <w:tcW w:w="1354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4950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网印油墨</w:t>
            </w:r>
          </w:p>
        </w:tc>
        <w:tc>
          <w:tcPr>
            <w:tcW w:w="1968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≤5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  <w:tblCellSpacing w:w="0" w:type="dxa"/>
        </w:trPr>
        <w:tc>
          <w:tcPr>
            <w:tcW w:w="1354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4950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喷墨印刷油墨</w:t>
            </w:r>
          </w:p>
        </w:tc>
        <w:tc>
          <w:tcPr>
            <w:tcW w:w="1968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≤10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  <w:tblCellSpacing w:w="0" w:type="dxa"/>
        </w:trPr>
        <w:tc>
          <w:tcPr>
            <w:tcW w:w="1354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4950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凹印油墨</w:t>
            </w:r>
          </w:p>
        </w:tc>
        <w:tc>
          <w:tcPr>
            <w:tcW w:w="1968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≤10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  <w:tblCellSpacing w:w="0" w:type="dxa"/>
        </w:trPr>
        <w:tc>
          <w:tcPr>
            <w:tcW w:w="6304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雕刻凹印油墨</w:t>
            </w:r>
          </w:p>
        </w:tc>
        <w:tc>
          <w:tcPr>
            <w:tcW w:w="1968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color w:val="000000"/>
              </w:rPr>
              <w:t>≤20</w:t>
            </w:r>
          </w:p>
        </w:tc>
      </w:tr>
    </w:tbl>
    <w:p>
      <w:pPr>
        <w:ind w:firstLine="233"/>
        <w:jc w:val="center"/>
        <w:rPr>
          <w:rFonts w:ascii="Times New Roman" w:hAnsi="Times New Roman" w:eastAsia="仿宋_GB2312" w:cs="Times New Roman"/>
          <w:b/>
          <w:bCs/>
          <w:color w:val="FF0000"/>
          <w:sz w:val="28"/>
          <w:szCs w:val="28"/>
        </w:rPr>
      </w:pPr>
      <w:r>
        <w:rPr>
          <w:rFonts w:hint="eastAsia" w:ascii="Times New Roman" w:hAnsi="Times New Roman" w:eastAsia="仿宋_GB2312" w:cs="Times New Roman"/>
          <w:b/>
          <w:bCs/>
          <w:color w:val="FF0000"/>
          <w:sz w:val="28"/>
          <w:szCs w:val="28"/>
        </w:rPr>
        <w:t>清洗剂VOCs含量限值</w:t>
      </w:r>
    </w:p>
    <w:tbl>
      <w:tblPr>
        <w:tblStyle w:val="6"/>
        <w:tblW w:w="8272" w:type="dxa"/>
        <w:tblCellSpacing w:w="0" w:type="dxa"/>
        <w:tblInd w:w="18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100"/>
        <w:gridCol w:w="4620"/>
        <w:gridCol w:w="155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210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FFFFFF"/>
                <w:sz w:val="24"/>
                <w:szCs w:val="24"/>
              </w:rPr>
              <w:t>清洗剂类型</w:t>
            </w:r>
          </w:p>
        </w:tc>
        <w:tc>
          <w:tcPr>
            <w:tcW w:w="462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FFFFFF"/>
                <w:sz w:val="24"/>
                <w:szCs w:val="24"/>
              </w:rPr>
              <w:t>VOCs种类</w:t>
            </w:r>
          </w:p>
        </w:tc>
        <w:tc>
          <w:tcPr>
            <w:tcW w:w="1552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FFFFFF"/>
                <w:sz w:val="24"/>
                <w:szCs w:val="24"/>
              </w:rPr>
              <w:t>VOCs含量限值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2100" w:type="dxa"/>
            <w:vMerge w:val="restart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水基清洗剂</w:t>
            </w:r>
          </w:p>
        </w:tc>
        <w:tc>
          <w:tcPr>
            <w:tcW w:w="462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VOCs含量</w:t>
            </w:r>
          </w:p>
        </w:tc>
        <w:tc>
          <w:tcPr>
            <w:tcW w:w="1552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≤50g/L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2100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462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二氯甲烷、三氯甲烷、三氯乙烯、四氯乙烯总和</w:t>
            </w:r>
          </w:p>
        </w:tc>
        <w:tc>
          <w:tcPr>
            <w:tcW w:w="1552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≤0.5%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2100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462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甲醛</w:t>
            </w:r>
          </w:p>
        </w:tc>
        <w:tc>
          <w:tcPr>
            <w:tcW w:w="1552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≤0.5g/kg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2100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462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苯、甲苯、乙苯和二甲苯总和</w:t>
            </w:r>
          </w:p>
        </w:tc>
        <w:tc>
          <w:tcPr>
            <w:tcW w:w="1552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≤0.5%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2100" w:type="dxa"/>
            <w:vMerge w:val="restart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半水基清洗剂</w:t>
            </w:r>
          </w:p>
        </w:tc>
        <w:tc>
          <w:tcPr>
            <w:tcW w:w="462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VOCs含量</w:t>
            </w:r>
          </w:p>
        </w:tc>
        <w:tc>
          <w:tcPr>
            <w:tcW w:w="1552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≤300g/L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2100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462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二氯甲烷、三氯甲烷、三氯乙烯、四氯乙烯总和</w:t>
            </w:r>
          </w:p>
        </w:tc>
        <w:tc>
          <w:tcPr>
            <w:tcW w:w="1552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≤2%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2100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462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甲醛</w:t>
            </w:r>
          </w:p>
        </w:tc>
        <w:tc>
          <w:tcPr>
            <w:tcW w:w="1552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≤0.5g/kg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2100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462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苯、甲苯、乙苯和二甲苯总和</w:t>
            </w:r>
          </w:p>
        </w:tc>
        <w:tc>
          <w:tcPr>
            <w:tcW w:w="1552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≤1%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2100" w:type="dxa"/>
            <w:vMerge w:val="restart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有机溶剂清洗剂</w:t>
            </w:r>
          </w:p>
        </w:tc>
        <w:tc>
          <w:tcPr>
            <w:tcW w:w="462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VOCs含量</w:t>
            </w:r>
          </w:p>
        </w:tc>
        <w:tc>
          <w:tcPr>
            <w:tcW w:w="1552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≤900g/L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2100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462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二氯甲烷、三氯甲烷、三氯乙烯、四氯乙烯总和</w:t>
            </w:r>
          </w:p>
        </w:tc>
        <w:tc>
          <w:tcPr>
            <w:tcW w:w="1552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≤20%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2100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462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甲醛</w:t>
            </w:r>
          </w:p>
        </w:tc>
        <w:tc>
          <w:tcPr>
            <w:tcW w:w="1552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2100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462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苯、甲苯、乙苯和二甲苯总和</w:t>
            </w:r>
          </w:p>
        </w:tc>
        <w:tc>
          <w:tcPr>
            <w:tcW w:w="1552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≤2%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2100" w:type="dxa"/>
            <w:vMerge w:val="restart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低VOCs含量半水基清洗剂</w:t>
            </w:r>
          </w:p>
        </w:tc>
        <w:tc>
          <w:tcPr>
            <w:tcW w:w="462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VOCs含量</w:t>
            </w:r>
          </w:p>
        </w:tc>
        <w:tc>
          <w:tcPr>
            <w:tcW w:w="1552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≤100g/L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2100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462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二氯甲烷、三氯甲烷、三氯乙烯、四氯乙烯总和</w:t>
            </w:r>
          </w:p>
        </w:tc>
        <w:tc>
          <w:tcPr>
            <w:tcW w:w="1552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≤0.5%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2100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462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甲醛</w:t>
            </w:r>
          </w:p>
        </w:tc>
        <w:tc>
          <w:tcPr>
            <w:tcW w:w="1552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≤0.5g/kg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2100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462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苯、甲苯、乙苯和二甲苯总和</w:t>
            </w:r>
          </w:p>
        </w:tc>
        <w:tc>
          <w:tcPr>
            <w:tcW w:w="1552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≤0.5%</w:t>
            </w:r>
          </w:p>
        </w:tc>
      </w:tr>
    </w:tbl>
    <w:p>
      <w:pPr>
        <w:jc w:val="center"/>
        <w:rPr>
          <w:rFonts w:ascii="Times New Roman" w:hAnsi="Times New Roman" w:eastAsia="仿宋_GB2312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eastAsia="仿宋_GB2312" w:cs="Times New Roman"/>
          <w:b/>
          <w:bCs/>
          <w:color w:val="FF0000"/>
          <w:sz w:val="28"/>
          <w:szCs w:val="28"/>
        </w:rPr>
        <w:t>胶黏剂VOCs含量限值</w:t>
      </w:r>
    </w:p>
    <w:tbl>
      <w:tblPr>
        <w:tblStyle w:val="6"/>
        <w:tblW w:w="8291" w:type="dxa"/>
        <w:tblCellSpacing w:w="0" w:type="dxa"/>
        <w:tblInd w:w="16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369"/>
        <w:gridCol w:w="3380"/>
        <w:gridCol w:w="25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5749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FFFFFF"/>
                <w:sz w:val="24"/>
                <w:szCs w:val="24"/>
              </w:rPr>
              <w:t>胶黏剂类型</w:t>
            </w:r>
          </w:p>
        </w:tc>
        <w:tc>
          <w:tcPr>
            <w:tcW w:w="2542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FFFFFF"/>
                <w:sz w:val="24"/>
                <w:szCs w:val="24"/>
              </w:rPr>
              <w:t>VOCs含量限值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FFFFFF"/>
                <w:sz w:val="24"/>
                <w:szCs w:val="24"/>
              </w:rPr>
              <w:t>（g/L）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2369" w:type="dxa"/>
            <w:vMerge w:val="restart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溶剂型胶黏剂</w:t>
            </w:r>
          </w:p>
        </w:tc>
        <w:tc>
          <w:tcPr>
            <w:tcW w:w="338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氯丁橡胶类</w:t>
            </w:r>
          </w:p>
        </w:tc>
        <w:tc>
          <w:tcPr>
            <w:tcW w:w="2542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≤600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2369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苯乙烯-丁二烯-苯乙烯嵌段共聚物橡胶类</w:t>
            </w:r>
          </w:p>
        </w:tc>
        <w:tc>
          <w:tcPr>
            <w:tcW w:w="2542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≤500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2369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聚氨酯类</w:t>
            </w:r>
          </w:p>
        </w:tc>
        <w:tc>
          <w:tcPr>
            <w:tcW w:w="2542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≤400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2369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丙烯酸酯类</w:t>
            </w:r>
          </w:p>
        </w:tc>
        <w:tc>
          <w:tcPr>
            <w:tcW w:w="2542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≤510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2369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其他</w:t>
            </w:r>
          </w:p>
        </w:tc>
        <w:tc>
          <w:tcPr>
            <w:tcW w:w="2542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≤500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2369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水基型胶黏剂</w:t>
            </w:r>
          </w:p>
        </w:tc>
        <w:tc>
          <w:tcPr>
            <w:tcW w:w="338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聚乙酸乙烯酯类</w:t>
            </w:r>
          </w:p>
        </w:tc>
        <w:tc>
          <w:tcPr>
            <w:tcW w:w="2542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≤50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2369" w:type="dxa"/>
            <w:vMerge w:val="restart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本体型胶黏剂</w:t>
            </w:r>
          </w:p>
        </w:tc>
        <w:tc>
          <w:tcPr>
            <w:tcW w:w="338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有机硅类</w:t>
            </w:r>
          </w:p>
        </w:tc>
        <w:tc>
          <w:tcPr>
            <w:tcW w:w="2542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≤100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2369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其他</w:t>
            </w:r>
          </w:p>
        </w:tc>
        <w:tc>
          <w:tcPr>
            <w:tcW w:w="2542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≤50</w:t>
            </w:r>
          </w:p>
        </w:tc>
      </w:tr>
    </w:tbl>
    <w:p>
      <w:pPr>
        <w:ind w:firstLine="494"/>
        <w:jc w:val="left"/>
      </w:pPr>
    </w:p>
    <w:p>
      <w:pPr>
        <w:ind w:firstLine="494"/>
        <w:jc w:val="left"/>
      </w:pPr>
    </w:p>
    <w:p>
      <w:pPr>
        <w:ind w:firstLine="494"/>
        <w:jc w:val="left"/>
      </w:pPr>
    </w:p>
    <w:p>
      <w:pPr>
        <w:ind w:firstLine="494"/>
        <w:jc w:val="left"/>
      </w:pPr>
    </w:p>
    <w:p>
      <w:pPr>
        <w:ind w:firstLine="494"/>
        <w:jc w:val="left"/>
      </w:pPr>
    </w:p>
    <w:p>
      <w:pPr>
        <w:ind w:firstLine="494"/>
        <w:jc w:val="left"/>
      </w:pPr>
    </w:p>
    <w:p>
      <w:pPr>
        <w:jc w:val="left"/>
      </w:pPr>
    </w:p>
    <w:p>
      <w:pPr>
        <w:jc w:val="center"/>
        <w:rPr>
          <w:rFonts w:ascii="Times New Roman" w:hAnsi="Times New Roman" w:eastAsia="仿宋_GB2312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eastAsia="仿宋_GB2312" w:cs="Times New Roman"/>
          <w:b/>
          <w:bCs/>
          <w:color w:val="FF0000"/>
          <w:sz w:val="28"/>
          <w:szCs w:val="28"/>
        </w:rPr>
        <w:t>挥发性有机物排放浓度标准</w:t>
      </w:r>
    </w:p>
    <w:tbl>
      <w:tblPr>
        <w:tblStyle w:val="6"/>
        <w:tblW w:w="8227" w:type="dxa"/>
        <w:tblCellSpacing w:w="0" w:type="dxa"/>
        <w:tblInd w:w="20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28"/>
        <w:gridCol w:w="1687"/>
        <w:gridCol w:w="1968"/>
        <w:gridCol w:w="2089"/>
        <w:gridCol w:w="155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928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FFFFFF"/>
                <w:sz w:val="24"/>
                <w:szCs w:val="24"/>
              </w:rPr>
              <w:t>排放方式</w:t>
            </w:r>
          </w:p>
        </w:tc>
        <w:tc>
          <w:tcPr>
            <w:tcW w:w="1687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FFFFFF"/>
                <w:sz w:val="24"/>
                <w:szCs w:val="24"/>
              </w:rPr>
              <w:t>监测/监控位置</w:t>
            </w:r>
          </w:p>
        </w:tc>
        <w:tc>
          <w:tcPr>
            <w:tcW w:w="1968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FFFFFF"/>
                <w:sz w:val="24"/>
                <w:szCs w:val="24"/>
              </w:rPr>
              <w:t>污染物项目</w:t>
            </w:r>
          </w:p>
        </w:tc>
        <w:tc>
          <w:tcPr>
            <w:tcW w:w="2089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FFFFFF"/>
                <w:sz w:val="24"/>
                <w:szCs w:val="24"/>
              </w:rPr>
              <w:t>浓度限制（mg/m3）</w:t>
            </w:r>
          </w:p>
        </w:tc>
        <w:tc>
          <w:tcPr>
            <w:tcW w:w="1555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928" w:type="dxa"/>
            <w:vMerge w:val="restart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无组织排放</w:t>
            </w:r>
          </w:p>
        </w:tc>
        <w:tc>
          <w:tcPr>
            <w:tcW w:w="1687" w:type="dxa"/>
            <w:vMerge w:val="restart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企业厂房外</w:t>
            </w:r>
          </w:p>
        </w:tc>
        <w:tc>
          <w:tcPr>
            <w:tcW w:w="1968" w:type="dxa"/>
            <w:vMerge w:val="restart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非甲烷总烃</w:t>
            </w:r>
          </w:p>
        </w:tc>
        <w:tc>
          <w:tcPr>
            <w:tcW w:w="2089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55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1小时平均浓度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928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7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968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089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55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任意一次浓度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928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7" w:type="dxa"/>
            <w:vMerge w:val="restart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企业边界及周边</w:t>
            </w:r>
          </w:p>
        </w:tc>
        <w:tc>
          <w:tcPr>
            <w:tcW w:w="1968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苯</w:t>
            </w:r>
          </w:p>
        </w:tc>
        <w:tc>
          <w:tcPr>
            <w:tcW w:w="2089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55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928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7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968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甲苯与二甲苯合计</w:t>
            </w:r>
          </w:p>
        </w:tc>
        <w:tc>
          <w:tcPr>
            <w:tcW w:w="2089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0.4</w:t>
            </w:r>
          </w:p>
        </w:tc>
        <w:tc>
          <w:tcPr>
            <w:tcW w:w="1555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928" w:type="dxa"/>
            <w:vMerge w:val="restart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有组织排放</w:t>
            </w:r>
          </w:p>
        </w:tc>
        <w:tc>
          <w:tcPr>
            <w:tcW w:w="1687" w:type="dxa"/>
            <w:vMerge w:val="restart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车间或生产设施排气筒</w:t>
            </w:r>
          </w:p>
        </w:tc>
        <w:tc>
          <w:tcPr>
            <w:tcW w:w="1968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苯</w:t>
            </w:r>
          </w:p>
        </w:tc>
        <w:tc>
          <w:tcPr>
            <w:tcW w:w="2089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1555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速率限值0.1 kg/h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928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7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968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甲苯与二甲苯合计</w:t>
            </w:r>
          </w:p>
        </w:tc>
        <w:tc>
          <w:tcPr>
            <w:tcW w:w="2089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5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速率限值0.5 kg/h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928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7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968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非甲烷总烃</w:t>
            </w:r>
          </w:p>
        </w:tc>
        <w:tc>
          <w:tcPr>
            <w:tcW w:w="2089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55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速率限值1.0 kg/h</w:t>
            </w:r>
          </w:p>
        </w:tc>
      </w:tr>
    </w:tbl>
    <w:p/>
    <w:p>
      <w:pPr>
        <w:pStyle w:val="2"/>
      </w:pPr>
      <w:bookmarkStart w:id="2" w:name="_Toc25500"/>
      <w:r>
        <w:rPr>
          <w:rFonts w:hint="eastAsia"/>
        </w:rPr>
        <w:t>3、主要生产工艺与产排污环节</w:t>
      </w:r>
      <w:bookmarkEnd w:id="2"/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印刷行业生产工序包括印前、印刷和印后处理三个过程。VOCs排放主要来自含VOCs原辅料的存储、调配、输送、印刷使用以及废料的贮存，涉及多个生产工序和多种有机溶剂种类。不同工序VOCs来源如下图所示。</w:t>
      </w: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rPr>
          <w:rFonts w:ascii="仿宋_GB2312" w:hAnsi="仿宋_GB2312" w:eastAsia="仿宋_GB2312" w:cs="仿宋_GB2312"/>
          <w:sz w:val="28"/>
          <w:szCs w:val="28"/>
        </w:rPr>
      </w:pPr>
    </w:p>
    <w:p>
      <w:pPr>
        <w:rPr>
          <w:rFonts w:ascii="仿宋_GB2312" w:hAnsi="仿宋_GB2312" w:eastAsia="仿宋_GB2312" w:cs="仿宋_GB2312"/>
          <w:sz w:val="28"/>
          <w:szCs w:val="28"/>
        </w:rPr>
      </w:pPr>
    </w:p>
    <w:p>
      <w:pPr>
        <w:rPr>
          <w:rFonts w:ascii="仿宋_GB2312" w:hAnsi="仿宋_GB2312" w:eastAsia="仿宋_GB2312" w:cs="仿宋_GB2312"/>
          <w:sz w:val="28"/>
          <w:szCs w:val="28"/>
        </w:rPr>
      </w:pP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844550</wp:posOffset>
            </wp:positionH>
            <wp:positionV relativeFrom="paragraph">
              <wp:posOffset>112395</wp:posOffset>
            </wp:positionV>
            <wp:extent cx="3604260" cy="3675380"/>
            <wp:effectExtent l="0" t="0" r="2540" b="762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</w:p>
    <w:p>
      <w:pPr>
        <w:rPr>
          <w:rFonts w:ascii="仿宋_GB2312" w:hAnsi="仿宋_GB2312" w:eastAsia="仿宋_GB2312" w:cs="仿宋_GB2312"/>
          <w:sz w:val="28"/>
          <w:szCs w:val="28"/>
        </w:rPr>
      </w:pPr>
    </w:p>
    <w:p>
      <w:pPr>
        <w:rPr>
          <w:rFonts w:ascii="仿宋_GB2312" w:hAnsi="仿宋_GB2312" w:eastAsia="仿宋_GB2312" w:cs="仿宋_GB2312"/>
          <w:sz w:val="28"/>
          <w:szCs w:val="28"/>
        </w:rPr>
      </w:pPr>
    </w:p>
    <w:p>
      <w:pPr>
        <w:rPr>
          <w:rFonts w:ascii="仿宋_GB2312" w:hAnsi="仿宋_GB2312" w:eastAsia="仿宋_GB2312" w:cs="仿宋_GB2312"/>
          <w:sz w:val="28"/>
          <w:szCs w:val="28"/>
        </w:rPr>
      </w:pPr>
    </w:p>
    <w:p>
      <w:pPr>
        <w:rPr>
          <w:rFonts w:ascii="仿宋_GB2312" w:hAnsi="仿宋_GB2312" w:eastAsia="仿宋_GB2312" w:cs="仿宋_GB2312"/>
          <w:sz w:val="28"/>
          <w:szCs w:val="28"/>
        </w:rPr>
      </w:pPr>
    </w:p>
    <w:p>
      <w:pPr>
        <w:rPr>
          <w:rFonts w:ascii="仿宋_GB2312" w:hAnsi="仿宋_GB2312" w:eastAsia="仿宋_GB2312" w:cs="仿宋_GB2312"/>
          <w:sz w:val="28"/>
          <w:szCs w:val="28"/>
        </w:rPr>
      </w:pPr>
    </w:p>
    <w:p>
      <w:pPr>
        <w:rPr>
          <w:rFonts w:ascii="仿宋_GB2312" w:hAnsi="仿宋_GB2312" w:eastAsia="仿宋_GB2312" w:cs="仿宋_GB2312"/>
          <w:sz w:val="28"/>
          <w:szCs w:val="28"/>
        </w:rPr>
      </w:pPr>
    </w:p>
    <w:p>
      <w:pPr>
        <w:rPr>
          <w:rFonts w:ascii="仿宋_GB2312" w:hAnsi="仿宋_GB2312" w:eastAsia="仿宋_GB2312" w:cs="仿宋_GB2312"/>
          <w:sz w:val="28"/>
          <w:szCs w:val="28"/>
        </w:rPr>
      </w:pPr>
    </w:p>
    <w:p>
      <w:pPr>
        <w:rPr>
          <w:rFonts w:ascii="仿宋_GB2312" w:hAnsi="仿宋_GB2312" w:eastAsia="仿宋_GB2312" w:cs="仿宋_GB2312"/>
          <w:sz w:val="28"/>
          <w:szCs w:val="28"/>
        </w:rPr>
      </w:pPr>
    </w:p>
    <w:p>
      <w:pPr>
        <w:pStyle w:val="2"/>
      </w:pPr>
      <w:bookmarkStart w:id="3" w:name="_Toc13185"/>
      <w:r>
        <w:rPr>
          <w:rFonts w:hint="eastAsia"/>
        </w:rPr>
        <w:t>4、VOCs物料管理与替代</w:t>
      </w:r>
      <w:bookmarkEnd w:id="3"/>
    </w:p>
    <w:p>
      <w:pPr>
        <w:ind w:firstLine="562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b/>
          <w:bCs/>
          <w:color w:val="FF0000"/>
          <w:sz w:val="28"/>
          <w:szCs w:val="28"/>
        </w:rPr>
        <w:t>VOCs物料判定：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VOCs质量占比大于等于10%的物料，以及有机聚合物材料。本行业VOCs物料主要有油墨、稀释剂、清洗剂、涂布液、润版液、胶黏剂、复合胶、上光油、涂料等。</w:t>
      </w:r>
    </w:p>
    <w:p>
      <w:pPr>
        <w:ind w:firstLine="562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b/>
          <w:bCs/>
          <w:color w:val="FF0000"/>
          <w:sz w:val="28"/>
          <w:szCs w:val="28"/>
        </w:rPr>
        <w:t>VOCs含量：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VOCs</w:t>
      </w:r>
      <w:r>
        <w:rPr>
          <w:rFonts w:hint="eastAsia" w:ascii="Times New Roman" w:hAnsi="Times New Roman" w:eastAsia="仿宋_GB2312" w:cs="Times New Roman"/>
          <w:color w:val="FF0000"/>
          <w:sz w:val="28"/>
          <w:szCs w:val="28"/>
        </w:rPr>
        <w:t>标准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含量符合国家或地方要求（见本手册第2部分）。</w:t>
      </w:r>
      <w:r>
        <w:rPr>
          <w:rFonts w:hint="eastAsia" w:ascii="Times New Roman" w:hAnsi="Times New Roman" w:eastAsia="仿宋_GB2312" w:cs="Times New Roman"/>
          <w:color w:val="FF0000"/>
          <w:sz w:val="28"/>
          <w:szCs w:val="28"/>
        </w:rPr>
        <w:t>物料VOCs含量判断，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企业应供应商索要具有CMA和CNAS资质的第三方检测机构出具的检测报告，无检测报告的根据化学品安全技术说明书（MSDS）判断。</w:t>
      </w:r>
    </w:p>
    <w:p>
      <w:pPr>
        <w:ind w:firstLine="562" w:firstLineChars="200"/>
        <w:rPr>
          <w:rFonts w:ascii="Times New Roman" w:hAnsi="Times New Roman" w:eastAsia="仿宋_GB2312" w:cs="Times New Roman"/>
          <w:b/>
          <w:bCs/>
          <w:color w:val="FF0000"/>
          <w:sz w:val="28"/>
          <w:szCs w:val="28"/>
        </w:rPr>
      </w:pPr>
      <w:r>
        <w:rPr>
          <w:rFonts w:hint="eastAsia" w:ascii="Times New Roman" w:hAnsi="Times New Roman" w:eastAsia="仿宋_GB2312" w:cs="Times New Roman"/>
          <w:b/>
          <w:bCs/>
          <w:color w:val="FF0000"/>
          <w:sz w:val="28"/>
          <w:szCs w:val="28"/>
        </w:rPr>
        <w:t>VOCs储存与输送：</w:t>
      </w: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t>（1）盛装VOCs物料的容器或包装袋在非取用状态时需要加盖、封口、保持密闭；</w:t>
      </w: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t>（2）VOCs物料的废包装应及时收集并放在密闭容器中待处理；</w:t>
      </w: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t>（3）盛装VOCs物料的容器或包装袋是否存放于室内，或有雨棚、遮阳和防渗设施的专用场地；</w:t>
      </w: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t>（4）VOCs物料储库、料仓是否为密闭空间。</w:t>
      </w: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t>（5）液态VOCs物料应采用密闭管道输送；</w:t>
      </w: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577850</wp:posOffset>
            </wp:positionH>
            <wp:positionV relativeFrom="paragraph">
              <wp:posOffset>715010</wp:posOffset>
            </wp:positionV>
            <wp:extent cx="4196715" cy="1721485"/>
            <wp:effectExtent l="0" t="0" r="6985" b="5715"/>
            <wp:wrapNone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671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sz w:val="28"/>
          <w:szCs w:val="28"/>
        </w:rPr>
        <w:t>（6）非管道输送转移的液态VOCs物料应采用密闭容器、罐车转移。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</w:p>
    <w:p>
      <w:pPr>
        <w:rPr>
          <w:rFonts w:ascii="仿宋_GB2312" w:hAnsi="仿宋_GB2312" w:eastAsia="仿宋_GB2312" w:cs="仿宋_GB2312"/>
          <w:sz w:val="28"/>
          <w:szCs w:val="28"/>
        </w:rPr>
      </w:pPr>
    </w:p>
    <w:p>
      <w:pPr>
        <w:rPr>
          <w:rFonts w:ascii="仿宋_GB2312" w:hAnsi="仿宋_GB2312" w:eastAsia="仿宋_GB2312" w:cs="仿宋_GB2312"/>
          <w:sz w:val="28"/>
          <w:szCs w:val="28"/>
        </w:rPr>
      </w:pPr>
    </w:p>
    <w:p>
      <w:pPr>
        <w:rPr>
          <w:rFonts w:ascii="仿宋_GB2312" w:hAnsi="仿宋_GB2312" w:eastAsia="仿宋_GB2312" w:cs="仿宋_GB2312"/>
          <w:sz w:val="28"/>
          <w:szCs w:val="28"/>
        </w:rPr>
      </w:pPr>
    </w:p>
    <w:p>
      <w:pPr>
        <w:ind w:firstLine="560" w:firstLineChars="200"/>
        <w:rPr>
          <w:rFonts w:hint="eastAsia"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t>鼓励企业改进工艺，采用水性、植物油基、UV型、辐射固化型等低VOCs含量原辅料（见下表）。</w:t>
      </w:r>
    </w:p>
    <w:tbl>
      <w:tblPr>
        <w:tblStyle w:val="6"/>
        <w:tblpPr w:leftFromText="180" w:rightFromText="180" w:vertAnchor="text" w:horzAnchor="page" w:tblpX="1981" w:tblpY="633"/>
        <w:tblOverlap w:val="never"/>
        <w:tblW w:w="8736" w:type="dxa"/>
        <w:tblCellSpacing w:w="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09"/>
        <w:gridCol w:w="2336"/>
        <w:gridCol w:w="3891"/>
        <w:gridCol w:w="14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1109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FFFFFF"/>
                <w:sz w:val="24"/>
                <w:szCs w:val="24"/>
              </w:rPr>
              <w:t>承印物</w:t>
            </w:r>
          </w:p>
        </w:tc>
        <w:tc>
          <w:tcPr>
            <w:tcW w:w="2336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FFFFFF"/>
                <w:sz w:val="24"/>
                <w:szCs w:val="24"/>
              </w:rPr>
              <w:t>低VOCs含量原辅料类型</w:t>
            </w:r>
          </w:p>
        </w:tc>
        <w:tc>
          <w:tcPr>
            <w:tcW w:w="3891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FFFFFF"/>
                <w:sz w:val="24"/>
                <w:szCs w:val="24"/>
              </w:rPr>
              <w:t>适用范围</w:t>
            </w:r>
          </w:p>
        </w:tc>
        <w:tc>
          <w:tcPr>
            <w:tcW w:w="140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FFFFFF"/>
                <w:sz w:val="24"/>
                <w:szCs w:val="24"/>
              </w:rPr>
              <w:t>VOCs含量限值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  <w:tblCellSpacing w:w="0" w:type="dxa"/>
        </w:trPr>
        <w:tc>
          <w:tcPr>
            <w:tcW w:w="1109" w:type="dxa"/>
            <w:vMerge w:val="restart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塑料包装印刷</w:t>
            </w:r>
          </w:p>
        </w:tc>
        <w:tc>
          <w:tcPr>
            <w:tcW w:w="2336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水性凹印油墨</w:t>
            </w:r>
          </w:p>
        </w:tc>
        <w:tc>
          <w:tcPr>
            <w:tcW w:w="3891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适用于塑料表印、塑料轻包装以及部分塑料里印凹版印刷工艺</w:t>
            </w:r>
          </w:p>
        </w:tc>
        <w:tc>
          <w:tcPr>
            <w:tcW w:w="140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≤30%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1109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水性油印油墨</w:t>
            </w:r>
          </w:p>
        </w:tc>
        <w:tc>
          <w:tcPr>
            <w:tcW w:w="3891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适用于塑料包装、标签的柔板印刷工艺</w:t>
            </w:r>
          </w:p>
        </w:tc>
        <w:tc>
          <w:tcPr>
            <w:tcW w:w="140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≤25%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1109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水基型胶粘剂</w:t>
            </w:r>
          </w:p>
        </w:tc>
        <w:tc>
          <w:tcPr>
            <w:tcW w:w="3891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适用于方便面包装袋、膨化食品包装袋等轻包装制品的覆膜工序</w:t>
            </w:r>
          </w:p>
        </w:tc>
        <w:tc>
          <w:tcPr>
            <w:tcW w:w="140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≤50g/L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1109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本体型胶粘剂</w:t>
            </w:r>
          </w:p>
        </w:tc>
        <w:tc>
          <w:tcPr>
            <w:tcW w:w="3891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适用于塑料包装印刷的复合工序</w:t>
            </w:r>
          </w:p>
        </w:tc>
        <w:tc>
          <w:tcPr>
            <w:tcW w:w="140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≤50g/L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1109" w:type="dxa"/>
            <w:vMerge w:val="restart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纸包装印刷</w:t>
            </w:r>
          </w:p>
        </w:tc>
        <w:tc>
          <w:tcPr>
            <w:tcW w:w="2336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植物油基胶印油墨</w:t>
            </w:r>
          </w:p>
        </w:tc>
        <w:tc>
          <w:tcPr>
            <w:tcW w:w="3891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适用于纸包装的平板印刷工艺</w:t>
            </w:r>
          </w:p>
        </w:tc>
        <w:tc>
          <w:tcPr>
            <w:tcW w:w="140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≤3%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1109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UV胶印油墨</w:t>
            </w:r>
          </w:p>
        </w:tc>
        <w:tc>
          <w:tcPr>
            <w:tcW w:w="3891" w:type="dxa"/>
            <w:vMerge w:val="restart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适用于纸包装的印刷工艺，不适用与对直接接触食品的产品印刷</w:t>
            </w:r>
          </w:p>
        </w:tc>
        <w:tc>
          <w:tcPr>
            <w:tcW w:w="140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≤2%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1109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UV柔印油墨</w:t>
            </w:r>
          </w:p>
        </w:tc>
        <w:tc>
          <w:tcPr>
            <w:tcW w:w="3891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≤5%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1109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UV网印油墨</w:t>
            </w:r>
          </w:p>
        </w:tc>
        <w:tc>
          <w:tcPr>
            <w:tcW w:w="3891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≤5%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1109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水性柔印油墨</w:t>
            </w:r>
          </w:p>
        </w:tc>
        <w:tc>
          <w:tcPr>
            <w:tcW w:w="3891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适用于纸包装的柔板印刷工艺</w:t>
            </w:r>
          </w:p>
        </w:tc>
        <w:tc>
          <w:tcPr>
            <w:tcW w:w="140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≤5%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1109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水性凹印油墨</w:t>
            </w:r>
          </w:p>
        </w:tc>
        <w:tc>
          <w:tcPr>
            <w:tcW w:w="3891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适用于纸包装的凹板印刷工艺</w:t>
            </w:r>
          </w:p>
        </w:tc>
        <w:tc>
          <w:tcPr>
            <w:tcW w:w="140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≤15%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1109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水基型胶粘剂</w:t>
            </w:r>
          </w:p>
        </w:tc>
        <w:tc>
          <w:tcPr>
            <w:tcW w:w="3891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适用于纸包装印刷的复合工序</w:t>
            </w:r>
          </w:p>
        </w:tc>
        <w:tc>
          <w:tcPr>
            <w:tcW w:w="140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≤50g/L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1109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水性光油</w:t>
            </w:r>
          </w:p>
        </w:tc>
        <w:tc>
          <w:tcPr>
            <w:tcW w:w="3891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适用于纸包装印刷的上光工序</w:t>
            </w:r>
          </w:p>
        </w:tc>
        <w:tc>
          <w:tcPr>
            <w:tcW w:w="140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≤3%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1109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UV光油</w:t>
            </w:r>
          </w:p>
        </w:tc>
        <w:tc>
          <w:tcPr>
            <w:tcW w:w="3891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适用于纸包装印刷的上光工序</w:t>
            </w:r>
          </w:p>
        </w:tc>
        <w:tc>
          <w:tcPr>
            <w:tcW w:w="140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≤3%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1109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无/低醇润湿液</w:t>
            </w:r>
          </w:p>
        </w:tc>
        <w:tc>
          <w:tcPr>
            <w:tcW w:w="3891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适用于纸包装的平板印刷工艺的润版工序</w:t>
            </w:r>
          </w:p>
        </w:tc>
        <w:tc>
          <w:tcPr>
            <w:tcW w:w="140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原液：≤10%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醇类添加剂：≤2%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1109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水基清洗剂</w:t>
            </w:r>
          </w:p>
        </w:tc>
        <w:tc>
          <w:tcPr>
            <w:tcW w:w="3891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适用于水性油墨印刷、水性胶复合、水性上光等工艺的清洗工序</w:t>
            </w:r>
          </w:p>
        </w:tc>
        <w:tc>
          <w:tcPr>
            <w:tcW w:w="140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≤50g/L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1109" w:type="dxa"/>
            <w:vMerge w:val="restart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金属包装印刷</w:t>
            </w:r>
          </w:p>
        </w:tc>
        <w:tc>
          <w:tcPr>
            <w:tcW w:w="2336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UV胶印油墨</w:t>
            </w:r>
          </w:p>
        </w:tc>
        <w:tc>
          <w:tcPr>
            <w:tcW w:w="3891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适用于铁罐的平版印刷工艺，不适用于对直接接触食品的产品的印刷</w:t>
            </w:r>
          </w:p>
        </w:tc>
        <w:tc>
          <w:tcPr>
            <w:tcW w:w="140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≤2%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1109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水性柔印油墨</w:t>
            </w:r>
          </w:p>
        </w:tc>
        <w:tc>
          <w:tcPr>
            <w:tcW w:w="3891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适用于铝罐的柔版印刷工艺</w:t>
            </w:r>
          </w:p>
        </w:tc>
        <w:tc>
          <w:tcPr>
            <w:tcW w:w="140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≤25%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1109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水性涂料</w:t>
            </w:r>
          </w:p>
        </w:tc>
        <w:tc>
          <w:tcPr>
            <w:tcW w:w="3891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适用于金属包装的喷涂工序</w:t>
            </w:r>
          </w:p>
        </w:tc>
        <w:tc>
          <w:tcPr>
            <w:tcW w:w="140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≤400g/L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1109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UV光油</w:t>
            </w:r>
          </w:p>
        </w:tc>
        <w:tc>
          <w:tcPr>
            <w:tcW w:w="3891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适用于铁罐印刷的上光工序</w:t>
            </w:r>
          </w:p>
        </w:tc>
        <w:tc>
          <w:tcPr>
            <w:tcW w:w="140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≤3%</w:t>
            </w:r>
          </w:p>
        </w:tc>
      </w:tr>
    </w:tbl>
    <w:p>
      <w:pPr>
        <w:ind w:firstLine="560" w:firstLineChars="200"/>
        <w:rPr>
          <w:rFonts w:hint="eastAsia"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hint="eastAsia" w:ascii="Times New Roman" w:hAnsi="Times New Roman" w:eastAsia="仿宋_GB2312" w:cs="Times New Roman"/>
          <w:sz w:val="28"/>
          <w:szCs w:val="28"/>
        </w:rPr>
      </w:pPr>
    </w:p>
    <w:p/>
    <w:p>
      <w:pPr>
        <w:pStyle w:val="2"/>
      </w:pPr>
      <w:bookmarkStart w:id="4" w:name="_Toc22663"/>
      <w:r>
        <w:rPr>
          <w:rFonts w:hint="eastAsia"/>
        </w:rPr>
        <w:t>5</w:t>
      </w:r>
      <w:r>
        <w:rPr>
          <w:rFonts w:hint="eastAsia"/>
          <w:lang w:eastAsia="zh-CN"/>
        </w:rPr>
        <w:t>、</w:t>
      </w:r>
      <w:r>
        <w:rPr>
          <w:rFonts w:hint="eastAsia"/>
        </w:rPr>
        <w:t>生产过程管理</w:t>
      </w:r>
      <w:bookmarkEnd w:id="4"/>
    </w:p>
    <w:p>
      <w:pPr>
        <w:ind w:firstLine="562" w:firstLineChars="200"/>
        <w:rPr>
          <w:rFonts w:ascii="Times New Roman" w:hAnsi="Times New Roman" w:eastAsia="仿宋_GB2312" w:cs="Times New Roman"/>
          <w:b/>
          <w:bCs/>
          <w:color w:val="FF0000"/>
          <w:sz w:val="28"/>
          <w:szCs w:val="28"/>
        </w:rPr>
      </w:pPr>
      <w:r>
        <w:rPr>
          <w:rFonts w:hint="eastAsia" w:ascii="Times New Roman" w:hAnsi="Times New Roman" w:eastAsia="仿宋_GB2312" w:cs="Times New Roman"/>
          <w:b/>
          <w:bCs/>
          <w:color w:val="FF0000"/>
          <w:sz w:val="28"/>
          <w:szCs w:val="28"/>
        </w:rPr>
        <w:t>（1）VOCs无组织排放</w:t>
      </w:r>
    </w:p>
    <w:p>
      <w:pPr>
        <w:ind w:firstLine="562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b/>
          <w:bCs/>
          <w:color w:val="FF0000"/>
          <w:sz w:val="28"/>
          <w:szCs w:val="28"/>
        </w:rPr>
        <w:t>管理要求：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涉及VOCs物料使用的所有工序应采用密闭设备或在密闭负压空间操作（无法密闭的应采取局部气体收集措施，如加墨时采用漏斗或软管等接驳工具），废气应排至VOCs废气收集处理系统。</w:t>
      </w: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t>企业厂区内（厂房外）和边界VOCs组分浓度限制见本手册第2部分。</w:t>
      </w:r>
    </w:p>
    <w:p>
      <w:pPr>
        <w:ind w:firstLine="562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b/>
          <w:bCs/>
          <w:color w:val="FF0000"/>
          <w:sz w:val="28"/>
          <w:szCs w:val="28"/>
        </w:rPr>
        <w:t>废气收集设施要求：</w:t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1346200</wp:posOffset>
            </wp:positionH>
            <wp:positionV relativeFrom="paragraph">
              <wp:posOffset>1151890</wp:posOffset>
            </wp:positionV>
            <wp:extent cx="2889250" cy="2266950"/>
            <wp:effectExtent l="0" t="0" r="6350" b="6350"/>
            <wp:wrapNone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sz w:val="28"/>
          <w:szCs w:val="28"/>
        </w:rPr>
        <w:t>VOCs废气收集系统应与生产设备同步运行，VOCs废气收集处理系统发生故障或检修时，应及时停止生产设备，封闭敞开的料槽；生产设备无法停止的应采取应急措施。</w:t>
      </w: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仿宋_GB2312" w:cs="Times New Roman"/>
          <w:color w:val="FF0000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color w:val="FF0000"/>
          <w:sz w:val="28"/>
          <w:szCs w:val="28"/>
        </w:rPr>
        <w:t>距集气罩开口面最远处的VOCs无组织排放位置，控制风速不应低于0.3 m/s；废气收集系统的输送管道应密闭、无破损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。</w:t>
      </w:r>
    </w:p>
    <w:p>
      <w:pPr>
        <w:ind w:firstLine="562" w:firstLineChars="200"/>
        <w:rPr>
          <w:rFonts w:ascii="Times New Roman" w:hAnsi="Times New Roman" w:eastAsia="仿宋_GB2312" w:cs="Times New Roman"/>
          <w:b/>
          <w:bCs/>
          <w:color w:val="FF0000"/>
          <w:sz w:val="28"/>
          <w:szCs w:val="28"/>
        </w:rPr>
      </w:pPr>
      <w:r>
        <w:rPr>
          <w:rFonts w:hint="eastAsia" w:ascii="Times New Roman" w:hAnsi="Times New Roman" w:eastAsia="仿宋_GB2312" w:cs="Times New Roman"/>
          <w:b/>
          <w:bCs/>
          <w:color w:val="FF0000"/>
          <w:sz w:val="28"/>
          <w:szCs w:val="28"/>
        </w:rPr>
        <w:t>（2）VOCs有组织排放</w:t>
      </w:r>
    </w:p>
    <w:p>
      <w:pPr>
        <w:ind w:firstLine="562" w:firstLineChars="200"/>
        <w:rPr>
          <w:rFonts w:ascii="Times New Roman" w:hAnsi="Times New Roman" w:eastAsia="仿宋_GB2312" w:cs="Times New Roman"/>
          <w:b/>
          <w:bCs/>
          <w:color w:val="FF0000"/>
          <w:sz w:val="28"/>
          <w:szCs w:val="28"/>
        </w:rPr>
      </w:pPr>
      <w:r>
        <w:rPr>
          <w:rFonts w:hint="eastAsia" w:ascii="Times New Roman" w:hAnsi="Times New Roman" w:eastAsia="仿宋_GB2312" w:cs="Times New Roman"/>
          <w:b/>
          <w:bCs/>
          <w:color w:val="FF0000"/>
          <w:sz w:val="28"/>
          <w:szCs w:val="28"/>
        </w:rPr>
        <w:t>管理要求：</w:t>
      </w: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t>（1）车间或生产设施排气筒有组织排放VOCs及其组分浓度和排放速率限制见本手册第2部分。</w:t>
      </w: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t>（2）车间或生产设施排气中NMHC初始排放速率≥2kg/h时，配置的VOCs处理设施处理效率不应低于80%；采用的原辅材料符合国家有关低VOCs含量产品规定的除外。</w:t>
      </w: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t>（3）排气筒高度不得低于15米。</w:t>
      </w: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t>（4）VOCs废气收集系统应与生产设备同步运行，VOCs 废气收集处理系统发生故障或检修时，对应的生产工艺设备应及时停止运行。</w:t>
      </w:r>
    </w:p>
    <w:p>
      <w:pPr>
        <w:ind w:firstLine="42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889000</wp:posOffset>
            </wp:positionH>
            <wp:positionV relativeFrom="paragraph">
              <wp:posOffset>-87630</wp:posOffset>
            </wp:positionV>
            <wp:extent cx="3434080" cy="2300605"/>
            <wp:effectExtent l="0" t="0" r="7620" b="10795"/>
            <wp:wrapTight wrapText="bothSides">
              <wp:wrapPolygon>
                <wp:start x="0" y="0"/>
                <wp:lineTo x="0" y="21463"/>
                <wp:lineTo x="21488" y="21463"/>
                <wp:lineTo x="21488" y="0"/>
                <wp:lineTo x="0" y="0"/>
              </wp:wrapPolygon>
            </wp:wrapTight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pStyle w:val="2"/>
        <w:numPr>
          <w:ilvl w:val="0"/>
          <w:numId w:val="0"/>
        </w:numPr>
      </w:pPr>
      <w:bookmarkStart w:id="5" w:name="_Toc22915"/>
      <w:r>
        <w:rPr>
          <w:rFonts w:hint="eastAsia"/>
          <w:lang w:val="en-US" w:eastAsia="zh-CN"/>
        </w:rPr>
        <w:t>6、</w:t>
      </w:r>
      <w:r>
        <w:rPr>
          <w:rFonts w:hint="eastAsia"/>
        </w:rPr>
        <w:t>末端治理</w:t>
      </w:r>
      <w:bookmarkEnd w:id="5"/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末端治理设施应与生产设施同步运行，根据工序VOCs排放特点采用不同的末端治理措施，并执行相关标准。</w:t>
      </w:r>
    </w:p>
    <w:tbl>
      <w:tblPr>
        <w:tblStyle w:val="6"/>
        <w:tblW w:w="8273" w:type="dxa"/>
        <w:tblCellSpacing w:w="0" w:type="dxa"/>
        <w:tblInd w:w="171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92"/>
        <w:gridCol w:w="2345"/>
        <w:gridCol w:w="433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1592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b/>
                <w:bCs/>
                <w:color w:val="FFFFFF"/>
              </w:rPr>
              <w:t>工序</w:t>
            </w:r>
          </w:p>
        </w:tc>
        <w:tc>
          <w:tcPr>
            <w:tcW w:w="2345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b/>
                <w:bCs/>
                <w:color w:val="FFFFFF"/>
              </w:rPr>
              <w:t>排气方式</w:t>
            </w:r>
          </w:p>
        </w:tc>
        <w:tc>
          <w:tcPr>
            <w:tcW w:w="4336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b/>
                <w:bCs/>
                <w:color w:val="FFFFFF"/>
              </w:rPr>
              <w:t>处理工艺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1592" w:type="dxa"/>
            <w:vMerge w:val="restart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凹版印刷</w:t>
            </w:r>
          </w:p>
        </w:tc>
        <w:tc>
          <w:tcPr>
            <w:tcW w:w="2345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溶剂型油墨印刷无组织废气</w:t>
            </w:r>
          </w:p>
        </w:tc>
        <w:tc>
          <w:tcPr>
            <w:tcW w:w="4336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活性炭吸附 + 热氮气再生 + 冷凝回收</w:t>
            </w:r>
          </w:p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活性炭吸附 + RTO/CO</w:t>
            </w:r>
          </w:p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旋转式分子筛吸附浓缩 + RTO/CO</w:t>
            </w:r>
          </w:p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燃烧（与烘干有组织废气合并）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1592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2345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溶剂型烘干废气</w:t>
            </w:r>
          </w:p>
        </w:tc>
        <w:tc>
          <w:tcPr>
            <w:tcW w:w="4336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活性炭吸附 + 热氮气再生 + 冷凝回收</w:t>
            </w:r>
          </w:p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减风增浓 + RTO/CO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1592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2345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水性烘干废气</w:t>
            </w:r>
          </w:p>
        </w:tc>
        <w:tc>
          <w:tcPr>
            <w:tcW w:w="4336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吸附 + 燃烧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1592" w:type="dxa"/>
            <w:vMerge w:val="restart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柔板印刷</w:t>
            </w:r>
          </w:p>
        </w:tc>
        <w:tc>
          <w:tcPr>
            <w:tcW w:w="2345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溶剂型印刷废气</w:t>
            </w:r>
          </w:p>
        </w:tc>
        <w:tc>
          <w:tcPr>
            <w:tcW w:w="4336" w:type="dxa"/>
            <w:vMerge w:val="restart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color w:val="000000"/>
              </w:rPr>
              <w:t>旋转式分子筛吸附浓缩 +RTO /CO</w:t>
            </w:r>
          </w:p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活性炭吸附 + CO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1592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2345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溶剂型烘干废气</w:t>
            </w:r>
          </w:p>
        </w:tc>
        <w:tc>
          <w:tcPr>
            <w:tcW w:w="4336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1592" w:type="dxa"/>
            <w:vMerge w:val="restart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复合</w:t>
            </w:r>
          </w:p>
        </w:tc>
        <w:tc>
          <w:tcPr>
            <w:tcW w:w="2345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干式复合无组织废气</w:t>
            </w:r>
          </w:p>
        </w:tc>
        <w:tc>
          <w:tcPr>
            <w:tcW w:w="4336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活性炭吸附 + 热氮气再生 + 冷凝回收</w:t>
            </w:r>
          </w:p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活性炭吸附 + RTO/CO</w:t>
            </w:r>
          </w:p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旋转式分子筛吸附浓缩 + RTO/CO</w:t>
            </w:r>
          </w:p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燃烧（与烘干有组织废气合并）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1592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2345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干式复合烘干废气</w:t>
            </w:r>
          </w:p>
        </w:tc>
        <w:tc>
          <w:tcPr>
            <w:tcW w:w="4336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活性炭吸附 + 热氮气再生 + 冷凝回收</w:t>
            </w:r>
          </w:p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减风增浓 + RTO/CO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1592" w:type="dxa"/>
            <w:vMerge w:val="restart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涂布</w:t>
            </w:r>
          </w:p>
        </w:tc>
        <w:tc>
          <w:tcPr>
            <w:tcW w:w="2345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无组织废气</w:t>
            </w:r>
          </w:p>
        </w:tc>
        <w:tc>
          <w:tcPr>
            <w:tcW w:w="4336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活性炭吸附 + RTO/CO</w:t>
            </w:r>
          </w:p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旋转式分子筛吸附浓缩 + RTO/CO</w:t>
            </w:r>
          </w:p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燃烧（与烘干有组织废气合并）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1592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2345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烘干废气</w:t>
            </w:r>
          </w:p>
        </w:tc>
        <w:tc>
          <w:tcPr>
            <w:tcW w:w="4336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减风增浓 + RTO/CO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1592" w:type="dxa"/>
            <w:vMerge w:val="restart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覆膜、上光</w:t>
            </w:r>
          </w:p>
        </w:tc>
        <w:tc>
          <w:tcPr>
            <w:tcW w:w="2345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无组织废气</w:t>
            </w:r>
          </w:p>
        </w:tc>
        <w:tc>
          <w:tcPr>
            <w:tcW w:w="4336" w:type="dxa"/>
            <w:vMerge w:val="restart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吸附 + 燃烧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1592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2345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烘干废气</w:t>
            </w:r>
          </w:p>
        </w:tc>
        <w:tc>
          <w:tcPr>
            <w:tcW w:w="4336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1592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调配、清洗</w:t>
            </w:r>
          </w:p>
        </w:tc>
        <w:tc>
          <w:tcPr>
            <w:tcW w:w="2345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无组织废气</w:t>
            </w:r>
          </w:p>
        </w:tc>
        <w:tc>
          <w:tcPr>
            <w:tcW w:w="4336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</w:p>
        </w:tc>
      </w:tr>
    </w:tbl>
    <w:p>
      <w:pPr>
        <w:rPr>
          <w:rFonts w:ascii="Times New Roman" w:hAnsi="Times New Roman" w:eastAsia="仿宋_GB2312" w:cs="Times New Roman"/>
          <w:szCs w:val="21"/>
        </w:rPr>
      </w:pPr>
      <w:r>
        <w:rPr>
          <w:rFonts w:hint="eastAsia" w:ascii="Times New Roman" w:hAnsi="Times New Roman" w:eastAsia="仿宋_GB2312" w:cs="Times New Roman"/>
          <w:szCs w:val="21"/>
        </w:rPr>
        <w:t>注：以上处理工艺均在废气收集后进行</w:t>
      </w:r>
    </w:p>
    <w:p>
      <w:pPr>
        <w:pStyle w:val="2"/>
        <w:numPr>
          <w:ilvl w:val="0"/>
          <w:numId w:val="0"/>
        </w:numPr>
      </w:pPr>
      <w:bookmarkStart w:id="6" w:name="_Toc15315"/>
      <w:r>
        <w:rPr>
          <w:rFonts w:hint="eastAsia"/>
          <w:lang w:val="en-US" w:eastAsia="zh-CN"/>
        </w:rPr>
        <w:t>7、</w:t>
      </w:r>
      <w:r>
        <w:rPr>
          <w:rFonts w:hint="eastAsia"/>
        </w:rPr>
        <w:t>监测监控</w:t>
      </w:r>
      <w:bookmarkEnd w:id="6"/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企业应建立监测制度，制定监测方案，定期开展VOCs排放浓度监测，如有浓度大于VOCs排放浓度限制（见第2部分）的情形，及时排查VOCs来源，整改对应工序和环节。</w:t>
      </w:r>
    </w:p>
    <w:p>
      <w:pPr>
        <w:ind w:firstLine="562" w:firstLineChars="200"/>
        <w:jc w:val="center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b/>
          <w:bCs/>
          <w:color w:val="FF0000"/>
          <w:sz w:val="28"/>
          <w:szCs w:val="28"/>
        </w:rPr>
        <w:t>挥发性有机废气监测点位、指标和最低监测频次</w:t>
      </w:r>
    </w:p>
    <w:tbl>
      <w:tblPr>
        <w:tblStyle w:val="6"/>
        <w:tblpPr w:leftFromText="180" w:rightFromText="180" w:vertAnchor="text" w:horzAnchor="page" w:tblpXSpec="center" w:tblpY="660"/>
        <w:tblOverlap w:val="never"/>
        <w:tblW w:w="7175" w:type="dxa"/>
        <w:jc w:val="center"/>
        <w:tblCellSpacing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27"/>
        <w:gridCol w:w="1613"/>
        <w:gridCol w:w="1575"/>
        <w:gridCol w:w="1350"/>
        <w:gridCol w:w="131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2" w:hRule="atLeast"/>
          <w:tblCellSpacing w:w="0" w:type="dxa"/>
          <w:jc w:val="center"/>
        </w:trPr>
        <w:tc>
          <w:tcPr>
            <w:tcW w:w="1327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b/>
                <w:bCs/>
                <w:color w:val="FFFFFF"/>
              </w:rPr>
              <w:t>企业类型</w:t>
            </w:r>
          </w:p>
        </w:tc>
        <w:tc>
          <w:tcPr>
            <w:tcW w:w="1613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b/>
                <w:bCs/>
                <w:color w:val="FFFFFF"/>
              </w:rPr>
              <w:t>排放方式</w:t>
            </w:r>
          </w:p>
        </w:tc>
        <w:tc>
          <w:tcPr>
            <w:tcW w:w="1575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b/>
                <w:bCs/>
                <w:color w:val="FFFFFF"/>
              </w:rPr>
              <w:t>监测点位</w:t>
            </w:r>
          </w:p>
        </w:tc>
        <w:tc>
          <w:tcPr>
            <w:tcW w:w="135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b/>
                <w:bCs/>
                <w:color w:val="FFFFFF"/>
              </w:rPr>
              <w:t>监测指标</w:t>
            </w:r>
          </w:p>
        </w:tc>
        <w:tc>
          <w:tcPr>
            <w:tcW w:w="131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b/>
                <w:bCs/>
                <w:color w:val="FFFFFF"/>
              </w:rPr>
              <w:t>监测频次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tblCellSpacing w:w="0" w:type="dxa"/>
          <w:jc w:val="center"/>
        </w:trPr>
        <w:tc>
          <w:tcPr>
            <w:tcW w:w="1327" w:type="dxa"/>
            <w:vMerge w:val="restart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重点管理</w:t>
            </w:r>
          </w:p>
        </w:tc>
        <w:tc>
          <w:tcPr>
            <w:tcW w:w="1613" w:type="dxa"/>
            <w:vMerge w:val="restart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有组织排放</w:t>
            </w:r>
          </w:p>
        </w:tc>
        <w:tc>
          <w:tcPr>
            <w:tcW w:w="1575" w:type="dxa"/>
            <w:vMerge w:val="restart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印刷设备、烘干箱（间）设备、复合、涂布设备通过废气捕集装置后废气排气口</w:t>
            </w:r>
          </w:p>
        </w:tc>
        <w:tc>
          <w:tcPr>
            <w:tcW w:w="135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非甲烷总烃</w:t>
            </w:r>
          </w:p>
        </w:tc>
        <w:tc>
          <w:tcPr>
            <w:tcW w:w="131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自动/在线监测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6" w:hRule="atLeast"/>
          <w:tblCellSpacing w:w="0" w:type="dxa"/>
          <w:jc w:val="center"/>
        </w:trPr>
        <w:tc>
          <w:tcPr>
            <w:tcW w:w="1327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1613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1575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135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苯、甲苯、二甲苯</w:t>
            </w:r>
          </w:p>
        </w:tc>
        <w:tc>
          <w:tcPr>
            <w:tcW w:w="131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1次/半年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7" w:hRule="atLeast"/>
          <w:tblCellSpacing w:w="0" w:type="dxa"/>
          <w:jc w:val="center"/>
        </w:trPr>
        <w:tc>
          <w:tcPr>
            <w:tcW w:w="1327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1613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1575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其他生产废气排气口</w:t>
            </w:r>
          </w:p>
        </w:tc>
        <w:tc>
          <w:tcPr>
            <w:tcW w:w="135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非甲烷总烃、苯、甲苯、二甲苯</w:t>
            </w:r>
          </w:p>
        </w:tc>
        <w:tc>
          <w:tcPr>
            <w:tcW w:w="131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1次/年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  <w:tblCellSpacing w:w="0" w:type="dxa"/>
          <w:jc w:val="center"/>
        </w:trPr>
        <w:tc>
          <w:tcPr>
            <w:tcW w:w="1327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1613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无组织排放</w:t>
            </w:r>
          </w:p>
        </w:tc>
        <w:tc>
          <w:tcPr>
            <w:tcW w:w="1575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厂界</w:t>
            </w:r>
          </w:p>
        </w:tc>
        <w:tc>
          <w:tcPr>
            <w:tcW w:w="135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非甲烷总烃</w:t>
            </w:r>
          </w:p>
        </w:tc>
        <w:tc>
          <w:tcPr>
            <w:tcW w:w="131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1次/年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7" w:hRule="atLeast"/>
          <w:tblCellSpacing w:w="0" w:type="dxa"/>
          <w:jc w:val="center"/>
        </w:trPr>
        <w:tc>
          <w:tcPr>
            <w:tcW w:w="1327" w:type="dxa"/>
            <w:vMerge w:val="restart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简化管理</w:t>
            </w:r>
          </w:p>
        </w:tc>
        <w:tc>
          <w:tcPr>
            <w:tcW w:w="1613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有组织排放</w:t>
            </w:r>
          </w:p>
        </w:tc>
        <w:tc>
          <w:tcPr>
            <w:tcW w:w="1575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有机废气排气口</w:t>
            </w:r>
          </w:p>
        </w:tc>
        <w:tc>
          <w:tcPr>
            <w:tcW w:w="135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非甲烷总烃、苯、甲苯、二甲苯</w:t>
            </w:r>
          </w:p>
        </w:tc>
        <w:tc>
          <w:tcPr>
            <w:tcW w:w="1310" w:type="dxa"/>
            <w:vMerge w:val="restart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1次/年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7" w:hRule="atLeast"/>
          <w:tblCellSpacing w:w="0" w:type="dxa"/>
          <w:jc w:val="center"/>
        </w:trPr>
        <w:tc>
          <w:tcPr>
            <w:tcW w:w="1327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1613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无组织排放</w:t>
            </w:r>
          </w:p>
        </w:tc>
        <w:tc>
          <w:tcPr>
            <w:tcW w:w="1575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厂界</w:t>
            </w:r>
          </w:p>
        </w:tc>
        <w:tc>
          <w:tcPr>
            <w:tcW w:w="1350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color w:val="000000"/>
              </w:rPr>
              <w:t>非甲烷总烃</w:t>
            </w:r>
          </w:p>
        </w:tc>
        <w:tc>
          <w:tcPr>
            <w:tcW w:w="1310" w:type="dxa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</w:p>
        </w:tc>
      </w:tr>
    </w:tbl>
    <w:p>
      <w:pPr>
        <w:ind w:firstLine="560" w:firstLineChars="200"/>
        <w:rPr>
          <w:rFonts w:ascii="Times New Roman" w:hAnsi="Times New Roman" w:eastAsia="仿宋_GB2312" w:cs="Times New Roman"/>
          <w:color w:val="FF0000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仿宋_GB2312" w:cs="Times New Roman"/>
          <w:color w:val="FF0000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仿宋_GB2312" w:cs="Times New Roman"/>
          <w:color w:val="FF0000"/>
          <w:sz w:val="28"/>
          <w:szCs w:val="28"/>
        </w:rPr>
      </w:pPr>
    </w:p>
    <w:p>
      <w:pPr>
        <w:rPr>
          <w:rFonts w:ascii="Times New Roman" w:hAnsi="Times New Roman" w:eastAsia="仿宋_GB2312" w:cs="Times New Roman"/>
          <w:color w:val="FF0000"/>
          <w:sz w:val="28"/>
          <w:szCs w:val="28"/>
        </w:rPr>
      </w:pPr>
    </w:p>
    <w:p>
      <w:pPr>
        <w:pStyle w:val="2"/>
        <w:rPr>
          <w:rFonts w:hint="eastAsia"/>
        </w:rPr>
      </w:pPr>
      <w:bookmarkStart w:id="7" w:name="_Toc1224"/>
    </w:p>
    <w:p>
      <w:pPr>
        <w:pStyle w:val="2"/>
        <w:rPr>
          <w:rFonts w:hint="eastAsia"/>
        </w:rPr>
      </w:pPr>
    </w:p>
    <w:p>
      <w:pPr>
        <w:pStyle w:val="2"/>
      </w:pPr>
      <w:bookmarkStart w:id="10" w:name="_GoBack"/>
      <w:bookmarkEnd w:id="10"/>
      <w:r>
        <w:rPr>
          <w:rFonts w:hint="eastAsia"/>
        </w:rPr>
        <w:t>8、台账记录</w:t>
      </w:r>
      <w:bookmarkEnd w:id="7"/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按照电子化储存和纸质储存两种形式同步管理，保存期限不得少于5年，台账记录应包括但不限于含VOCs原辅材料、生产设施运行管理情况、污染治理设施运行管理信息、废气浓度监测等信息。</w:t>
      </w:r>
    </w:p>
    <w:p>
      <w:pPr>
        <w:ind w:firstLine="562" w:firstLineChars="200"/>
        <w:jc w:val="center"/>
        <w:rPr>
          <w:rFonts w:ascii="Times New Roman" w:hAnsi="Times New Roman" w:eastAsia="仿宋_GB2312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eastAsia="仿宋_GB2312" w:cs="Times New Roman"/>
          <w:b/>
          <w:bCs/>
          <w:color w:val="FF0000"/>
          <w:sz w:val="28"/>
          <w:szCs w:val="28"/>
        </w:rPr>
        <w:t>台账记录要求</w:t>
      </w:r>
    </w:p>
    <w:tbl>
      <w:tblPr>
        <w:tblStyle w:val="6"/>
        <w:tblW w:w="8273" w:type="dxa"/>
        <w:tblCellSpacing w:w="0" w:type="dxa"/>
        <w:tblInd w:w="153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881"/>
        <w:gridCol w:w="639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1881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b/>
                <w:bCs/>
                <w:color w:val="FFFFFF"/>
              </w:rPr>
              <w:t>监测点位</w:t>
            </w:r>
          </w:p>
        </w:tc>
        <w:tc>
          <w:tcPr>
            <w:tcW w:w="6392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  <w:jc w:val="center"/>
            </w:pPr>
            <w:r>
              <w:rPr>
                <w:rFonts w:ascii="Times New Roman" w:hAnsi="Times New Roman"/>
                <w:b/>
                <w:bCs/>
                <w:color w:val="FFFFFF"/>
              </w:rPr>
              <w:t>监测频次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1881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</w:pPr>
            <w:r>
              <w:rPr>
                <w:rFonts w:ascii="Times New Roman" w:hAnsi="Times New Roman"/>
                <w:color w:val="000000"/>
              </w:rPr>
              <w:t>含VOCs物料情况</w:t>
            </w:r>
          </w:p>
        </w:tc>
        <w:tc>
          <w:tcPr>
            <w:tcW w:w="6392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</w:pPr>
            <w:r>
              <w:rPr>
                <w:rFonts w:ascii="Times New Roman" w:hAnsi="Times New Roman"/>
                <w:color w:val="000000"/>
              </w:rPr>
              <w:t>含VOCs原辅材料（油墨、稀释剂、清洗剂、润版液、胶粘剂、复合胶、上光油、涂料等）名称及其VOCs含量，采购量、使用量、库存量，含VOCs原辅材料回收方式及回收量等。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1881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</w:pPr>
            <w:r>
              <w:rPr>
                <w:rFonts w:ascii="Times New Roman" w:hAnsi="Times New Roman"/>
                <w:color w:val="000000"/>
              </w:rPr>
              <w:t>生产设施运行管理</w:t>
            </w:r>
          </w:p>
        </w:tc>
        <w:tc>
          <w:tcPr>
            <w:tcW w:w="6392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</w:pPr>
            <w:r>
              <w:rPr>
                <w:rFonts w:ascii="Times New Roman" w:hAnsi="Times New Roman"/>
                <w:color w:val="000000"/>
              </w:rPr>
              <w:t>不同工艺类型主要产品产量；生产设施运行开始、停止时间。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1881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</w:pPr>
            <w:r>
              <w:rPr>
                <w:rFonts w:ascii="Times New Roman" w:hAnsi="Times New Roman"/>
                <w:color w:val="000000"/>
              </w:rPr>
              <w:t>污染治理设施运行管理</w:t>
            </w:r>
          </w:p>
        </w:tc>
        <w:tc>
          <w:tcPr>
            <w:tcW w:w="6392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</w:pPr>
            <w:r>
              <w:rPr>
                <w:rFonts w:ascii="Times New Roman" w:hAnsi="Times New Roman"/>
                <w:color w:val="000000"/>
              </w:rPr>
              <w:t>废气收集与处理设施运行参数（设施类型、进出口风量、治理效率、排放口高度等）和启停机时间；废气处理设施相关耗材（吸收剂、吸附剂、催化剂、蓄热体等）购买处置记录。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1881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</w:pPr>
            <w:r>
              <w:rPr>
                <w:rFonts w:ascii="Times New Roman" w:hAnsi="Times New Roman"/>
                <w:color w:val="000000"/>
              </w:rPr>
              <w:t>非正常工况</w:t>
            </w:r>
          </w:p>
        </w:tc>
        <w:tc>
          <w:tcPr>
            <w:tcW w:w="6392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</w:pPr>
            <w:r>
              <w:rPr>
                <w:rFonts w:ascii="Times New Roman" w:hAnsi="Times New Roman"/>
                <w:color w:val="000000"/>
              </w:rPr>
              <w:t>治理设施名称及编号、起止时间、污染物排放浓度、非正常原因、应对措施、是否报告等。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tblCellSpacing w:w="0" w:type="dxa"/>
        </w:trPr>
        <w:tc>
          <w:tcPr>
            <w:tcW w:w="1881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</w:pPr>
            <w:r>
              <w:rPr>
                <w:rFonts w:ascii="Times New Roman" w:hAnsi="Times New Roman"/>
                <w:color w:val="000000"/>
              </w:rPr>
              <w:t>废气监测情况</w:t>
            </w:r>
          </w:p>
        </w:tc>
        <w:tc>
          <w:tcPr>
            <w:tcW w:w="6392" w:type="dxa"/>
            <w:tcBorders>
              <w:top w:val="single" w:color="FFFFFF" w:sz="4" w:space="0"/>
              <w:left w:val="single" w:color="FFFFFF" w:sz="4" w:space="0"/>
              <w:bottom w:val="single" w:color="FFFFFF" w:sz="12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widowControl/>
            </w:pPr>
            <w:r>
              <w:rPr>
                <w:rFonts w:ascii="Times New Roman" w:hAnsi="Times New Roman"/>
                <w:color w:val="000000"/>
              </w:rPr>
              <w:t>有组织和无组织废气检测报告，包括废气处理设施进出口的监测数据（废气量、浓度、温度、含氧量等）；废气排放的污染物监测种类和连续的在线监测数据。</w:t>
            </w:r>
          </w:p>
        </w:tc>
      </w:tr>
    </w:tbl>
    <w:p>
      <w:pPr>
        <w:pStyle w:val="2"/>
        <w:numPr>
          <w:ilvl w:val="0"/>
          <w:numId w:val="0"/>
        </w:numPr>
        <w:ind w:leftChars="0"/>
        <w:rPr>
          <w:rFonts w:hint="eastAsia"/>
        </w:rPr>
      </w:pPr>
      <w:bookmarkStart w:id="8" w:name="_Toc15149"/>
      <w:r>
        <w:rPr>
          <w:rFonts w:hint="eastAsia"/>
          <w:lang w:val="en-US" w:eastAsia="zh-CN"/>
        </w:rPr>
        <w:t>9、</w:t>
      </w:r>
      <w:r>
        <w:rPr>
          <w:rFonts w:hint="eastAsia"/>
        </w:rPr>
        <w:t>行业企业常见问题示例</w:t>
      </w:r>
      <w:bookmarkEnd w:id="8"/>
    </w:p>
    <w:p>
      <w:pPr>
        <w:numPr>
          <w:ilvl w:val="0"/>
          <w:numId w:val="0"/>
        </w:numPr>
        <w:ind w:leftChars="0"/>
      </w:pP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t>（1）</w:t>
      </w:r>
      <w:r>
        <w:rPr>
          <w:rFonts w:ascii="Times New Roman" w:hAnsi="Times New Roman" w:eastAsia="仿宋_GB2312" w:cs="Times New Roman"/>
          <w:sz w:val="28"/>
          <w:szCs w:val="28"/>
        </w:rPr>
        <w:t>VOCs物料未封闭，无专用封闭储存空间</w:t>
      </w:r>
    </w:p>
    <w:p>
      <w:pPr>
        <w:ind w:firstLine="42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527050</wp:posOffset>
            </wp:positionH>
            <wp:positionV relativeFrom="paragraph">
              <wp:posOffset>173355</wp:posOffset>
            </wp:positionV>
            <wp:extent cx="3821430" cy="1327150"/>
            <wp:effectExtent l="0" t="0" r="1270" b="6350"/>
            <wp:wrapTight wrapText="bothSides">
              <wp:wrapPolygon>
                <wp:start x="0" y="0"/>
                <wp:lineTo x="0" y="21497"/>
                <wp:lineTo x="21535" y="21497"/>
                <wp:lineTo x="21535" y="0"/>
                <wp:lineTo x="0" y="0"/>
              </wp:wrapPolygon>
            </wp:wrapTight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143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630" w:firstLineChars="300"/>
        <w:rPr>
          <w:rFonts w:ascii="Times New Roman" w:hAnsi="Times New Roman" w:eastAsia="仿宋_GB2312" w:cs="Times New Roman"/>
          <w:sz w:val="28"/>
          <w:szCs w:val="28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394335</wp:posOffset>
            </wp:positionV>
            <wp:extent cx="3851275" cy="1333500"/>
            <wp:effectExtent l="0" t="0" r="9525" b="0"/>
            <wp:wrapTight wrapText="bothSides">
              <wp:wrapPolygon>
                <wp:start x="0" y="0"/>
                <wp:lineTo x="0" y="21394"/>
                <wp:lineTo x="21511" y="21394"/>
                <wp:lineTo x="21511" y="0"/>
                <wp:lineTo x="0" y="0"/>
              </wp:wrapPolygon>
            </wp:wrapTight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512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sz w:val="28"/>
          <w:szCs w:val="28"/>
        </w:rPr>
        <w:t>（2）调墨、加墨工序VOCs物料敞口，废气未收集</w:t>
      </w:r>
    </w:p>
    <w:p>
      <w:pPr>
        <w:ind w:firstLine="840" w:firstLineChars="300"/>
        <w:rPr>
          <w:rFonts w:hint="eastAsia" w:ascii="Times New Roman" w:hAnsi="Times New Roman" w:eastAsia="仿宋_GB2312" w:cs="Times New Roman"/>
          <w:sz w:val="28"/>
          <w:szCs w:val="28"/>
        </w:rPr>
      </w:pPr>
    </w:p>
    <w:p>
      <w:pPr>
        <w:rPr>
          <w:rFonts w:hint="eastAsia" w:ascii="Times New Roman" w:hAnsi="Times New Roman" w:eastAsia="仿宋_GB2312" w:cs="Times New Roman"/>
          <w:sz w:val="28"/>
          <w:szCs w:val="28"/>
        </w:rPr>
      </w:pPr>
    </w:p>
    <w:p>
      <w:pPr>
        <w:rPr>
          <w:rFonts w:hint="eastAsia" w:ascii="Times New Roman" w:hAnsi="Times New Roman" w:eastAsia="仿宋_GB2312" w:cs="Times New Roman"/>
          <w:sz w:val="28"/>
          <w:szCs w:val="28"/>
        </w:rPr>
      </w:pPr>
    </w:p>
    <w:p>
      <w:pPr>
        <w:rPr>
          <w:rFonts w:hint="eastAsia"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t>（3）车间VOCs物料废包装等未及时收集和封闭保存</w:t>
      </w:r>
    </w:p>
    <w:p>
      <w:pPr>
        <w:ind w:firstLine="630" w:firstLineChars="300"/>
        <w:rPr>
          <w:rFonts w:ascii="Times New Roman" w:hAnsi="Times New Roman" w:eastAsia="仿宋_GB2312" w:cs="Times New Roman"/>
          <w:sz w:val="28"/>
          <w:szCs w:val="28"/>
        </w:r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560705</wp:posOffset>
            </wp:positionH>
            <wp:positionV relativeFrom="paragraph">
              <wp:posOffset>127635</wp:posOffset>
            </wp:positionV>
            <wp:extent cx="3852545" cy="1341120"/>
            <wp:effectExtent l="0" t="0" r="8255" b="5080"/>
            <wp:wrapTight wrapText="bothSides">
              <wp:wrapPolygon>
                <wp:start x="0" y="0"/>
                <wp:lineTo x="0" y="21477"/>
                <wp:lineTo x="21504" y="21477"/>
                <wp:lineTo x="21504" y="0"/>
                <wp:lineTo x="0" y="0"/>
              </wp:wrapPolygon>
            </wp:wrapTight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52545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840" w:firstLineChars="3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840" w:firstLineChars="3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840" w:firstLineChars="3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t>（4）废气收集系统老化、过高、风量不达标等</w:t>
      </w:r>
    </w:p>
    <w:p>
      <w:pPr>
        <w:ind w:firstLine="630" w:firstLineChars="300"/>
        <w:rPr>
          <w:rFonts w:ascii="Times New Roman" w:hAnsi="Times New Roman" w:eastAsia="仿宋_GB2312" w:cs="Times New Roman"/>
          <w:sz w:val="28"/>
          <w:szCs w:val="28"/>
        </w:rPr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12065</wp:posOffset>
            </wp:positionV>
            <wp:extent cx="3884930" cy="1355090"/>
            <wp:effectExtent l="0" t="0" r="1270" b="3810"/>
            <wp:wrapTight wrapText="bothSides">
              <wp:wrapPolygon>
                <wp:start x="0" y="0"/>
                <wp:lineTo x="0" y="21458"/>
                <wp:lineTo x="21536" y="21458"/>
                <wp:lineTo x="21536" y="0"/>
                <wp:lineTo x="0" y="0"/>
              </wp:wrapPolygon>
            </wp:wrapTight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4930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840" w:firstLineChars="3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840" w:firstLineChars="3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840" w:firstLineChars="3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840" w:firstLineChars="300"/>
        <w:rPr>
          <w:rFonts w:hint="eastAsia" w:ascii="Times New Roman" w:hAnsi="Times New Roman" w:eastAsia="仿宋_GB2312" w:cs="Times New Roman"/>
          <w:sz w:val="28"/>
          <w:szCs w:val="28"/>
        </w:rPr>
      </w:pPr>
    </w:p>
    <w:p>
      <w:pPr>
        <w:ind w:firstLine="840" w:firstLineChars="300"/>
        <w:rPr>
          <w:rFonts w:hint="eastAsia" w:ascii="Times New Roman" w:hAnsi="Times New Roman" w:eastAsia="仿宋_GB2312" w:cs="Times New Roman"/>
          <w:sz w:val="28"/>
          <w:szCs w:val="28"/>
        </w:rPr>
      </w:pPr>
    </w:p>
    <w:p>
      <w:pPr>
        <w:ind w:firstLine="630" w:firstLineChars="300"/>
        <w:rPr>
          <w:rFonts w:ascii="Times New Roman" w:hAnsi="Times New Roman" w:eastAsia="仿宋_GB2312" w:cs="Times New Roman"/>
          <w:sz w:val="28"/>
          <w:szCs w:val="28"/>
        </w:rPr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553085</wp:posOffset>
            </wp:positionH>
            <wp:positionV relativeFrom="paragraph">
              <wp:posOffset>365760</wp:posOffset>
            </wp:positionV>
            <wp:extent cx="3902075" cy="1435100"/>
            <wp:effectExtent l="0" t="0" r="9525" b="0"/>
            <wp:wrapTight wrapText="bothSides">
              <wp:wrapPolygon>
                <wp:start x="0" y="0"/>
                <wp:lineTo x="0" y="21409"/>
                <wp:lineTo x="21512" y="21409"/>
                <wp:lineTo x="21512" y="0"/>
                <wp:lineTo x="0" y="0"/>
              </wp:wrapPolygon>
            </wp:wrapTight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207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sz w:val="28"/>
          <w:szCs w:val="28"/>
        </w:rPr>
        <w:t>（5）车间密封效果差，管道破损</w:t>
      </w:r>
    </w:p>
    <w:p>
      <w:pPr>
        <w:ind w:firstLine="840" w:firstLineChars="3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hint="eastAsia"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hint="eastAsia"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t>（6）低浓度废气未进行浓缩，与高浓度废气混合进入RTO</w:t>
      </w:r>
    </w:p>
    <w:p>
      <w:pPr>
        <w:ind w:firstLine="630" w:firstLineChars="300"/>
        <w:rPr>
          <w:rFonts w:ascii="Times New Roman" w:hAnsi="Times New Roman" w:eastAsia="仿宋_GB2312" w:cs="Times New Roman"/>
          <w:sz w:val="28"/>
          <w:szCs w:val="28"/>
        </w:rPr>
      </w:pP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107315</wp:posOffset>
            </wp:positionV>
            <wp:extent cx="4122420" cy="1422400"/>
            <wp:effectExtent l="0" t="0" r="5080" b="0"/>
            <wp:wrapTight wrapText="bothSides">
              <wp:wrapPolygon>
                <wp:start x="0" y="0"/>
                <wp:lineTo x="0" y="21407"/>
                <wp:lineTo x="21560" y="21407"/>
                <wp:lineTo x="21560" y="0"/>
                <wp:lineTo x="0" y="0"/>
              </wp:wrapPolygon>
            </wp:wrapTight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2242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840" w:firstLineChars="3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840" w:firstLineChars="3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840" w:firstLineChars="3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t>（7）末端治理设施老旧、缺少针对性，治理效果差</w:t>
      </w:r>
    </w:p>
    <w:p>
      <w:pPr>
        <w:rPr>
          <w:rFonts w:ascii="Times New Roman" w:hAnsi="Times New Roman" w:eastAsia="仿宋_GB2312" w:cs="Times New Roman"/>
          <w:sz w:val="28"/>
          <w:szCs w:val="28"/>
        </w:rPr>
      </w:pP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515620</wp:posOffset>
            </wp:positionH>
            <wp:positionV relativeFrom="paragraph">
              <wp:posOffset>97790</wp:posOffset>
            </wp:positionV>
            <wp:extent cx="4140835" cy="1566545"/>
            <wp:effectExtent l="0" t="0" r="12065" b="8255"/>
            <wp:wrapTight wrapText="bothSides">
              <wp:wrapPolygon>
                <wp:start x="0" y="0"/>
                <wp:lineTo x="0" y="21364"/>
                <wp:lineTo x="21530" y="21364"/>
                <wp:lineTo x="21530" y="0"/>
                <wp:lineTo x="0" y="0"/>
              </wp:wrapPolygon>
            </wp:wrapTight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4083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numPr>
          <w:ilvl w:val="0"/>
          <w:numId w:val="2"/>
        </w:num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t>治理设施参数不当、物料更换不及时、质量不达标</w:t>
      </w:r>
    </w:p>
    <w:p>
      <w:pPr>
        <w:rPr>
          <w:rFonts w:ascii="Times New Roman" w:hAnsi="Times New Roman" w:eastAsia="仿宋_GB2312" w:cs="Times New Roman"/>
          <w:sz w:val="28"/>
          <w:szCs w:val="28"/>
        </w:rPr>
      </w:pP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50800</wp:posOffset>
            </wp:positionV>
            <wp:extent cx="4090035" cy="1574800"/>
            <wp:effectExtent l="0" t="0" r="12065" b="0"/>
            <wp:wrapTight wrapText="bothSides">
              <wp:wrapPolygon>
                <wp:start x="0" y="0"/>
                <wp:lineTo x="0" y="21426"/>
                <wp:lineTo x="21530" y="21426"/>
                <wp:lineTo x="21530" y="0"/>
                <wp:lineTo x="0" y="0"/>
              </wp:wrapPolygon>
            </wp:wrapTight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sz w:val="28"/>
          <w:szCs w:val="28"/>
        </w:rPr>
        <w:t xml:space="preserve"> </w:t>
      </w:r>
    </w:p>
    <w:p>
      <w:pPr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hint="eastAsia"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hint="eastAsia"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t>（9）缺少详细的台账记录，关键信息缺失</w:t>
      </w:r>
    </w:p>
    <w:p>
      <w:pPr>
        <w:ind w:firstLine="420" w:firstLineChars="200"/>
        <w:jc w:val="center"/>
        <w:rPr>
          <w:rFonts w:ascii="Times New Roman" w:hAnsi="Times New Roman" w:eastAsia="仿宋_GB2312" w:cs="Times New Roman"/>
          <w:sz w:val="28"/>
          <w:szCs w:val="28"/>
        </w:rPr>
      </w:pPr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128270</wp:posOffset>
            </wp:positionV>
            <wp:extent cx="4091940" cy="1517650"/>
            <wp:effectExtent l="0" t="0" r="10160" b="6350"/>
            <wp:wrapTight wrapText="bothSides">
              <wp:wrapPolygon>
                <wp:start x="0" y="0"/>
                <wp:lineTo x="0" y="21510"/>
                <wp:lineTo x="21520" y="21510"/>
                <wp:lineTo x="21520" y="0"/>
                <wp:lineTo x="0" y="0"/>
              </wp:wrapPolygon>
            </wp:wrapTight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0" w:firstLineChars="200"/>
        <w:jc w:val="center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jc w:val="center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jc w:val="center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jc w:val="center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560" w:firstLineChars="200"/>
        <w:jc w:val="center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pStyle w:val="2"/>
        <w:numPr>
          <w:ilvl w:val="0"/>
          <w:numId w:val="3"/>
        </w:numPr>
      </w:pPr>
      <w:bookmarkStart w:id="9" w:name="_Toc350"/>
      <w:r>
        <w:rPr>
          <w:rFonts w:hint="eastAsia"/>
        </w:rPr>
        <w:t>参考文件</w:t>
      </w:r>
      <w:bookmarkEnd w:id="9"/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5" w:leftChars="0" w:firstLine="560" w:firstLineChars="200"/>
        <w:textAlignment w:val="auto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《中华人民共和国大气污染防治法》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5" w:leftChars="0" w:firstLine="560" w:firstLineChars="200"/>
        <w:textAlignment w:val="auto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《印刷工业污染防治可行技术指南》(HJ 1089-2020)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5" w:leftChars="0" w:firstLine="560" w:firstLineChars="200"/>
        <w:textAlignment w:val="auto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《挥发性有机物无组织排放控制标准》（ GB 37822-2019）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5" w:leftChars="0" w:firstLine="560" w:firstLineChars="200"/>
        <w:textAlignment w:val="auto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《排污许可证申请与核发技术规范 印刷工业》( HJ 1066-2019)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5" w:leftChars="0" w:firstLine="560" w:firstLineChars="200"/>
        <w:textAlignment w:val="auto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《印刷工业挥发性有机物排放标准》(DB41/ 1956-2020)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5" w:leftChars="0" w:firstLine="560" w:firstLineChars="200"/>
        <w:textAlignment w:val="auto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《挥发性有机物治理实用手册（第二版）》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5" w:leftChars="0" w:firstLine="560" w:firstLineChars="200"/>
        <w:textAlignment w:val="auto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《重点行业企业挥发性有机物现场检查指南（试行）》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5" w:leftChars="0" w:firstLine="560" w:firstLineChars="200"/>
        <w:textAlignment w:val="auto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《油墨中可挥发性有机化合物(VOCs)含量限值》(GB 38507—2020)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5" w:leftChars="0" w:firstLine="560" w:firstLineChars="200"/>
        <w:textAlignment w:val="auto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《胶粘剂挥发性有机化合物限量》(GB 33372-2020）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5" w:leftChars="0" w:firstLine="560" w:firstLineChars="200"/>
        <w:textAlignment w:val="auto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《清洗剂挥发性有机化合物含量限值》（GB 38508-2020)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5" w:leftChars="0" w:firstLine="560" w:firstLineChars="200"/>
        <w:textAlignment w:val="auto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《工业防护涂料中有害物质限量》（GB 30981-2020)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5" w:leftChars="0" w:firstLine="560" w:firstLineChars="200"/>
        <w:textAlignment w:val="auto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《低挥发性有机化合物含量涂料产品技术要术》（GB/T 38597-2020)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5" w:leftChars="0" w:firstLine="560" w:firstLineChars="200"/>
        <w:textAlignment w:val="auto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《环境工程设计文件编制指南》(HJ 2050-2015)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5" w:leftChars="0" w:firstLine="560" w:firstLineChars="200"/>
        <w:textAlignment w:val="auto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《排污单位环境管理台账及排污许可证执行报告技术规范总则（试行）》(HJ944-2018)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ascii="Times New Roman" w:hAnsi="Times New Roman" w:eastAsia="仿宋_GB2312" w:cs="Times New Roman"/>
          <w:sz w:val="28"/>
          <w:szCs w:val="28"/>
        </w:rPr>
      </w:pPr>
    </w:p>
    <w:p/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80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360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2E8DC74"/>
    <w:multiLevelType w:val="singleLevel"/>
    <w:tmpl w:val="D2E8DC74"/>
    <w:lvl w:ilvl="0" w:tentative="0">
      <w:start w:val="1"/>
      <w:numFmt w:val="decimal"/>
      <w:lvlText w:val="%1."/>
      <w:lvlJc w:val="left"/>
      <w:pPr>
        <w:tabs>
          <w:tab w:val="left" w:pos="-420"/>
        </w:tabs>
        <w:ind w:left="5" w:hanging="425"/>
      </w:pPr>
      <w:rPr>
        <w:rFonts w:hint="default"/>
      </w:rPr>
    </w:lvl>
  </w:abstractNum>
  <w:abstractNum w:abstractNumId="1">
    <w:nsid w:val="E80FB0AD"/>
    <w:multiLevelType w:val="singleLevel"/>
    <w:tmpl w:val="E80FB0AD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F0B4D11B"/>
    <w:multiLevelType w:val="singleLevel"/>
    <w:tmpl w:val="F0B4D11B"/>
    <w:lvl w:ilvl="0" w:tentative="0">
      <w:start w:val="10"/>
      <w:numFmt w:val="decimal"/>
      <w:suff w:val="nothing"/>
      <w:lvlText w:val="%1、"/>
      <w:lvlJc w:val="left"/>
    </w:lvl>
  </w:abstractNum>
  <w:abstractNum w:abstractNumId="3">
    <w:nsid w:val="34EDCB7F"/>
    <w:multiLevelType w:val="singleLevel"/>
    <w:tmpl w:val="34EDCB7F"/>
    <w:lvl w:ilvl="0" w:tentative="0">
      <w:start w:val="8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456F75"/>
    <w:rsid w:val="24A13C9E"/>
    <w:rsid w:val="60456F75"/>
    <w:rsid w:val="ED7B7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0"/>
    <w:pPr>
      <w:keepNext/>
      <w:keepLines/>
      <w:spacing w:before="200" w:beforeLines="0" w:beforeAutospacing="0" w:after="200" w:afterLines="0" w:afterAutospacing="0" w:line="360" w:lineRule="auto"/>
      <w:outlineLvl w:val="0"/>
    </w:pPr>
    <w:rPr>
      <w:rFonts w:ascii="Times New Roman" w:hAnsi="Times New Roman" w:eastAsia="仿宋"/>
      <w:b/>
      <w:kern w:val="44"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8">
    <w:name w:val="标题 1 Char"/>
    <w:link w:val="2"/>
    <w:qFormat/>
    <w:uiPriority w:val="0"/>
    <w:rPr>
      <w:rFonts w:ascii="Times New Roman" w:hAnsi="Times New Roman" w:eastAsia="仿宋"/>
      <w:b/>
      <w:kern w:val="44"/>
      <w:sz w:val="32"/>
    </w:rPr>
  </w:style>
  <w:style w:type="paragraph" w:customStyle="1" w:styleId="9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Office_11.8.2.11625_F1E327BC-269C-435d-A152-05C5408002CA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2023-08-10T15:55:00Z</dcterms:created>
  <dc:creator>少年</dc:creator>
  <cp:lastModifiedBy>huanghe</cp:lastModifiedBy>
  <dcterms:modified xsi:type="dcterms:W3CDTF">2023-08-29T11:09:14Z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2052-11.8.2.11625</vt:lpwstr>
  </property>
  <property fmtid="{D5CDD505-2E9C-101B-9397-08002B2CF9AE}" pid="3" name="ICV">
    <vt:lpwstr>0AE05AEF5F214025A95CAF79EAB4A0F0</vt:lpwstr>
  </property>
</Properties>
</file>