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24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keepNext w:val="0"/>
        <w:keepLines w:val="0"/>
        <w:pageBreakBefore w:val="0"/>
        <w:kinsoku/>
        <w:wordWrap/>
        <w:overflowPunct/>
        <w:topLinePunct w:val="0"/>
        <w:bidi w:val="0"/>
        <w:snapToGrid/>
        <w:spacing w:line="240" w:lineRule="auto"/>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红世佳新型材料有限公司年产200吨新型化纤制品</w:t>
      </w:r>
      <w:r>
        <w:rPr>
          <w:rFonts w:hint="eastAsia" w:ascii="方正小标宋简体" w:hAnsi="方正小标宋简体" w:eastAsia="方正小标宋简体" w:cs="方正小标宋简体"/>
          <w:b/>
          <w:sz w:val="44"/>
          <w:szCs w:val="44"/>
        </w:rPr>
        <w:t>项目环境影响报告表的批复</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w:t>
      </w:r>
      <w:r>
        <w:rPr>
          <w:rFonts w:hint="eastAsia" w:ascii="仿宋_GB2312" w:hAnsi="仿宋_GB2312" w:eastAsia="仿宋_GB2312" w:cs="仿宋_GB2312"/>
          <w:sz w:val="32"/>
          <w:szCs w:val="32"/>
          <w:lang w:val="en-US" w:eastAsia="zh-CN"/>
        </w:rPr>
        <w:t>红世佳新型材料有限公司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你公司（统一社会信用代码：91411</w:t>
      </w:r>
      <w:r>
        <w:rPr>
          <w:rFonts w:hint="eastAsia" w:ascii="仿宋_GB2312" w:hAnsi="仿宋_GB2312" w:eastAsia="仿宋_GB2312" w:cs="仿宋_GB2312"/>
          <w:sz w:val="32"/>
          <w:szCs w:val="32"/>
          <w:lang w:val="en-US" w:eastAsia="zh-CN"/>
        </w:rPr>
        <w:t>000MA47YKGM25</w:t>
      </w:r>
      <w:r>
        <w:rPr>
          <w:rFonts w:hint="eastAsia" w:ascii="仿宋_GB2312" w:hAnsi="仿宋_GB2312" w:eastAsia="仿宋_GB2312" w:cs="仿宋_GB2312"/>
          <w:sz w:val="32"/>
          <w:szCs w:val="32"/>
        </w:rPr>
        <w:t>）上报的由</w:t>
      </w:r>
      <w:r>
        <w:rPr>
          <w:rFonts w:hint="eastAsia" w:ascii="仿宋_GB2312" w:hAnsi="仿宋_GB2312" w:eastAsia="仿宋_GB2312" w:cs="仿宋_GB2312"/>
          <w:sz w:val="32"/>
          <w:szCs w:val="32"/>
          <w:lang w:val="en-US" w:eastAsia="zh-CN"/>
        </w:rPr>
        <w:t>河南汇能阜力科技股份</w:t>
      </w:r>
      <w:r>
        <w:rPr>
          <w:rFonts w:hint="eastAsia" w:ascii="仿宋_GB2312" w:hAnsi="仿宋_GB2312" w:eastAsia="仿宋_GB2312" w:cs="仿宋_GB2312"/>
          <w:sz w:val="32"/>
          <w:szCs w:val="32"/>
        </w:rPr>
        <w:t>有限公司编制完成的《许昌</w:t>
      </w:r>
      <w:r>
        <w:rPr>
          <w:rFonts w:hint="eastAsia" w:ascii="仿宋_GB2312" w:hAnsi="仿宋_GB2312" w:eastAsia="仿宋_GB2312" w:cs="仿宋_GB2312"/>
          <w:sz w:val="32"/>
          <w:szCs w:val="32"/>
          <w:lang w:val="en-US" w:eastAsia="zh-CN"/>
        </w:rPr>
        <w:t>红世佳新型材料有限公司年产200吨新型化纤制品</w:t>
      </w:r>
      <w:r>
        <w:rPr>
          <w:rFonts w:hint="eastAsia" w:ascii="仿宋_GB2312" w:hAnsi="仿宋_GB2312" w:eastAsia="仿宋_GB2312" w:cs="仿宋_GB2312"/>
          <w:sz w:val="32"/>
          <w:szCs w:val="32"/>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表》内容符合国家有关法律法规要求和建设项目环境管理规定，评价结论可信。我局批准该《报告表》，原则同意你公司按照《报告表》所列项目的性质、规模、地点、采用的生产工艺和环境保护对策进行项目建设。你公司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rPr>
      </w:pPr>
      <w:r>
        <w:rPr>
          <w:rFonts w:hint="eastAsia" w:ascii="仿宋" w:hAnsi="仿宋" w:eastAsia="仿宋" w:cs="仿宋"/>
          <w:sz w:val="32"/>
          <w:szCs w:val="32"/>
        </w:rPr>
        <w:t>二、项目位于</w:t>
      </w:r>
      <w:r>
        <w:rPr>
          <w:rFonts w:hint="eastAsia" w:ascii="Times New Roman" w:hAnsi="Times New Roman" w:eastAsia="仿宋" w:cs="Times New Roman"/>
          <w:color w:val="auto"/>
          <w:sz w:val="32"/>
          <w:szCs w:val="32"/>
          <w:lang w:val="en-US" w:eastAsia="zh-CN"/>
        </w:rPr>
        <w:t>许昌经济技术开发区正德铸造院内</w:t>
      </w:r>
      <w:r>
        <w:rPr>
          <w:rFonts w:hint="eastAsia" w:ascii="仿宋" w:hAnsi="仿宋" w:eastAsia="仿宋" w:cs="仿宋"/>
          <w:sz w:val="32"/>
          <w:szCs w:val="32"/>
        </w:rPr>
        <w:t>，</w:t>
      </w:r>
      <w:r>
        <w:rPr>
          <w:rFonts w:hint="eastAsia" w:ascii="Times New Roman" w:hAnsi="Times New Roman" w:eastAsia="仿宋" w:cs="Times New Roman"/>
          <w:color w:val="auto"/>
          <w:sz w:val="32"/>
          <w:szCs w:val="32"/>
          <w:lang w:val="en-US" w:eastAsia="zh-CN"/>
        </w:rPr>
        <w:t>租用正德铸造建成车间二楼，主要工艺为上料、干燥、混合、挤出、冷却、拉伸定型、收丝、剪断</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三、你公司应全面落实《报告表》提出的各项环境保护措施，确保各项环境保护设施与主体工程同时设计、同时施工、同时投入使用，确保各项污染物达标排放。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（一）向设计单位提供《报告表》和本批复文件，确保项目设计按照环境保护设计规范要求，落实防治环境污染和生态破坏的措施以及环保设施投资概算。</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（二）依据《报告表》和本批复文件，对项目建设过程中产生的废水、废气、固体废物、噪声等污染采取相应的防治措施。</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项目外排污染物应满足以下要求：</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ascii="Times New Roman" w:hAnsi="Times New Roman" w:eastAsia="仿宋"/>
          <w:color w:val="auto"/>
          <w:sz w:val="32"/>
          <w:szCs w:val="32"/>
        </w:rPr>
      </w:pPr>
      <w:r>
        <w:rPr>
          <w:rFonts w:hint="eastAsia" w:ascii="仿宋_GB2312" w:hAnsi="仿宋_GB2312" w:eastAsia="仿宋_GB2312" w:cs="仿宋_GB2312"/>
          <w:color w:val="000000"/>
          <w:sz w:val="32"/>
          <w:szCs w:val="32"/>
        </w:rPr>
        <w:t>1、废水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项目冷却水循环使用，只补充不外排；生活废水经化粪池预处理后排入屯南三达水务有限公司，污染物排放需满足《污水综合排放标准》（GB8978-1996）三级标准及屯南三达水务有限公司收水指标要求。</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2、废气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本项目废气</w:t>
      </w:r>
      <w:r>
        <w:rPr>
          <w:rFonts w:hint="eastAsia" w:ascii="仿宋_GB2312" w:hAnsi="仿宋_GB2312" w:eastAsia="仿宋_GB2312" w:cs="仿宋_GB2312"/>
          <w:color w:val="000000"/>
          <w:sz w:val="32"/>
          <w:szCs w:val="32"/>
          <w:lang w:val="en-US" w:eastAsia="zh-CN"/>
        </w:rPr>
        <w:t>主要为挤出机熔融过程和拉伸定型工序产生的有机废气。</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在封闭车间内对生产线进行二次封闭，并在挤出机出口和定型机进口设置集气罩</w:t>
      </w:r>
      <w:r>
        <w:rPr>
          <w:rFonts w:hint="eastAsia" w:ascii="仿宋_GB2312" w:hAnsi="仿宋_GB2312" w:eastAsia="仿宋_GB2312" w:cs="仿宋_GB2312"/>
          <w:color w:val="000000"/>
          <w:sz w:val="32"/>
          <w:szCs w:val="32"/>
        </w:rPr>
        <w:t>，收集后</w:t>
      </w:r>
      <w:r>
        <w:rPr>
          <w:rFonts w:hint="eastAsia" w:ascii="仿宋_GB2312" w:hAnsi="仿宋_GB2312" w:eastAsia="仿宋_GB2312" w:cs="仿宋_GB2312"/>
          <w:color w:val="000000"/>
          <w:sz w:val="32"/>
          <w:szCs w:val="32"/>
          <w:lang w:val="en-US" w:eastAsia="zh-CN"/>
        </w:rPr>
        <w:t>的废气通过UV光解催化+活性炭吸附</w:t>
      </w:r>
      <w:r>
        <w:rPr>
          <w:rFonts w:hint="eastAsia" w:ascii="仿宋_GB2312" w:hAnsi="仿宋_GB2312" w:eastAsia="仿宋_GB2312" w:cs="仿宋_GB2312"/>
          <w:color w:val="000000"/>
          <w:sz w:val="32"/>
          <w:szCs w:val="32"/>
        </w:rPr>
        <w:t>处理后经15m高排气筒排放。</w:t>
      </w:r>
      <w:r>
        <w:rPr>
          <w:rFonts w:hint="eastAsia" w:ascii="仿宋_GB2312" w:hAnsi="仿宋_GB2312" w:eastAsia="仿宋_GB2312" w:cs="仿宋_GB2312"/>
          <w:color w:val="000000"/>
          <w:sz w:val="32"/>
          <w:szCs w:val="32"/>
          <w:lang w:val="en-US" w:eastAsia="zh-CN"/>
        </w:rPr>
        <w:t>非甲烷总烃排放浓度应满足</w:t>
      </w:r>
      <w:r>
        <w:rPr>
          <w:rFonts w:hint="eastAsia" w:ascii="Times New Roman" w:hAnsi="Times New Roman" w:eastAsia="仿宋"/>
          <w:color w:val="auto"/>
          <w:sz w:val="32"/>
          <w:szCs w:val="32"/>
          <w:lang w:val="en-US" w:eastAsia="zh-CN"/>
        </w:rPr>
        <w:t>《关于全省开展工业企业挥发性有机物专项治理工作中排放建议值的通知》（豫环攻坚办</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2017</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162号）（非甲烷总烃</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80mg/m</w:t>
      </w:r>
      <w:r>
        <w:rPr>
          <w:rFonts w:hint="eastAsia" w:ascii="Times New Roman" w:hAnsi="Times New Roman" w:eastAsia="仿宋"/>
          <w:color w:val="auto"/>
          <w:sz w:val="32"/>
          <w:szCs w:val="32"/>
          <w:vertAlign w:val="superscript"/>
          <w:lang w:val="en-US" w:eastAsia="zh-CN"/>
        </w:rPr>
        <w:t>3</w:t>
      </w:r>
      <w:r>
        <w:rPr>
          <w:rFonts w:hint="eastAsia" w:ascii="Times New Roman" w:hAnsi="Times New Roman" w:eastAsia="仿宋"/>
          <w:color w:val="auto"/>
          <w:sz w:val="32"/>
          <w:szCs w:val="32"/>
          <w:lang w:val="en-US" w:eastAsia="zh-CN"/>
        </w:rPr>
        <w:t>）的要求</w:t>
      </w:r>
      <w:r>
        <w:rPr>
          <w:rFonts w:hint="eastAsia" w:ascii="仿宋_GB2312" w:hAnsi="仿宋_GB2312" w:eastAsia="仿宋_GB2312" w:cs="仿宋_GB2312"/>
          <w:color w:val="000000"/>
          <w:sz w:val="32"/>
          <w:szCs w:val="32"/>
        </w:rPr>
        <w:t>。</w:t>
      </w:r>
    </w:p>
    <w:p>
      <w:pPr>
        <w:pStyle w:val="8"/>
        <w:keepNext w:val="0"/>
        <w:keepLines w:val="0"/>
        <w:pageBreakBefore w:val="0"/>
        <w:tabs>
          <w:tab w:val="left" w:pos="8598"/>
        </w:tabs>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3、噪声。项目噪声主要由</w:t>
      </w:r>
      <w:r>
        <w:rPr>
          <w:rFonts w:hint="eastAsia" w:ascii="仿宋_GB2312" w:hAnsi="仿宋_GB2312" w:eastAsia="仿宋_GB2312" w:cs="仿宋_GB2312"/>
          <w:color w:val="000000"/>
          <w:sz w:val="32"/>
          <w:szCs w:val="32"/>
          <w:lang w:val="en-US" w:eastAsia="zh-CN"/>
        </w:rPr>
        <w:t>干燥机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混合机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挤出机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绕线机、风机</w:t>
      </w:r>
      <w:r>
        <w:rPr>
          <w:rFonts w:hint="eastAsia" w:ascii="仿宋_GB2312" w:hAnsi="仿宋_GB2312" w:eastAsia="仿宋_GB2312" w:cs="仿宋_GB2312"/>
          <w:color w:val="000000"/>
          <w:sz w:val="32"/>
          <w:szCs w:val="32"/>
        </w:rPr>
        <w:t>等设备产生，</w:t>
      </w:r>
      <w:r>
        <w:rPr>
          <w:rFonts w:hint="eastAsia" w:ascii="仿宋_GB2312" w:hAnsi="仿宋_GB2312" w:eastAsia="仿宋_GB2312" w:cs="仿宋_GB2312"/>
          <w:color w:val="000000"/>
          <w:sz w:val="32"/>
          <w:szCs w:val="32"/>
          <w:lang w:val="en-US" w:eastAsia="zh-CN"/>
        </w:rPr>
        <w:t>采取隔音减振措施后需</w:t>
      </w:r>
      <w:r>
        <w:rPr>
          <w:rFonts w:hint="eastAsia" w:ascii="仿宋_GB2312" w:hAnsi="仿宋_GB2312" w:eastAsia="仿宋_GB2312" w:cs="仿宋_GB2312"/>
          <w:color w:val="000000"/>
          <w:sz w:val="32"/>
          <w:szCs w:val="32"/>
        </w:rPr>
        <w:t>满足《工业企业厂界环境噪声排放标准》（GB12348-2008）2类标准要求。</w:t>
      </w:r>
    </w:p>
    <w:p>
      <w:pPr>
        <w:pStyle w:val="8"/>
        <w:keepNext w:val="0"/>
        <w:keepLines w:val="0"/>
        <w:pageBreakBefore w:val="0"/>
        <w:tabs>
          <w:tab w:val="left" w:pos="8598"/>
        </w:tabs>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4、固废。项目固体废物主要为生活垃圾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废边角料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废UV灯管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废催化剂、</w:t>
      </w:r>
      <w:r>
        <w:rPr>
          <w:rFonts w:hint="eastAsia" w:ascii="仿宋_GB2312" w:hAnsi="仿宋_GB2312" w:eastAsia="仿宋_GB2312" w:cs="仿宋_GB2312"/>
          <w:color w:val="000000"/>
          <w:sz w:val="32"/>
          <w:szCs w:val="32"/>
        </w:rPr>
        <w:t>废活性炭。</w:t>
      </w:r>
      <w:r>
        <w:rPr>
          <w:rFonts w:hint="eastAsia" w:ascii="Times New Roman" w:hAnsi="Times New Roman" w:eastAsia="仿宋"/>
          <w:color w:val="auto"/>
          <w:sz w:val="32"/>
          <w:szCs w:val="32"/>
          <w:lang w:val="en-US" w:eastAsia="zh-CN"/>
        </w:rPr>
        <w:t>生活垃圾及废边角料</w:t>
      </w:r>
      <w:r>
        <w:rPr>
          <w:rFonts w:hint="eastAsia" w:ascii="Times New Roman" w:hAnsi="Times New Roman" w:eastAsia="仿宋"/>
          <w:color w:val="auto"/>
          <w:sz w:val="32"/>
          <w:szCs w:val="32"/>
        </w:rPr>
        <w:t>收集后暂存于一般</w:t>
      </w:r>
      <w:r>
        <w:rPr>
          <w:rFonts w:ascii="Times New Roman" w:hAnsi="Times New Roman" w:eastAsia="仿宋"/>
          <w:color w:val="auto"/>
          <w:sz w:val="32"/>
          <w:szCs w:val="32"/>
        </w:rPr>
        <w:t>固废暂存间</w:t>
      </w:r>
      <w:r>
        <w:rPr>
          <w:rFonts w:hint="eastAsia" w:ascii="Times New Roman" w:hAnsi="Times New Roman" w:eastAsia="仿宋"/>
          <w:color w:val="auto"/>
          <w:sz w:val="32"/>
          <w:szCs w:val="32"/>
        </w:rPr>
        <w:t>定期</w:t>
      </w:r>
      <w:r>
        <w:rPr>
          <w:rFonts w:hint="eastAsia" w:ascii="Times New Roman" w:hAnsi="Times New Roman" w:eastAsia="仿宋"/>
          <w:color w:val="auto"/>
          <w:sz w:val="32"/>
          <w:szCs w:val="32"/>
          <w:lang w:val="en-US" w:eastAsia="zh-CN"/>
        </w:rPr>
        <w:t>清运</w:t>
      </w:r>
      <w:r>
        <w:rPr>
          <w:rFonts w:hint="eastAsia" w:ascii="Times New Roman" w:hAnsi="Times New Roman" w:eastAsia="仿宋"/>
          <w:color w:val="auto"/>
          <w:sz w:val="32"/>
          <w:szCs w:val="32"/>
          <w:lang w:eastAsia="zh-CN"/>
        </w:rPr>
        <w:t>；废UV灯管、废活性炭、</w:t>
      </w:r>
      <w:r>
        <w:rPr>
          <w:rFonts w:hint="eastAsia" w:ascii="Times New Roman" w:hAnsi="Times New Roman" w:eastAsia="仿宋"/>
          <w:color w:val="auto"/>
          <w:sz w:val="32"/>
          <w:szCs w:val="32"/>
          <w:lang w:val="en-US" w:eastAsia="zh-CN"/>
        </w:rPr>
        <w:t>废催化剂为危险废物，</w:t>
      </w:r>
      <w:r>
        <w:rPr>
          <w:rFonts w:hint="eastAsia" w:ascii="Times New Roman" w:hAnsi="Times New Roman" w:eastAsia="仿宋"/>
          <w:color w:val="auto"/>
          <w:sz w:val="32"/>
          <w:szCs w:val="32"/>
        </w:rPr>
        <w:t>收集后暂存于</w:t>
      </w:r>
      <w:r>
        <w:rPr>
          <w:rFonts w:hint="eastAsia" w:ascii="Times New Roman" w:hAnsi="Times New Roman" w:eastAsia="仿宋"/>
          <w:color w:val="auto"/>
          <w:sz w:val="32"/>
          <w:szCs w:val="32"/>
          <w:lang w:val="en-US" w:eastAsia="zh-CN"/>
        </w:rPr>
        <w:t>危险废物</w:t>
      </w:r>
      <w:r>
        <w:rPr>
          <w:rFonts w:ascii="Times New Roman" w:hAnsi="Times New Roman" w:eastAsia="仿宋"/>
          <w:color w:val="auto"/>
          <w:sz w:val="32"/>
          <w:szCs w:val="32"/>
        </w:rPr>
        <w:t>暂存间</w:t>
      </w:r>
      <w:r>
        <w:rPr>
          <w:rFonts w:hint="eastAsia" w:ascii="Times New Roman" w:hAnsi="Times New Roman" w:eastAsia="仿宋"/>
          <w:color w:val="auto"/>
          <w:sz w:val="32"/>
          <w:szCs w:val="32"/>
        </w:rPr>
        <w:t>定期</w:t>
      </w:r>
      <w:r>
        <w:rPr>
          <w:rFonts w:hint="eastAsia" w:ascii="Times New Roman" w:hAnsi="Times New Roman" w:eastAsia="仿宋"/>
          <w:color w:val="auto"/>
          <w:sz w:val="32"/>
          <w:szCs w:val="32"/>
          <w:lang w:val="en-US" w:eastAsia="zh-CN"/>
        </w:rPr>
        <w:t>交有资质单位进行处理</w:t>
      </w:r>
      <w:r>
        <w:rPr>
          <w:rFonts w:hint="eastAsia" w:ascii="Times New Roman" w:hAnsi="Times New Roman" w:eastAsia="仿宋"/>
          <w:color w:val="auto"/>
          <w:sz w:val="32"/>
          <w:szCs w:val="32"/>
        </w:rPr>
        <w:t>。</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项目非甲烷总烃排放量为</w:t>
      </w:r>
      <w:r>
        <w:rPr>
          <w:rFonts w:hint="eastAsia" w:ascii="仿宋_GB2312" w:hAnsi="仿宋_GB2312" w:eastAsia="仿宋_GB2312" w:cs="仿宋_GB2312"/>
          <w:color w:val="000000"/>
          <w:sz w:val="32"/>
          <w:szCs w:val="32"/>
          <w:lang w:val="en-US" w:eastAsia="zh-CN"/>
        </w:rPr>
        <w:t>0.0138</w:t>
      </w:r>
      <w:r>
        <w:rPr>
          <w:rFonts w:hint="eastAsia" w:ascii="仿宋_GB2312" w:hAnsi="仿宋_GB2312" w:eastAsia="仿宋_GB2312" w:cs="仿宋_GB2312"/>
          <w:color w:val="000000"/>
          <w:sz w:val="32"/>
          <w:szCs w:val="32"/>
          <w:lang w:eastAsia="zh-CN"/>
        </w:rPr>
        <w:t>t/a，根据</w:t>
      </w:r>
      <w:r>
        <w:rPr>
          <w:rFonts w:hint="eastAsia" w:ascii="仿宋_GB2312" w:hAnsi="仿宋_GB2312" w:eastAsia="仿宋_GB2312" w:cs="仿宋_GB2312"/>
          <w:color w:val="000000"/>
          <w:sz w:val="32"/>
          <w:szCs w:val="32"/>
          <w:lang w:val="en-US" w:eastAsia="zh-CN"/>
        </w:rPr>
        <w:t>许昌市生态环境局开发区分局</w:t>
      </w:r>
      <w:r>
        <w:rPr>
          <w:rFonts w:hint="eastAsia" w:ascii="仿宋_GB2312" w:hAnsi="仿宋_GB2312" w:eastAsia="仿宋_GB2312" w:cs="仿宋_GB2312"/>
          <w:color w:val="000000"/>
          <w:sz w:val="32"/>
          <w:szCs w:val="32"/>
          <w:lang w:eastAsia="zh-CN"/>
        </w:rPr>
        <w:t>出具的审核意见，本项目新增VOC总量从“</w:t>
      </w:r>
      <w:r>
        <w:rPr>
          <w:rFonts w:hint="eastAsia" w:ascii="仿宋" w:hAnsi="仿宋" w:eastAsia="仿宋" w:cs="仿宋"/>
          <w:kern w:val="0"/>
          <w:sz w:val="32"/>
          <w:szCs w:val="32"/>
        </w:rPr>
        <w:t>许昌永昌印务有限公司</w:t>
      </w:r>
      <w:r>
        <w:rPr>
          <w:rFonts w:hint="eastAsia" w:ascii="仿宋" w:hAnsi="仿宋" w:eastAsia="仿宋" w:cs="仿宋"/>
          <w:kern w:val="0"/>
          <w:sz w:val="32"/>
          <w:szCs w:val="32"/>
          <w:lang w:eastAsia="zh-CN"/>
        </w:rPr>
        <w:t>烟标装潢</w:t>
      </w:r>
      <w:r>
        <w:rPr>
          <w:rFonts w:hint="eastAsia" w:ascii="仿宋" w:hAnsi="仿宋" w:eastAsia="仿宋" w:cs="仿宋"/>
          <w:kern w:val="0"/>
          <w:sz w:val="32"/>
          <w:szCs w:val="32"/>
          <w:lang w:val="en-US" w:eastAsia="zh-CN"/>
        </w:rPr>
        <w:t>80万箱/年技术及设备</w:t>
      </w:r>
      <w:r>
        <w:rPr>
          <w:rFonts w:hint="eastAsia" w:ascii="仿宋" w:hAnsi="仿宋" w:eastAsia="仿宋" w:cs="仿宋"/>
          <w:kern w:val="0"/>
          <w:sz w:val="32"/>
          <w:szCs w:val="32"/>
        </w:rPr>
        <w:t>升级改造项目</w:t>
      </w:r>
      <w:r>
        <w:rPr>
          <w:rFonts w:hint="eastAsia" w:ascii="仿宋_GB2312" w:hAnsi="仿宋_GB2312" w:eastAsia="仿宋_GB2312" w:cs="仿宋_GB2312"/>
          <w:color w:val="000000"/>
          <w:sz w:val="32"/>
          <w:szCs w:val="32"/>
          <w:lang w:eastAsia="zh-CN"/>
        </w:rPr>
        <w:t>”中进行倍量替代。</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eastAsia="仿宋_GB2312"/>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_GB2312" w:hAnsi="仿宋_GB2312" w:eastAsia="仿宋_GB2312" w:cs="仿宋_GB2312"/>
          <w:sz w:val="32"/>
          <w:szCs w:val="32"/>
        </w:rPr>
        <w:t>如果今后国家或我省颁布污染物排放限值的新标准，届时你公司应按新的排放标准执行。</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自本批复下达之日起</w:t>
      </w:r>
      <w:r>
        <w:rPr>
          <w:rFonts w:hint="eastAsia" w:ascii="仿宋_GB2312" w:hAnsi="仿宋_GB2312" w:eastAsia="仿宋_GB2312" w:cs="仿宋_GB2312"/>
          <w:sz w:val="32"/>
          <w:szCs w:val="32"/>
          <w:lang w:eastAsia="zh-CN"/>
        </w:rPr>
        <w:t>，超过</w:t>
      </w:r>
      <w:r>
        <w:rPr>
          <w:rFonts w:hint="eastAsia" w:ascii="仿宋_GB2312" w:hAnsi="仿宋_GB2312" w:eastAsia="仿宋_GB2312" w:cs="仿宋_GB2312"/>
          <w:sz w:val="32"/>
          <w:szCs w:val="32"/>
        </w:rPr>
        <w:t>5年</w:t>
      </w:r>
      <w:r>
        <w:rPr>
          <w:rFonts w:hint="eastAsia" w:ascii="仿宋_GB2312" w:hAnsi="仿宋_GB2312" w:eastAsia="仿宋_GB2312" w:cs="仿宋_GB2312"/>
          <w:sz w:val="32"/>
          <w:szCs w:val="32"/>
          <w:lang w:eastAsia="zh-CN"/>
        </w:rPr>
        <w:t>方决定开工建设的，环境影响评价文件应报我局重新审核</w:t>
      </w:r>
      <w:r>
        <w:rPr>
          <w:rFonts w:hint="eastAsia" w:ascii="仿宋_GB2312" w:hAnsi="仿宋_GB2312" w:eastAsia="仿宋_GB2312" w:cs="仿宋_GB2312"/>
          <w:sz w:val="32"/>
          <w:szCs w:val="32"/>
        </w:rPr>
        <w:t xml:space="preserve">。项目的性质、规模、地点、采用的工艺或防治污染、防治生态破坏的措施发生重大变动的，应当重新报批项目的环境影响评价文件。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pBdr>
          <w:top w:val="single" w:color="auto" w:sz="4" w:space="0"/>
          <w:bottom w:val="single" w:color="auto" w:sz="4" w:space="0"/>
        </w:pBdr>
        <w:kinsoku/>
        <w:wordWrap w:val="0"/>
        <w:overflowPunct/>
        <w:topLinePunct w:val="0"/>
        <w:bidi w:val="0"/>
        <w:snapToGrid/>
        <w:spacing w:line="240" w:lineRule="auto"/>
        <w:ind w:left="0" w:leftChars="0" w:right="0" w:rightChars="0"/>
        <w:textAlignment w:val="auto"/>
        <w:outlineLvl w:val="9"/>
      </w:pPr>
      <w:r>
        <w:rPr>
          <w:rFonts w:hint="eastAsia" w:ascii="仿宋_GB2312" w:hAnsi="仿宋_GB2312" w:eastAsia="仿宋_GB2312" w:cs="仿宋_GB2312"/>
          <w:sz w:val="32"/>
          <w:szCs w:val="32"/>
        </w:rPr>
        <w:t>抄送：</w:t>
      </w:r>
      <w:r>
        <w:rPr>
          <w:rFonts w:hint="eastAsia" w:ascii="仿宋" w:hAnsi="仿宋" w:eastAsia="仿宋" w:cs="仿宋"/>
          <w:sz w:val="32"/>
          <w:szCs w:val="32"/>
          <w:lang w:val="en-US" w:eastAsia="zh-CN"/>
        </w:rPr>
        <w:t>许昌市生态环境综合行政执法支队</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生态环境局东城区分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河南汇能阜力科技股份</w:t>
      </w:r>
      <w:r>
        <w:rPr>
          <w:rFonts w:hint="eastAsia" w:ascii="仿宋_GB2312" w:hAnsi="仿宋_GB2312" w:eastAsia="仿宋_GB2312" w:cs="仿宋_GB2312"/>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96221"/>
    <w:rsid w:val="124F0B1C"/>
    <w:rsid w:val="143D280A"/>
    <w:rsid w:val="20A86CE4"/>
    <w:rsid w:val="58EC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dcterms:modified xsi:type="dcterms:W3CDTF">2020-05-13T02:17:57Z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