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1F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6E0C05">
      <w:pPr>
        <w:pStyle w:val="8"/>
        <w:rPr>
          <w:rFonts w:hint="eastAsia"/>
        </w:rPr>
      </w:pPr>
    </w:p>
    <w:p w14:paraId="2192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800" w:firstLineChars="15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D04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许环建审〔20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6C43F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F070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许昌市生态环境局</w:t>
      </w:r>
    </w:p>
    <w:p w14:paraId="25AFE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迅达（许昌）驱动技术有限公司年发黑处理500吨曳引机零部件项目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环境影响报告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p w14:paraId="2CE8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50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迅达（许昌）驱动技术有限公司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66787F7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91411000773654508P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许昌携诚环保科技有限公司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编制完成的《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迅达（许昌）驱动技术有限公司年发黑处理500吨曳引机零部件项目环境影响报告表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》（以下简称《报告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》）收悉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，并已在我局网站公示期满。根据《中华人民共和国环境保护法》《中华人民共和国行政许可法》《中华人民共和国环境影响评价法》《建设项目环境保护管理条例》等法律法规规定，经研究，批复如下：</w:t>
      </w:r>
    </w:p>
    <w:p w14:paraId="085167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一、《报告表》内容符合国家有关法律法规要求和建设项目环境管理规定，评价结论可信，我局原则同意你公司按照《报告表》所列项目的性质、规模、地点、采用的生产工艺和环境保护对策进行建设。</w:t>
      </w:r>
    </w:p>
    <w:p w14:paraId="46628B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二、你单位应向社会公众主动公开经批准的《报告表》，并接受相关方的垂询。</w:t>
      </w:r>
    </w:p>
    <w:p w14:paraId="72508DF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三、你单位应落实《报告表》提出的各项环境保护措施，确保各项环境保护设施与主体工程同时设计、同时施工、同时投入使用，确保各项污染物达标排放。</w:t>
      </w:r>
    </w:p>
    <w:p w14:paraId="4EFC770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（一）向设计单位提供《报告表》和本批复文件，确保项目设计按照环境保护设计规范要求，落实防治环境污染和生态破坏的措施以及环保设施投资概算。</w:t>
      </w:r>
    </w:p>
    <w:p w14:paraId="057DB48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（二）依据《报告表》和本批复文件，对项目建设过程中产生的废水、废气、噪声、固体废物等污染，以及因施工对自然、生态环境造成的破坏，采取相应的防治措施。</w:t>
      </w:r>
    </w:p>
    <w:p w14:paraId="3930F3C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四、项目位于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许昌市许昌经济技术开发区阳光大道以北、开元路以西。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建成后年发黑处理500吨曳引机零部件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工艺流程：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曳引机零部件—脱脂—热水洗1—喷淋水洗1—发黑1—发黑2—热水洗2—喷淋水洗2—浸油—成品。</w:t>
      </w:r>
    </w:p>
    <w:p w14:paraId="4E06AF1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五、项目污染物外排应满足以下要求：</w:t>
      </w:r>
    </w:p>
    <w:p w14:paraId="6652F42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1.废气。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发黑氨气经槽边侧吸集气，采用二级喷淋吸收塔装置处理后，通过15m高排气筒排放。应满足《恶臭污染物排放标准》（GB14554-93）表2标准要求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1CE541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2.废水。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生活污水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生产废水主要为热水洗废水、喷淋水洗废水和喷淋吸收塔废水，生产废水经厂区配套污水处理站（物化处理+生化处理）处理后排入市政污水管网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，应满足《污水综合排放标准》(GB8978-1996)表4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级标准要求。</w:t>
      </w:r>
    </w:p>
    <w:p w14:paraId="56E56C4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3.噪声。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行车、风机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等噪声源采取基础减震、厂房隔声等措施，厂界噪声应满足《工业企业厂界环境噪声排放标准》（GB12348-2008）中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类、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标准要求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2EFFC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4.固废。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包装袋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等一般固废应妥善处置。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槽渣、污泥、废滤布、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油桶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等危险废物，应委托有资质单位安全处置。</w:t>
      </w:r>
    </w:p>
    <w:p w14:paraId="2B0D66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主要污染物排放总量（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入环境量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）控制如下：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COD0.0064t/a、氨氮0.0003t/a。本项目废水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总量倍量替代来源于许昌市开发区朝阳路道路给排水工程。</w:t>
      </w:r>
    </w:p>
    <w:p w14:paraId="418C1FB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项目建设应严格执行环境保护设施与主体工程同时设计、同时施工、同时投入使用的环境保护“三同时”制度；项目投产前，应办理排污许可手续，做到持证排污；项目建成后，应按规定程序进行竣工环境保护验收，验收合格后，方可正式投入运行。如果今后国家或我省颁布污染物排放限值的新标准，届时你公司应按新的排放标准执行，并申请变更排污许可手续。</w:t>
      </w:r>
    </w:p>
    <w:p w14:paraId="107F5B8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项目自本批复下达之日起，超过5年方决定开工建设的，环境影响评价文件应报我局重新审核。项目的性质、规模、地点、采用的工艺或防治污染、防治生态破坏的措施发生重大变动的，应当重新报批项目的环境影响评价文件。</w:t>
      </w:r>
    </w:p>
    <w:p w14:paraId="5BD3AE9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AE1C0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18173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2025年3月5日</w:t>
      </w:r>
    </w:p>
    <w:p w14:paraId="41FCB38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90CCA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915948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28695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9A313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3744F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5D13DD">
      <w:pPr>
        <w:pStyle w:val="8"/>
        <w:ind w:left="0" w:leftChars="0" w:firstLine="0" w:firstLineChars="0"/>
        <w:rPr>
          <w:rFonts w:hint="eastAsia"/>
        </w:rPr>
      </w:pPr>
    </w:p>
    <w:p w14:paraId="267487A7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许昌市生态环境综合行政执法支队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生态环境局</w:t>
      </w:r>
    </w:p>
    <w:p w14:paraId="329EF9AB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120" w:firstLineChars="350"/>
        <w:jc w:val="both"/>
        <w:textAlignment w:val="auto"/>
        <w:outlineLvl w:val="9"/>
        <w:rPr>
          <w:color w:val="0000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开发区分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许昌携诚环保科技有限公司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225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5E45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75E45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E2Yjk5YjlmMzQ5M2NlYmZjNjk3NGM0NjhkZDAifQ=="/>
  </w:docVars>
  <w:rsids>
    <w:rsidRoot w:val="00000000"/>
    <w:rsid w:val="03E5430B"/>
    <w:rsid w:val="04BFAFF6"/>
    <w:rsid w:val="06837A59"/>
    <w:rsid w:val="0F1212E9"/>
    <w:rsid w:val="0F3426E2"/>
    <w:rsid w:val="12E51042"/>
    <w:rsid w:val="12E97EC1"/>
    <w:rsid w:val="16AF4270"/>
    <w:rsid w:val="1E5527AF"/>
    <w:rsid w:val="27E5DEA4"/>
    <w:rsid w:val="35646E1B"/>
    <w:rsid w:val="35FC1EF6"/>
    <w:rsid w:val="36E9482E"/>
    <w:rsid w:val="38640855"/>
    <w:rsid w:val="39EB4452"/>
    <w:rsid w:val="3E0A4981"/>
    <w:rsid w:val="3E1B606E"/>
    <w:rsid w:val="3FF968C1"/>
    <w:rsid w:val="42B400E9"/>
    <w:rsid w:val="4E9B4682"/>
    <w:rsid w:val="516A5AA0"/>
    <w:rsid w:val="52F9A95D"/>
    <w:rsid w:val="531254ED"/>
    <w:rsid w:val="53FE0919"/>
    <w:rsid w:val="555CFBAC"/>
    <w:rsid w:val="5B1C2265"/>
    <w:rsid w:val="67F56220"/>
    <w:rsid w:val="69B77007"/>
    <w:rsid w:val="6A747ADF"/>
    <w:rsid w:val="6BF3262B"/>
    <w:rsid w:val="702B34F8"/>
    <w:rsid w:val="711248EB"/>
    <w:rsid w:val="74B351A8"/>
    <w:rsid w:val="7F013C7B"/>
    <w:rsid w:val="7F78540D"/>
    <w:rsid w:val="7FB68154"/>
    <w:rsid w:val="7FCBA43C"/>
    <w:rsid w:val="7FDB4EE8"/>
    <w:rsid w:val="7FF44EA4"/>
    <w:rsid w:val="B5FB85FB"/>
    <w:rsid w:val="BBEF1B68"/>
    <w:rsid w:val="BDA5797D"/>
    <w:rsid w:val="DAF9A0A4"/>
    <w:rsid w:val="DF533999"/>
    <w:rsid w:val="F75E0EB2"/>
    <w:rsid w:val="FCFB47E2"/>
    <w:rsid w:val="FDBF061E"/>
    <w:rsid w:val="FDD54F4A"/>
    <w:rsid w:val="FFD7599A"/>
    <w:rsid w:val="FFF67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80" w:firstLineChars="200"/>
    </w:pPr>
  </w:style>
  <w:style w:type="paragraph" w:styleId="3">
    <w:name w:val="Body Text"/>
    <w:basedOn w:val="1"/>
    <w:next w:val="4"/>
    <w:qFormat/>
    <w:uiPriority w:val="0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4">
    <w:name w:val="Body Text First Indent 2"/>
    <w:basedOn w:val="1"/>
    <w:next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首行缩进2个字符"/>
    <w:basedOn w:val="1"/>
    <w:qFormat/>
    <w:uiPriority w:val="0"/>
    <w:pPr>
      <w:spacing w:line="360" w:lineRule="auto"/>
      <w:ind w:firstLine="200" w:firstLineChars="200"/>
    </w:pPr>
    <w:rPr>
      <w:rFonts w:ascii="宋体"/>
      <w:kern w:val="28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1363</Words>
  <Characters>1449</Characters>
  <Lines>0</Lines>
  <Paragraphs>0</Paragraphs>
  <TotalTime>10</TotalTime>
  <ScaleCrop>false</ScaleCrop>
  <LinksUpToDate>false</LinksUpToDate>
  <CharactersWithSpaces>1449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pc</dc:creator>
  <cp:lastModifiedBy>青山</cp:lastModifiedBy>
  <cp:lastPrinted>2025-03-05T03:34:07Z</cp:lastPrinted>
  <dcterms:modified xsi:type="dcterms:W3CDTF">2025-03-05T03:36:03Z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938B7942155D43CAB0793488A5CD0111_13</vt:lpwstr>
  </property>
  <property fmtid="{D5CDD505-2E9C-101B-9397-08002B2CF9AE}" pid="4" name="KSOTemplateDocerSaveRecord">
    <vt:lpwstr>eyJoZGlkIjoiYTU5MjBlMzIyMjMwMTQ0NWQ2ODI1YTAxNGIwNWVkMGYiLCJ1c2VySWQiOiI0NzIwNDY4MDAifQ==</vt:lpwstr>
  </property>
</Properties>
</file>