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Fonts w:hint="eastAsia" w:ascii="方正小标宋简体" w:hAnsi="方正小标宋简体" w:eastAsia="方正小标宋简体" w:cs="方正小标宋简体"/>
          <w:b w:val="0"/>
          <w:bCs w:val="0"/>
          <w:i w:val="0"/>
          <w:iCs w:val="0"/>
          <w:caps w:val="0"/>
          <w:color w:val="222222"/>
          <w:spacing w:val="0"/>
          <w:sz w:val="44"/>
          <w:szCs w:val="44"/>
        </w:rPr>
      </w:pPr>
      <w:r>
        <w:rPr>
          <w:rFonts w:hint="eastAsia" w:ascii="方正小标宋简体" w:hAnsi="方正小标宋简体" w:eastAsia="方正小标宋简体" w:cs="方正小标宋简体"/>
          <w:b w:val="0"/>
          <w:bCs w:val="0"/>
          <w:i w:val="0"/>
          <w:iCs w:val="0"/>
          <w:caps w:val="0"/>
          <w:color w:val="222222"/>
          <w:spacing w:val="0"/>
          <w:sz w:val="44"/>
          <w:szCs w:val="44"/>
          <w:lang w:val="en-US" w:eastAsia="zh-CN"/>
        </w:rPr>
        <w:t>许昌市建安</w:t>
      </w:r>
      <w:r>
        <w:rPr>
          <w:rFonts w:hint="eastAsia" w:ascii="方正小标宋简体" w:hAnsi="方正小标宋简体" w:eastAsia="方正小标宋简体" w:cs="方正小标宋简体"/>
          <w:b w:val="0"/>
          <w:bCs w:val="0"/>
          <w:i w:val="0"/>
          <w:iCs w:val="0"/>
          <w:caps w:val="0"/>
          <w:color w:val="222222"/>
          <w:spacing w:val="0"/>
          <w:sz w:val="44"/>
          <w:szCs w:val="44"/>
          <w:lang w:val="en-US" w:eastAsia="zh-CN"/>
        </w:rPr>
        <w:t>区</w:t>
      </w:r>
      <w:bookmarkStart w:id="0" w:name="_GoBack"/>
      <w:r>
        <w:rPr>
          <w:rFonts w:hint="eastAsia" w:ascii="方正小标宋简体" w:hAnsi="方正小标宋简体" w:eastAsia="方正小标宋简体" w:cs="方正小标宋简体"/>
          <w:b w:val="0"/>
          <w:bCs w:val="0"/>
          <w:i w:val="0"/>
          <w:iCs w:val="0"/>
          <w:caps w:val="0"/>
          <w:color w:val="222222"/>
          <w:spacing w:val="0"/>
          <w:sz w:val="44"/>
          <w:szCs w:val="44"/>
          <w:lang w:val="en-US" w:eastAsia="zh-CN"/>
        </w:rPr>
        <w:t>董晓锋、董超未批先建私设</w:t>
      </w:r>
      <w:r>
        <w:rPr>
          <w:rFonts w:hint="eastAsia" w:ascii="方正小标宋简体" w:hAnsi="方正小标宋简体" w:eastAsia="方正小标宋简体" w:cs="方正小标宋简体"/>
          <w:b w:val="0"/>
          <w:bCs w:val="0"/>
          <w:i w:val="0"/>
          <w:iCs w:val="0"/>
          <w:caps w:val="0"/>
          <w:color w:val="222222"/>
          <w:spacing w:val="0"/>
          <w:sz w:val="44"/>
          <w:szCs w:val="44"/>
        </w:rPr>
        <w:t>暗管</w:t>
      </w:r>
      <w:r>
        <w:rPr>
          <w:rFonts w:hint="eastAsia" w:ascii="方正小标宋简体" w:hAnsi="方正小标宋简体" w:eastAsia="方正小标宋简体" w:cs="方正小标宋简体"/>
          <w:b w:val="0"/>
          <w:bCs w:val="0"/>
          <w:i w:val="0"/>
          <w:iCs w:val="0"/>
          <w:caps w:val="0"/>
          <w:color w:val="222222"/>
          <w:spacing w:val="0"/>
          <w:sz w:val="44"/>
          <w:szCs w:val="44"/>
          <w:lang w:val="en-US" w:eastAsia="zh-CN"/>
        </w:rPr>
        <w:t>渗坑</w:t>
      </w:r>
      <w:r>
        <w:rPr>
          <w:rFonts w:hint="eastAsia" w:ascii="方正小标宋简体" w:hAnsi="方正小标宋简体" w:eastAsia="方正小标宋简体" w:cs="方正小标宋简体"/>
          <w:b w:val="0"/>
          <w:bCs w:val="0"/>
          <w:i w:val="0"/>
          <w:iCs w:val="0"/>
          <w:caps w:val="0"/>
          <w:color w:val="222222"/>
          <w:spacing w:val="0"/>
          <w:sz w:val="44"/>
          <w:szCs w:val="44"/>
        </w:rPr>
        <w:t>排放水污染物案</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Style w:val="6"/>
          <w:rFonts w:hint="eastAsia" w:ascii="仿宋" w:hAnsi="仿宋" w:eastAsia="仿宋" w:cs="仿宋"/>
          <w:b w:val="0"/>
          <w:bCs/>
          <w:i w:val="0"/>
          <w:iCs w:val="0"/>
          <w:caps w:val="0"/>
          <w:color w:val="222222"/>
          <w:spacing w:val="0"/>
          <w:sz w:val="31"/>
          <w:szCs w:val="31"/>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Fonts w:hint="eastAsia" w:ascii="黑体" w:hAnsi="黑体" w:eastAsia="黑体" w:cs="黑体"/>
          <w:sz w:val="32"/>
          <w:szCs w:val="32"/>
        </w:rPr>
      </w:pPr>
      <w:r>
        <w:rPr>
          <w:rStyle w:val="6"/>
          <w:rFonts w:hint="eastAsia" w:ascii="黑体" w:hAnsi="黑体" w:eastAsia="黑体" w:cs="黑体"/>
          <w:i w:val="0"/>
          <w:iCs w:val="0"/>
          <w:caps w:val="0"/>
          <w:color w:val="222222"/>
          <w:spacing w:val="0"/>
          <w:sz w:val="32"/>
          <w:szCs w:val="32"/>
          <w:lang w:eastAsia="zh-CN"/>
        </w:rPr>
        <w:t>一、</w:t>
      </w:r>
      <w:r>
        <w:rPr>
          <w:rStyle w:val="6"/>
          <w:rFonts w:hint="eastAsia" w:ascii="黑体" w:hAnsi="黑体" w:eastAsia="黑体" w:cs="黑体"/>
          <w:i w:val="0"/>
          <w:iCs w:val="0"/>
          <w:caps w:val="0"/>
          <w:color w:val="222222"/>
          <w:spacing w:val="0"/>
          <w:sz w:val="32"/>
          <w:szCs w:val="32"/>
        </w:rPr>
        <w:t>案情简介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right="0" w:firstLine="640" w:firstLineChars="200"/>
        <w:rPr>
          <w:rFonts w:hint="eastAsia" w:ascii="仿宋_GB2312" w:hAnsi="仿宋_GB2312" w:eastAsia="仿宋_GB2312" w:cs="仿宋_GB2312"/>
          <w:i w:val="0"/>
          <w:iCs w:val="0"/>
          <w:caps w:val="0"/>
          <w:color w:val="222222"/>
          <w:spacing w:val="0"/>
          <w:sz w:val="32"/>
          <w:szCs w:val="32"/>
          <w:lang w:eastAsia="zh-CN"/>
        </w:rPr>
      </w:pPr>
      <w:r>
        <w:rPr>
          <w:rFonts w:hint="eastAsia" w:ascii="仿宋_GB2312" w:hAnsi="仿宋_GB2312" w:eastAsia="仿宋_GB2312" w:cs="仿宋_GB2312"/>
          <w:sz w:val="32"/>
          <w:szCs w:val="32"/>
        </w:rPr>
        <w:t>2023年6月15日，许昌市生态环境局建安分局行政执法人员联合许昌市建安区公安局食药环大队民警、河街乡派出所民警、河街乡人民政府工作人员现场检查时发现该乡贺庄村西北侧一养殖场院内建设一条电镀生产加工生产线（酸洗槽3个、电镀槽2个、清洗盆22个）。镀锌生产加工过程中产生的清洗废水利用原养殖场排水管道排入养殖场东侧一无任何防渗措施的坑内。</w:t>
      </w:r>
      <w:r>
        <w:rPr>
          <w:rFonts w:hint="eastAsia" w:ascii="仿宋_GB2312" w:hAnsi="仿宋_GB2312" w:eastAsia="仿宋_GB2312" w:cs="仿宋_GB2312"/>
          <w:i w:val="0"/>
          <w:iCs w:val="0"/>
          <w:caps w:val="0"/>
          <w:color w:val="222222"/>
          <w:spacing w:val="0"/>
          <w:sz w:val="32"/>
          <w:szCs w:val="32"/>
          <w:lang w:val="en-US" w:eastAsia="zh-CN"/>
        </w:rPr>
        <w:t>许昌市</w:t>
      </w:r>
      <w:r>
        <w:rPr>
          <w:rFonts w:hint="eastAsia" w:ascii="仿宋_GB2312" w:hAnsi="仿宋_GB2312" w:eastAsia="仿宋_GB2312" w:cs="仿宋_GB2312"/>
          <w:i w:val="0"/>
          <w:iCs w:val="0"/>
          <w:caps w:val="0"/>
          <w:color w:val="222222"/>
          <w:spacing w:val="0"/>
          <w:sz w:val="32"/>
          <w:szCs w:val="32"/>
        </w:rPr>
        <w:t>生态环境局</w:t>
      </w:r>
      <w:r>
        <w:rPr>
          <w:rFonts w:hint="eastAsia" w:ascii="仿宋_GB2312" w:hAnsi="仿宋_GB2312" w:eastAsia="仿宋_GB2312" w:cs="仿宋_GB2312"/>
          <w:i w:val="0"/>
          <w:iCs w:val="0"/>
          <w:caps w:val="0"/>
          <w:color w:val="222222"/>
          <w:spacing w:val="0"/>
          <w:sz w:val="32"/>
          <w:szCs w:val="32"/>
          <w:lang w:val="en-US" w:eastAsia="zh-CN"/>
        </w:rPr>
        <w:t>建安</w:t>
      </w:r>
      <w:r>
        <w:rPr>
          <w:rFonts w:hint="eastAsia" w:ascii="仿宋_GB2312" w:hAnsi="仿宋_GB2312" w:eastAsia="仿宋_GB2312" w:cs="仿宋_GB2312"/>
          <w:i w:val="0"/>
          <w:iCs w:val="0"/>
          <w:caps w:val="0"/>
          <w:color w:val="222222"/>
          <w:spacing w:val="0"/>
          <w:sz w:val="32"/>
          <w:szCs w:val="32"/>
        </w:rPr>
        <w:t>分局</w:t>
      </w:r>
      <w:r>
        <w:rPr>
          <w:rFonts w:hint="eastAsia" w:ascii="仿宋_GB2312" w:hAnsi="仿宋_GB2312" w:eastAsia="仿宋_GB2312" w:cs="仿宋_GB2312"/>
          <w:i w:val="0"/>
          <w:iCs w:val="0"/>
          <w:caps w:val="0"/>
          <w:color w:val="222222"/>
          <w:spacing w:val="0"/>
          <w:sz w:val="32"/>
          <w:szCs w:val="32"/>
          <w:lang w:val="en-US" w:eastAsia="zh-CN"/>
        </w:rPr>
        <w:t>立即会同公安机关</w:t>
      </w:r>
      <w:r>
        <w:rPr>
          <w:rFonts w:hint="eastAsia" w:ascii="仿宋_GB2312" w:hAnsi="仿宋_GB2312" w:eastAsia="仿宋_GB2312" w:cs="仿宋_GB2312"/>
          <w:i w:val="0"/>
          <w:iCs w:val="0"/>
          <w:caps w:val="0"/>
          <w:color w:val="222222"/>
          <w:spacing w:val="0"/>
          <w:sz w:val="32"/>
          <w:szCs w:val="32"/>
        </w:rPr>
        <w:t>和属地政府</w:t>
      </w:r>
      <w:r>
        <w:rPr>
          <w:rFonts w:hint="eastAsia" w:ascii="仿宋_GB2312" w:hAnsi="仿宋_GB2312" w:eastAsia="仿宋_GB2312" w:cs="仿宋_GB2312"/>
          <w:i w:val="0"/>
          <w:iCs w:val="0"/>
          <w:caps w:val="0"/>
          <w:color w:val="222222"/>
          <w:spacing w:val="0"/>
          <w:sz w:val="32"/>
          <w:szCs w:val="32"/>
          <w:lang w:val="en-US" w:eastAsia="zh-CN"/>
        </w:rPr>
        <w:t>开展</w:t>
      </w:r>
      <w:r>
        <w:rPr>
          <w:rFonts w:hint="eastAsia" w:ascii="仿宋_GB2312" w:hAnsi="仿宋_GB2312" w:eastAsia="仿宋_GB2312" w:cs="仿宋_GB2312"/>
          <w:i w:val="0"/>
          <w:iCs w:val="0"/>
          <w:caps w:val="0"/>
          <w:color w:val="222222"/>
          <w:spacing w:val="0"/>
          <w:sz w:val="32"/>
          <w:szCs w:val="32"/>
        </w:rPr>
        <w:t>立案调查</w:t>
      </w:r>
      <w:r>
        <w:rPr>
          <w:rFonts w:hint="eastAsia" w:ascii="仿宋_GB2312" w:hAnsi="仿宋_GB2312" w:eastAsia="仿宋_GB2312" w:cs="仿宋_GB2312"/>
          <w:i w:val="0"/>
          <w:iCs w:val="0"/>
          <w:caps w:val="0"/>
          <w:color w:val="222222"/>
          <w:spacing w:val="0"/>
          <w:sz w:val="32"/>
          <w:szCs w:val="32"/>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right="0"/>
        <w:rPr>
          <w:rFonts w:hint="eastAsia" w:ascii="仿宋_GB2312" w:hAnsi="仿宋_GB2312" w:eastAsia="仿宋_GB2312" w:cs="仿宋_GB2312"/>
          <w:sz w:val="32"/>
          <w:szCs w:val="32"/>
        </w:rPr>
      </w:pPr>
      <w:r>
        <w:drawing>
          <wp:inline distT="0" distB="0" distL="114300" distR="114300">
            <wp:extent cx="5266690" cy="3138805"/>
            <wp:effectExtent l="0" t="0" r="1016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
                    <a:stretch>
                      <a:fillRect/>
                    </a:stretch>
                  </pic:blipFill>
                  <pic:spPr>
                    <a:xfrm>
                      <a:off x="0" y="0"/>
                      <a:ext cx="5266690" cy="313880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right="0"/>
        <w:rPr>
          <w:rFonts w:hint="eastAsia" w:ascii="仿宋_GB2312" w:hAnsi="仿宋_GB2312" w:eastAsia="仿宋_GB2312" w:cs="仿宋_GB2312"/>
          <w:sz w:val="32"/>
          <w:szCs w:val="32"/>
        </w:rPr>
      </w:pPr>
      <w:r>
        <w:drawing>
          <wp:inline distT="0" distB="0" distL="114300" distR="114300">
            <wp:extent cx="5271770" cy="3792220"/>
            <wp:effectExtent l="0" t="0" r="5080"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5271770" cy="379222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643" w:firstLineChars="200"/>
        <w:rPr>
          <w:rStyle w:val="6"/>
          <w:rFonts w:hint="eastAsia" w:ascii="黑体" w:hAnsi="黑体" w:eastAsia="黑体" w:cs="黑体"/>
          <w:i w:val="0"/>
          <w:iCs w:val="0"/>
          <w:caps w:val="0"/>
          <w:color w:val="222222"/>
          <w:spacing w:val="0"/>
          <w:sz w:val="32"/>
          <w:szCs w:val="32"/>
          <w:lang w:eastAsia="zh-CN"/>
        </w:rPr>
      </w:pPr>
      <w:r>
        <w:rPr>
          <w:rStyle w:val="6"/>
          <w:rFonts w:hint="eastAsia" w:ascii="黑体" w:hAnsi="黑体" w:eastAsia="黑体" w:cs="黑体"/>
          <w:i w:val="0"/>
          <w:iCs w:val="0"/>
          <w:caps w:val="0"/>
          <w:color w:val="222222"/>
          <w:spacing w:val="0"/>
          <w:sz w:val="32"/>
          <w:szCs w:val="32"/>
          <w:lang w:eastAsia="zh-CN"/>
        </w:rPr>
        <w:t>二、查处情况</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经初步调查，董超、董晓锋</w:t>
      </w:r>
      <w:r>
        <w:rPr>
          <w:rFonts w:hint="eastAsia" w:ascii="仿宋_GB2312" w:hAnsi="仿宋_GB2312" w:eastAsia="仿宋_GB2312" w:cs="仿宋_GB2312"/>
          <w:sz w:val="32"/>
          <w:szCs w:val="32"/>
          <w:lang w:eastAsia="zh-CN"/>
        </w:rPr>
        <w:t>电镀厂</w:t>
      </w:r>
      <w:r>
        <w:rPr>
          <w:rFonts w:hint="eastAsia" w:ascii="仿宋_GB2312" w:hAnsi="仿宋_GB2312" w:eastAsia="仿宋_GB2312" w:cs="仿宋_GB2312"/>
          <w:sz w:val="32"/>
          <w:szCs w:val="32"/>
        </w:rPr>
        <w:t>未办理任何手续、无任何污染防治设施，</w:t>
      </w:r>
      <w:r>
        <w:rPr>
          <w:rFonts w:hint="eastAsia" w:ascii="仿宋_GB2312" w:hAnsi="仿宋_GB2312" w:eastAsia="仿宋_GB2312" w:cs="仿宋_GB2312"/>
          <w:sz w:val="32"/>
          <w:szCs w:val="32"/>
        </w:rPr>
        <w:t>私设暗管利用渗坑排放水污染物行为违反了《中华人民共和国水污染防治法》第三十九的规定: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禁止利用渗井、渗坑、裂隙、溶洞，私设暗管，篡改、伪造监测数据，或者不正常运行水污染防治设施等逃避监管的方式排放污染物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2023年6月15日我局委托河南森邦环境检测技术有限公司对董晓锋、董超镀锌加工厂（暂定名）储水池内和排水槽废水取样检测，2023年6月19日河南森邦环境检测技术有限公司出具检测结果显示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该镀锌生产加工外排废水重金属锌超过排放标准限值67.3倍。该厂外排废水属于超标排放，</w:t>
      </w:r>
      <w:r>
        <w:rPr>
          <w:rFonts w:hint="eastAsia" w:ascii="仿宋_GB2312" w:hAnsi="仿宋_GB2312" w:eastAsia="仿宋_GB2312" w:cs="仿宋_GB2312"/>
          <w:sz w:val="32"/>
          <w:szCs w:val="32"/>
        </w:rPr>
        <w:t>违反了《最高人民法院、最高人民检察院关于办理环境污染刑事案件适用法律若干问题的解释》第一条第四项、第五项之规定。我局于2023年06月25进行立案，2023年6月26日我局将该案移送区公安机关，2023年6月27日公安机关下达立案决定书，目前案件正在侦办过程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rPr>
          <w:rFonts w:hint="eastAsia" w:ascii="黑体" w:hAnsi="黑体" w:eastAsia="黑体" w:cs="黑体"/>
          <w:sz w:val="32"/>
          <w:szCs w:val="32"/>
        </w:rPr>
      </w:pPr>
      <w:r>
        <w:rPr>
          <w:rStyle w:val="6"/>
          <w:rFonts w:hint="eastAsia" w:ascii="黑体" w:hAnsi="黑体" w:eastAsia="黑体" w:cs="黑体"/>
          <w:i w:val="0"/>
          <w:iCs w:val="0"/>
          <w:caps w:val="0"/>
          <w:color w:val="222222"/>
          <w:spacing w:val="0"/>
          <w:sz w:val="32"/>
          <w:szCs w:val="32"/>
          <w:lang w:eastAsia="zh-CN"/>
        </w:rPr>
        <w:t>三、</w:t>
      </w:r>
      <w:r>
        <w:rPr>
          <w:rStyle w:val="6"/>
          <w:rFonts w:hint="eastAsia" w:ascii="黑体" w:hAnsi="黑体" w:eastAsia="黑体" w:cs="黑体"/>
          <w:i w:val="0"/>
          <w:iCs w:val="0"/>
          <w:caps w:val="0"/>
          <w:color w:val="222222"/>
          <w:spacing w:val="0"/>
          <w:sz w:val="32"/>
          <w:szCs w:val="32"/>
        </w:rPr>
        <w:t>案件启示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645"/>
        <w:jc w:val="both"/>
        <w:textAlignment w:val="baseline"/>
        <w:rPr>
          <w:rFonts w:hint="eastAsia" w:ascii="仿宋_GB2312" w:hAnsi="仿宋_GB2312" w:eastAsia="仿宋_GB2312" w:cs="仿宋_GB2312"/>
          <w:i w:val="0"/>
          <w:iCs w:val="0"/>
          <w:caps w:val="0"/>
          <w:color w:val="222222"/>
          <w:spacing w:val="0"/>
          <w:sz w:val="32"/>
          <w:szCs w:val="32"/>
          <w:vertAlign w:val="baseline"/>
          <w:lang w:eastAsia="zh-CN"/>
        </w:rPr>
      </w:pPr>
      <w:r>
        <w:rPr>
          <w:rFonts w:hint="eastAsia" w:ascii="仿宋_GB2312" w:hAnsi="仿宋_GB2312" w:eastAsia="仿宋_GB2312" w:cs="仿宋_GB2312"/>
          <w:i w:val="0"/>
          <w:iCs w:val="0"/>
          <w:caps w:val="0"/>
          <w:color w:val="222222"/>
          <w:spacing w:val="0"/>
          <w:sz w:val="32"/>
          <w:szCs w:val="32"/>
          <w:vertAlign w:val="baseline"/>
          <w:lang w:val="en-US" w:eastAsia="zh-CN"/>
        </w:rPr>
        <w:t>生态环境</w:t>
      </w:r>
      <w:r>
        <w:rPr>
          <w:rFonts w:hint="eastAsia" w:ascii="仿宋_GB2312" w:hAnsi="仿宋_GB2312" w:eastAsia="仿宋_GB2312" w:cs="仿宋_GB2312"/>
          <w:i w:val="0"/>
          <w:iCs w:val="0"/>
          <w:caps w:val="0"/>
          <w:color w:val="222222"/>
          <w:spacing w:val="0"/>
          <w:sz w:val="32"/>
          <w:szCs w:val="32"/>
          <w:vertAlign w:val="baseline"/>
        </w:rPr>
        <w:t>部门</w:t>
      </w:r>
      <w:r>
        <w:rPr>
          <w:rFonts w:hint="eastAsia" w:ascii="仿宋_GB2312" w:hAnsi="仿宋_GB2312" w:eastAsia="仿宋_GB2312" w:cs="仿宋_GB2312"/>
          <w:i w:val="0"/>
          <w:iCs w:val="0"/>
          <w:caps w:val="0"/>
          <w:color w:val="222222"/>
          <w:spacing w:val="0"/>
          <w:sz w:val="32"/>
          <w:szCs w:val="32"/>
          <w:vertAlign w:val="baseline"/>
          <w:lang w:eastAsia="zh-CN"/>
        </w:rPr>
        <w:t>、</w:t>
      </w:r>
      <w:r>
        <w:rPr>
          <w:rFonts w:hint="eastAsia" w:ascii="仿宋_GB2312" w:hAnsi="仿宋_GB2312" w:eastAsia="仿宋_GB2312" w:cs="仿宋_GB2312"/>
          <w:i w:val="0"/>
          <w:iCs w:val="0"/>
          <w:caps w:val="0"/>
          <w:color w:val="222222"/>
          <w:spacing w:val="0"/>
          <w:sz w:val="32"/>
          <w:szCs w:val="32"/>
          <w:vertAlign w:val="baseline"/>
          <w:lang w:val="en-US" w:eastAsia="zh-CN"/>
        </w:rPr>
        <w:t>公安机关、属地乡（镇）政府加强部门协同联动，通过</w:t>
      </w:r>
      <w:r>
        <w:rPr>
          <w:rFonts w:hint="eastAsia" w:ascii="仿宋_GB2312" w:hAnsi="仿宋_GB2312" w:eastAsia="仿宋_GB2312" w:cs="仿宋_GB2312"/>
          <w:i w:val="0"/>
          <w:iCs w:val="0"/>
          <w:caps w:val="0"/>
          <w:color w:val="222222"/>
          <w:spacing w:val="0"/>
          <w:sz w:val="32"/>
          <w:szCs w:val="32"/>
          <w:vertAlign w:val="baseline"/>
        </w:rPr>
        <w:t>环境涉罪案件快速办理机制，对于污染环境案件，实现提前介入的全覆盖，</w:t>
      </w:r>
      <w:r>
        <w:rPr>
          <w:rFonts w:hint="eastAsia" w:ascii="仿宋_GB2312" w:hAnsi="仿宋_GB2312" w:eastAsia="仿宋_GB2312" w:cs="仿宋_GB2312"/>
          <w:i w:val="0"/>
          <w:iCs w:val="0"/>
          <w:caps w:val="0"/>
          <w:color w:val="222222"/>
          <w:spacing w:val="0"/>
          <w:sz w:val="32"/>
          <w:szCs w:val="32"/>
          <w:vertAlign w:val="baseline"/>
          <w:lang w:val="en-US" w:eastAsia="zh-CN"/>
        </w:rPr>
        <w:t>发现问题快速处置，既</w:t>
      </w:r>
      <w:r>
        <w:rPr>
          <w:rFonts w:hint="eastAsia" w:ascii="仿宋_GB2312" w:hAnsi="仿宋_GB2312" w:eastAsia="仿宋_GB2312" w:cs="仿宋_GB2312"/>
          <w:i w:val="0"/>
          <w:iCs w:val="0"/>
          <w:caps w:val="0"/>
          <w:color w:val="222222"/>
          <w:spacing w:val="0"/>
          <w:sz w:val="32"/>
          <w:szCs w:val="32"/>
          <w:vertAlign w:val="baseline"/>
        </w:rPr>
        <w:t>缩短</w:t>
      </w:r>
      <w:r>
        <w:rPr>
          <w:rFonts w:hint="eastAsia" w:ascii="仿宋_GB2312" w:hAnsi="仿宋_GB2312" w:eastAsia="仿宋_GB2312" w:cs="仿宋_GB2312"/>
          <w:i w:val="0"/>
          <w:iCs w:val="0"/>
          <w:caps w:val="0"/>
          <w:color w:val="222222"/>
          <w:spacing w:val="0"/>
          <w:sz w:val="32"/>
          <w:szCs w:val="32"/>
          <w:vertAlign w:val="baseline"/>
          <w:lang w:val="en-US" w:eastAsia="zh-CN"/>
        </w:rPr>
        <w:t>了</w:t>
      </w:r>
      <w:r>
        <w:rPr>
          <w:rFonts w:hint="eastAsia" w:ascii="仿宋_GB2312" w:hAnsi="仿宋_GB2312" w:eastAsia="仿宋_GB2312" w:cs="仿宋_GB2312"/>
          <w:i w:val="0"/>
          <w:iCs w:val="0"/>
          <w:caps w:val="0"/>
          <w:color w:val="222222"/>
          <w:spacing w:val="0"/>
          <w:sz w:val="32"/>
          <w:szCs w:val="32"/>
          <w:vertAlign w:val="baseline"/>
        </w:rPr>
        <w:t>办案时间，</w:t>
      </w:r>
      <w:r>
        <w:rPr>
          <w:rFonts w:hint="eastAsia" w:ascii="仿宋_GB2312" w:hAnsi="仿宋_GB2312" w:eastAsia="仿宋_GB2312" w:cs="仿宋_GB2312"/>
          <w:i w:val="0"/>
          <w:iCs w:val="0"/>
          <w:caps w:val="0"/>
          <w:color w:val="222222"/>
          <w:spacing w:val="0"/>
          <w:sz w:val="32"/>
          <w:szCs w:val="32"/>
          <w:vertAlign w:val="baseline"/>
          <w:lang w:val="en-US" w:eastAsia="zh-CN"/>
        </w:rPr>
        <w:t>又</w:t>
      </w:r>
      <w:r>
        <w:rPr>
          <w:rFonts w:hint="eastAsia" w:ascii="仿宋_GB2312" w:hAnsi="仿宋_GB2312" w:eastAsia="仿宋_GB2312" w:cs="仿宋_GB2312"/>
          <w:i w:val="0"/>
          <w:iCs w:val="0"/>
          <w:caps w:val="0"/>
          <w:color w:val="222222"/>
          <w:spacing w:val="0"/>
          <w:sz w:val="32"/>
          <w:szCs w:val="32"/>
          <w:vertAlign w:val="baseline"/>
        </w:rPr>
        <w:t>提升</w:t>
      </w:r>
      <w:r>
        <w:rPr>
          <w:rFonts w:hint="eastAsia" w:ascii="仿宋_GB2312" w:hAnsi="仿宋_GB2312" w:eastAsia="仿宋_GB2312" w:cs="仿宋_GB2312"/>
          <w:i w:val="0"/>
          <w:iCs w:val="0"/>
          <w:caps w:val="0"/>
          <w:color w:val="222222"/>
          <w:spacing w:val="0"/>
          <w:sz w:val="32"/>
          <w:szCs w:val="32"/>
          <w:vertAlign w:val="baseline"/>
          <w:lang w:val="en-US" w:eastAsia="zh-CN"/>
        </w:rPr>
        <w:t>了办案</w:t>
      </w:r>
      <w:r>
        <w:rPr>
          <w:rFonts w:hint="eastAsia" w:ascii="仿宋_GB2312" w:hAnsi="仿宋_GB2312" w:eastAsia="仿宋_GB2312" w:cs="仿宋_GB2312"/>
          <w:i w:val="0"/>
          <w:iCs w:val="0"/>
          <w:caps w:val="0"/>
          <w:color w:val="222222"/>
          <w:spacing w:val="0"/>
          <w:sz w:val="32"/>
          <w:szCs w:val="32"/>
          <w:vertAlign w:val="baseline"/>
        </w:rPr>
        <w:t>效率</w:t>
      </w:r>
      <w:r>
        <w:rPr>
          <w:rFonts w:hint="eastAsia" w:ascii="仿宋_GB2312" w:hAnsi="仿宋_GB2312" w:eastAsia="仿宋_GB2312" w:cs="仿宋_GB2312"/>
          <w:i w:val="0"/>
          <w:iCs w:val="0"/>
          <w:caps w:val="0"/>
          <w:color w:val="222222"/>
          <w:spacing w:val="0"/>
          <w:sz w:val="32"/>
          <w:szCs w:val="32"/>
          <w:vertAlign w:val="baseline"/>
          <w:lang w:eastAsia="zh-CN"/>
        </w:rPr>
        <w:t>，</w:t>
      </w:r>
      <w:r>
        <w:rPr>
          <w:rFonts w:hint="eastAsia" w:ascii="仿宋_GB2312" w:hAnsi="仿宋_GB2312" w:eastAsia="仿宋_GB2312" w:cs="仿宋_GB2312"/>
          <w:i w:val="0"/>
          <w:iCs w:val="0"/>
          <w:caps w:val="0"/>
          <w:color w:val="222222"/>
          <w:spacing w:val="0"/>
          <w:sz w:val="32"/>
          <w:szCs w:val="32"/>
          <w:vertAlign w:val="baseline"/>
        </w:rPr>
        <w:t>加快实现多部门有效衔接的环境保护工作体系，对于以后</w:t>
      </w:r>
      <w:r>
        <w:rPr>
          <w:rFonts w:hint="eastAsia" w:ascii="仿宋_GB2312" w:hAnsi="仿宋_GB2312" w:eastAsia="仿宋_GB2312" w:cs="仿宋_GB2312"/>
          <w:i w:val="0"/>
          <w:iCs w:val="0"/>
          <w:caps w:val="0"/>
          <w:color w:val="222222"/>
          <w:spacing w:val="0"/>
          <w:sz w:val="32"/>
          <w:szCs w:val="32"/>
          <w:vertAlign w:val="baseline"/>
          <w:lang w:eastAsia="zh-CN"/>
        </w:rPr>
        <w:t>生态环境保护</w:t>
      </w:r>
      <w:r>
        <w:rPr>
          <w:rFonts w:hint="eastAsia" w:ascii="仿宋_GB2312" w:hAnsi="仿宋_GB2312" w:eastAsia="仿宋_GB2312" w:cs="仿宋_GB2312"/>
          <w:i w:val="0"/>
          <w:iCs w:val="0"/>
          <w:caps w:val="0"/>
          <w:color w:val="222222"/>
          <w:spacing w:val="0"/>
          <w:sz w:val="32"/>
          <w:szCs w:val="32"/>
          <w:vertAlign w:val="baseline"/>
        </w:rPr>
        <w:t>机制长效发展，具有十分重要的意义。</w:t>
      </w:r>
      <w:r>
        <w:rPr>
          <w:rFonts w:hint="default" w:ascii="仿宋_GB2312" w:hAnsi="仿宋_GB2312" w:eastAsia="仿宋_GB2312" w:cs="仿宋_GB2312"/>
          <w:i w:val="0"/>
          <w:iCs w:val="0"/>
          <w:caps w:val="0"/>
          <w:color w:val="222222"/>
          <w:spacing w:val="0"/>
          <w:sz w:val="32"/>
          <w:szCs w:val="32"/>
          <w:vertAlign w:val="baseline"/>
        </w:rPr>
        <w:t>在加大打击力度的同时</w:t>
      </w:r>
      <w:r>
        <w:rPr>
          <w:rFonts w:hint="eastAsia" w:ascii="仿宋_GB2312" w:hAnsi="仿宋_GB2312" w:eastAsia="仿宋_GB2312" w:cs="仿宋_GB2312"/>
          <w:i w:val="0"/>
          <w:iCs w:val="0"/>
          <w:caps w:val="0"/>
          <w:color w:val="222222"/>
          <w:spacing w:val="0"/>
          <w:sz w:val="32"/>
          <w:szCs w:val="32"/>
          <w:vertAlign w:val="baseline"/>
          <w:lang w:eastAsia="zh-CN"/>
        </w:rPr>
        <w:t>坚持</w:t>
      </w:r>
      <w:r>
        <w:rPr>
          <w:rFonts w:hint="eastAsia" w:ascii="仿宋_GB2312" w:hAnsi="仿宋_GB2312" w:eastAsia="仿宋_GB2312" w:cs="仿宋_GB2312"/>
          <w:i w:val="0"/>
          <w:iCs w:val="0"/>
          <w:caps w:val="0"/>
          <w:color w:val="222222"/>
          <w:spacing w:val="0"/>
          <w:sz w:val="32"/>
          <w:szCs w:val="32"/>
          <w:vertAlign w:val="baseline"/>
        </w:rPr>
        <w:t>防范、宣传并重，让那些不法分子断掉通过污染环境获利的念头</w:t>
      </w:r>
      <w:r>
        <w:rPr>
          <w:rFonts w:hint="eastAsia" w:ascii="仿宋_GB2312" w:hAnsi="仿宋_GB2312" w:eastAsia="仿宋_GB2312" w:cs="仿宋_GB2312"/>
          <w:i w:val="0"/>
          <w:iCs w:val="0"/>
          <w:caps w:val="0"/>
          <w:color w:val="222222"/>
          <w:spacing w:val="0"/>
          <w:sz w:val="32"/>
          <w:szCs w:val="32"/>
          <w:vertAlign w:val="baseline"/>
          <w:lang w:eastAsia="zh-CN"/>
        </w:rPr>
        <w:t>，</w:t>
      </w:r>
      <w:r>
        <w:rPr>
          <w:rFonts w:hint="eastAsia" w:ascii="仿宋_GB2312" w:hAnsi="仿宋_GB2312" w:eastAsia="仿宋_GB2312" w:cs="仿宋_GB2312"/>
          <w:i w:val="0"/>
          <w:iCs w:val="0"/>
          <w:caps w:val="0"/>
          <w:color w:val="222222"/>
          <w:spacing w:val="0"/>
          <w:sz w:val="32"/>
          <w:szCs w:val="32"/>
          <w:vertAlign w:val="baseline"/>
        </w:rPr>
        <w:t>有利于改善生态环境</w:t>
      </w:r>
      <w:r>
        <w:rPr>
          <w:rFonts w:hint="eastAsia" w:ascii="仿宋_GB2312" w:hAnsi="仿宋_GB2312" w:eastAsia="仿宋_GB2312" w:cs="仿宋_GB2312"/>
          <w:i w:val="0"/>
          <w:iCs w:val="0"/>
          <w:caps w:val="0"/>
          <w:color w:val="222222"/>
          <w:spacing w:val="0"/>
          <w:sz w:val="32"/>
          <w:szCs w:val="32"/>
          <w:vertAlign w:val="baseline"/>
          <w:lang w:val="en-US" w:eastAsia="zh-CN"/>
        </w:rPr>
        <w:t>，</w:t>
      </w:r>
      <w:r>
        <w:rPr>
          <w:rFonts w:hint="eastAsia" w:ascii="仿宋_GB2312" w:hAnsi="仿宋_GB2312" w:eastAsia="仿宋_GB2312" w:cs="仿宋_GB2312"/>
          <w:i w:val="0"/>
          <w:iCs w:val="0"/>
          <w:caps w:val="0"/>
          <w:color w:val="222222"/>
          <w:spacing w:val="0"/>
          <w:sz w:val="32"/>
          <w:szCs w:val="32"/>
          <w:vertAlign w:val="baseline"/>
        </w:rPr>
        <w:t>消除环境污染隐患，维护社会市场公平、正义</w:t>
      </w:r>
      <w:r>
        <w:rPr>
          <w:rFonts w:hint="eastAsia" w:ascii="仿宋_GB2312" w:hAnsi="仿宋_GB2312" w:eastAsia="仿宋_GB2312" w:cs="仿宋_GB2312"/>
          <w:i w:val="0"/>
          <w:iCs w:val="0"/>
          <w:caps w:val="0"/>
          <w:color w:val="222222"/>
          <w:spacing w:val="0"/>
          <w:sz w:val="32"/>
          <w:szCs w:val="32"/>
          <w:vertAlign w:val="baseline"/>
          <w:lang w:eastAsia="zh-CN"/>
        </w:rPr>
        <w:t>。</w:t>
      </w:r>
    </w:p>
    <w:p>
      <w:pPr>
        <w:ind w:firstLine="640" w:firstLineChars="200"/>
        <w:rPr>
          <w:rFonts w:hint="eastAsia" w:ascii="仿宋_GB2312" w:hAnsi="仿宋_GB2312" w:eastAsia="仿宋_GB2312" w:cs="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5Y2FhNzVhZmZkMjczOGRmN2RhODQyMDE5NTc2N2MifQ=="/>
  </w:docVars>
  <w:rsids>
    <w:rsidRoot w:val="4D8C357E"/>
    <w:rsid w:val="361C5BD6"/>
    <w:rsid w:val="4D8C3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2023-07-28T01:08:00Z</dcterms:created>
  <dc:creator>一梦如是</dc:creator>
  <cp:lastModifiedBy>一梦如是</cp:lastModifiedBy>
  <dcterms:modified xsi:type="dcterms:W3CDTF">2023-07-28T02:11:37Z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0A6FA2D519C140F49BC3E1BF181B190D_13</vt:lpwstr>
  </property>
</Properties>
</file>