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许环建审〔20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54</w:t>
      </w:r>
      <w:r>
        <w:rPr>
          <w:rFonts w:hint="eastAsia" w:ascii="仿宋" w:hAnsi="仿宋" w:eastAsia="仿宋" w:cs="仿宋"/>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 w:hAnsi="仿宋" w:eastAsia="仿宋" w:cs="仿宋"/>
          <w:b/>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许昌市生态环境局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关</w:t>
      </w:r>
      <w:r>
        <w:rPr>
          <w:rFonts w:hint="eastAsia" w:ascii="方正小标宋简体" w:hAnsi="方正小标宋简体" w:eastAsia="方正小标宋简体" w:cs="方正小标宋简体"/>
          <w:b w:val="0"/>
          <w:bCs/>
          <w:sz w:val="44"/>
          <w:szCs w:val="44"/>
          <w:lang w:eastAsia="zh-CN"/>
        </w:rPr>
        <w:t>于</w:t>
      </w:r>
      <w:r>
        <w:rPr>
          <w:rFonts w:hint="eastAsia" w:ascii="方正小标宋简体" w:hAnsi="方正小标宋简体" w:eastAsia="方正小标宋简体" w:cs="方正小标宋简体"/>
          <w:b w:val="0"/>
          <w:bCs/>
          <w:sz w:val="44"/>
          <w:szCs w:val="44"/>
          <w:lang w:val="en-US" w:eastAsia="zh-CN"/>
        </w:rPr>
        <w:t>中国石油天然气股份有限公司河南许昌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销售分公司中国石油天然气股份有限公司河南许昌第二加油加气站</w:t>
      </w:r>
      <w:r>
        <w:rPr>
          <w:rFonts w:hint="eastAsia" w:ascii="方正小标宋简体" w:hAnsi="方正小标宋简体" w:eastAsia="方正小标宋简体" w:cs="方正小标宋简体"/>
          <w:b w:val="0"/>
          <w:bCs/>
          <w:sz w:val="44"/>
          <w:szCs w:val="44"/>
        </w:rPr>
        <w:t>项目环境影响报告表的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批</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复</w:t>
      </w:r>
    </w:p>
    <w:p>
      <w:pPr>
        <w:keepNext w:val="0"/>
        <w:keepLines w:val="0"/>
        <w:pageBreakBefore w:val="0"/>
        <w:kinsoku/>
        <w:overflowPunct/>
        <w:topLinePunct w:val="0"/>
        <w:bidi w:val="0"/>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overflowPunct/>
        <w:topLinePunct w:val="0"/>
        <w:bidi w:val="0"/>
        <w:snapToGrid/>
        <w:spacing w:line="520" w:lineRule="exact"/>
        <w:ind w:left="0" w:leftChars="0" w:right="0" w:right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中国石油天然气股份</w:t>
      </w:r>
      <w:r>
        <w:rPr>
          <w:rFonts w:hint="eastAsia" w:ascii="仿宋" w:hAnsi="仿宋" w:eastAsia="仿宋" w:cs="仿宋"/>
          <w:sz w:val="32"/>
          <w:szCs w:val="32"/>
          <w:lang w:eastAsia="zh-CN"/>
        </w:rPr>
        <w:t>有限公司</w:t>
      </w:r>
      <w:r>
        <w:rPr>
          <w:rFonts w:hint="eastAsia" w:ascii="仿宋" w:hAnsi="仿宋" w:eastAsia="仿宋" w:cs="仿宋"/>
          <w:sz w:val="32"/>
          <w:szCs w:val="32"/>
          <w:lang w:val="en-US" w:eastAsia="zh-CN"/>
        </w:rPr>
        <w:t>河南许昌销售分公司</w:t>
      </w:r>
      <w:r>
        <w:rPr>
          <w:rFonts w:hint="eastAsia" w:ascii="仿宋" w:hAnsi="仿宋" w:eastAsia="仿宋" w:cs="仿宋"/>
          <w:sz w:val="32"/>
          <w:szCs w:val="32"/>
        </w:rPr>
        <w:t>：</w:t>
      </w:r>
    </w:p>
    <w:p>
      <w:pPr>
        <w:keepNext w:val="0"/>
        <w:keepLines w:val="0"/>
        <w:pageBreakBefore w:val="0"/>
        <w:kinsoku/>
        <w:overflowPunct/>
        <w:topLinePunct w:val="0"/>
        <w:bidi w:val="0"/>
        <w:snapToGrid/>
        <w:spacing w:line="52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你公司（统一社会信用代码：</w:t>
      </w:r>
      <w:r>
        <w:rPr>
          <w:rFonts w:hint="eastAsia" w:ascii="仿宋" w:hAnsi="仿宋" w:eastAsia="仿宋" w:cs="仿宋"/>
          <w:sz w:val="32"/>
          <w:szCs w:val="32"/>
          <w:lang w:val="en-US" w:eastAsia="zh-CN"/>
        </w:rPr>
        <w:t>914110007286713681</w:t>
      </w:r>
      <w:r>
        <w:rPr>
          <w:rFonts w:hint="eastAsia" w:ascii="仿宋" w:hAnsi="仿宋" w:eastAsia="仿宋" w:cs="仿宋"/>
          <w:sz w:val="32"/>
          <w:szCs w:val="32"/>
        </w:rPr>
        <w:t>）上报的由</w:t>
      </w:r>
      <w:r>
        <w:rPr>
          <w:rFonts w:hint="eastAsia" w:ascii="仿宋" w:hAnsi="仿宋" w:eastAsia="仿宋" w:cs="仿宋"/>
          <w:sz w:val="32"/>
          <w:szCs w:val="32"/>
          <w:lang w:val="en-US" w:eastAsia="zh-CN"/>
        </w:rPr>
        <w:t>北京华夏国润环保科技</w:t>
      </w:r>
      <w:r>
        <w:rPr>
          <w:rFonts w:hint="eastAsia" w:ascii="仿宋" w:hAnsi="仿宋" w:eastAsia="仿宋" w:cs="仿宋"/>
          <w:sz w:val="32"/>
          <w:szCs w:val="32"/>
        </w:rPr>
        <w:t>有限公司编制完成的《</w:t>
      </w:r>
      <w:r>
        <w:rPr>
          <w:rFonts w:hint="eastAsia" w:ascii="仿宋" w:hAnsi="仿宋" w:eastAsia="仿宋" w:cs="仿宋"/>
          <w:sz w:val="32"/>
          <w:szCs w:val="32"/>
          <w:lang w:val="en-US" w:eastAsia="zh-CN"/>
        </w:rPr>
        <w:t>中国石油天然气股份有限公司河南许昌第二加油加气站</w:t>
      </w:r>
      <w:r>
        <w:rPr>
          <w:rFonts w:hint="eastAsia" w:ascii="仿宋" w:hAnsi="仿宋" w:eastAsia="仿宋" w:cs="仿宋"/>
          <w:sz w:val="32"/>
          <w:szCs w:val="32"/>
        </w:rPr>
        <w:t>项目（报批版）》（以下简称《报告表》）收悉，并已在我局网站公示期满。根据《中华人民共和国环境保护法》、《中华人民共和国行政许可法》、《中华人民共和国环境影响评价法》、《建设项目环境保护管理条例》等法律法规规定，经研究，批复如下：</w:t>
      </w:r>
    </w:p>
    <w:p>
      <w:pPr>
        <w:keepNext w:val="0"/>
        <w:keepLines w:val="0"/>
        <w:pageBreakBefore w:val="0"/>
        <w:numPr>
          <w:ilvl w:val="0"/>
          <w:numId w:val="1"/>
        </w:numPr>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《报告</w:t>
      </w:r>
      <w:r>
        <w:rPr>
          <w:rFonts w:hint="eastAsia" w:ascii="仿宋" w:hAnsi="仿宋" w:eastAsia="仿宋" w:cs="仿宋"/>
          <w:sz w:val="32"/>
          <w:szCs w:val="32"/>
          <w:lang w:eastAsia="zh-CN"/>
        </w:rPr>
        <w:t>表</w:t>
      </w:r>
      <w:r>
        <w:rPr>
          <w:rFonts w:hint="eastAsia" w:ascii="仿宋" w:hAnsi="仿宋" w:eastAsia="仿宋" w:cs="仿宋"/>
          <w:sz w:val="32"/>
          <w:szCs w:val="32"/>
        </w:rPr>
        <w:t>》内容符合国家有关法律法规要求和建设项目环境管理规定，评价结论可信。我</w:t>
      </w:r>
      <w:r>
        <w:rPr>
          <w:rFonts w:hint="eastAsia" w:ascii="仿宋" w:hAnsi="仿宋" w:eastAsia="仿宋" w:cs="仿宋"/>
          <w:sz w:val="32"/>
          <w:szCs w:val="32"/>
          <w:lang w:eastAsia="zh-CN"/>
        </w:rPr>
        <w:t>局</w:t>
      </w:r>
      <w:r>
        <w:rPr>
          <w:rFonts w:hint="eastAsia" w:ascii="仿宋" w:hAnsi="仿宋" w:eastAsia="仿宋" w:cs="仿宋"/>
          <w:sz w:val="32"/>
          <w:szCs w:val="32"/>
        </w:rPr>
        <w:t>批准该《报告</w:t>
      </w:r>
      <w:r>
        <w:rPr>
          <w:rFonts w:hint="eastAsia" w:ascii="仿宋" w:hAnsi="仿宋" w:eastAsia="仿宋" w:cs="仿宋"/>
          <w:sz w:val="32"/>
          <w:szCs w:val="32"/>
          <w:lang w:eastAsia="zh-CN"/>
        </w:rPr>
        <w:t>表</w:t>
      </w:r>
      <w:r>
        <w:rPr>
          <w:rFonts w:hint="eastAsia" w:ascii="仿宋" w:hAnsi="仿宋" w:eastAsia="仿宋" w:cs="仿宋"/>
          <w:sz w:val="32"/>
          <w:szCs w:val="32"/>
        </w:rPr>
        <w:t>》，原则同意你公司按照《报告</w:t>
      </w:r>
      <w:r>
        <w:rPr>
          <w:rFonts w:hint="eastAsia" w:ascii="仿宋" w:hAnsi="仿宋" w:eastAsia="仿宋" w:cs="仿宋"/>
          <w:sz w:val="32"/>
          <w:szCs w:val="32"/>
          <w:lang w:eastAsia="zh-CN"/>
        </w:rPr>
        <w:t>表</w:t>
      </w:r>
      <w:r>
        <w:rPr>
          <w:rFonts w:hint="eastAsia" w:ascii="仿宋" w:hAnsi="仿宋" w:eastAsia="仿宋" w:cs="仿宋"/>
          <w:sz w:val="32"/>
          <w:szCs w:val="32"/>
        </w:rPr>
        <w:t>》所列项目的性质、规模、地点、采用的生产工艺和环境保护对策进行项目建设。</w:t>
      </w:r>
    </w:p>
    <w:p>
      <w:pPr>
        <w:keepNext w:val="0"/>
        <w:keepLines w:val="0"/>
        <w:pageBreakBefore w:val="0"/>
        <w:numPr>
          <w:ilvl w:val="0"/>
          <w:numId w:val="1"/>
        </w:numPr>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你公司应按照《关于印发建设项目环境影响评价信息公开机制方案的通知》（环发〔2015〕162号）要求，主动公开业经批准的《报告</w:t>
      </w:r>
      <w:r>
        <w:rPr>
          <w:rFonts w:hint="eastAsia" w:ascii="仿宋" w:hAnsi="仿宋" w:eastAsia="仿宋" w:cs="仿宋"/>
          <w:sz w:val="32"/>
          <w:szCs w:val="32"/>
          <w:lang w:eastAsia="zh-CN"/>
        </w:rPr>
        <w:t>表</w:t>
      </w:r>
      <w:r>
        <w:rPr>
          <w:rFonts w:hint="eastAsia" w:ascii="仿宋" w:hAnsi="仿宋" w:eastAsia="仿宋" w:cs="仿宋"/>
          <w:sz w:val="32"/>
          <w:szCs w:val="32"/>
        </w:rPr>
        <w:t>》，做好建设项目环境信息公开工作，并接受相关方的咨询。</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三、你公司应全面落实《报告</w:t>
      </w:r>
      <w:r>
        <w:rPr>
          <w:rFonts w:hint="eastAsia" w:ascii="仿宋" w:hAnsi="仿宋" w:eastAsia="仿宋" w:cs="仿宋"/>
          <w:color w:val="000000"/>
          <w:sz w:val="32"/>
          <w:szCs w:val="32"/>
          <w:lang w:eastAsia="zh-CN"/>
        </w:rPr>
        <w:t>表</w:t>
      </w:r>
      <w:r>
        <w:rPr>
          <w:rFonts w:hint="eastAsia" w:ascii="仿宋" w:hAnsi="仿宋" w:eastAsia="仿宋" w:cs="仿宋"/>
          <w:color w:val="000000"/>
          <w:sz w:val="32"/>
          <w:szCs w:val="32"/>
        </w:rPr>
        <w:t>》提出的各项环境保护措施，确保各项环境保护设施与主体工程同时设计、同时施工、同时投入使用，确保各项污染物达标排放。向设计单位提供《报告</w:t>
      </w:r>
      <w:r>
        <w:rPr>
          <w:rFonts w:hint="eastAsia" w:ascii="仿宋" w:hAnsi="仿宋" w:eastAsia="仿宋" w:cs="仿宋"/>
          <w:color w:val="000000"/>
          <w:sz w:val="32"/>
          <w:szCs w:val="32"/>
          <w:lang w:eastAsia="zh-CN"/>
        </w:rPr>
        <w:t>表</w:t>
      </w:r>
      <w:r>
        <w:rPr>
          <w:rFonts w:hint="eastAsia" w:ascii="仿宋" w:hAnsi="仿宋" w:eastAsia="仿宋" w:cs="仿宋"/>
          <w:color w:val="000000"/>
          <w:sz w:val="32"/>
          <w:szCs w:val="32"/>
        </w:rPr>
        <w:t>》和本批复文件，确保项目设计按照环境保护设计规范要求，落实防治环境污染和生态破坏的措施以及环保设施投资概算。依据《报告</w:t>
      </w:r>
      <w:r>
        <w:rPr>
          <w:rFonts w:hint="eastAsia" w:ascii="仿宋" w:hAnsi="仿宋" w:eastAsia="仿宋" w:cs="仿宋"/>
          <w:color w:val="000000"/>
          <w:sz w:val="32"/>
          <w:szCs w:val="32"/>
          <w:lang w:eastAsia="zh-CN"/>
        </w:rPr>
        <w:t>表</w:t>
      </w:r>
      <w:r>
        <w:rPr>
          <w:rFonts w:hint="eastAsia" w:ascii="仿宋" w:hAnsi="仿宋" w:eastAsia="仿宋" w:cs="仿宋"/>
          <w:color w:val="000000"/>
          <w:sz w:val="32"/>
          <w:szCs w:val="32"/>
        </w:rPr>
        <w:t>》和本批复文件，对项目建设过程中产生的废水、废气、固体废物、噪声等污染，采取相应的防治措施。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四、</w:t>
      </w:r>
      <w:r>
        <w:rPr>
          <w:rFonts w:hint="eastAsia" w:ascii="仿宋" w:hAnsi="仿宋" w:eastAsia="仿宋" w:cs="仿宋"/>
          <w:color w:val="000000"/>
          <w:sz w:val="32"/>
          <w:szCs w:val="32"/>
        </w:rPr>
        <w:t>项目</w:t>
      </w:r>
      <w:r>
        <w:rPr>
          <w:rFonts w:hint="eastAsia" w:ascii="仿宋" w:hAnsi="仿宋" w:eastAsia="仿宋" w:cs="仿宋"/>
          <w:color w:val="000000"/>
          <w:sz w:val="32"/>
          <w:szCs w:val="32"/>
          <w:lang w:val="en-US" w:eastAsia="zh-CN"/>
        </w:rPr>
        <w:t>建设期</w:t>
      </w:r>
      <w:r>
        <w:rPr>
          <w:rFonts w:hint="eastAsia" w:ascii="仿宋" w:hAnsi="仿宋" w:eastAsia="仿宋" w:cs="仿宋"/>
          <w:color w:val="000000"/>
          <w:sz w:val="32"/>
          <w:szCs w:val="32"/>
        </w:rPr>
        <w:t>应</w:t>
      </w:r>
      <w:r>
        <w:rPr>
          <w:rFonts w:hint="eastAsia" w:ascii="仿宋" w:hAnsi="仿宋" w:eastAsia="仿宋" w:cs="仿宋"/>
          <w:color w:val="000000"/>
          <w:sz w:val="32"/>
          <w:szCs w:val="32"/>
          <w:lang w:val="en-US" w:eastAsia="zh-CN"/>
        </w:rPr>
        <w:t>做好</w:t>
      </w:r>
      <w:r>
        <w:rPr>
          <w:rFonts w:hint="eastAsia" w:ascii="仿宋" w:hAnsi="仿宋" w:eastAsia="仿宋" w:cs="仿宋"/>
          <w:color w:val="000000"/>
          <w:sz w:val="32"/>
          <w:szCs w:val="32"/>
        </w:rPr>
        <w:t>以下</w:t>
      </w:r>
      <w:r>
        <w:rPr>
          <w:rFonts w:hint="eastAsia" w:ascii="仿宋" w:hAnsi="仿宋" w:eastAsia="仿宋" w:cs="仿宋"/>
          <w:color w:val="000000"/>
          <w:sz w:val="32"/>
          <w:szCs w:val="32"/>
          <w:lang w:val="en-US" w:eastAsia="zh-CN"/>
        </w:rPr>
        <w:t>工作</w:t>
      </w:r>
      <w:r>
        <w:rPr>
          <w:rFonts w:hint="eastAsia" w:ascii="仿宋" w:hAnsi="仿宋" w:eastAsia="仿宋" w:cs="仿宋"/>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1、废水。施工期泥浆水、车辆冲洗水经沉淀池收集后用于施工现场洒水抑尘，不得外排；生活污水经化粪池收集后排入城市污水管网进建安区三达水务有限公司深度处理。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eastAsia="zh-CN"/>
        </w:rPr>
        <w:t>废气。建设单位应严格</w:t>
      </w:r>
      <w:r>
        <w:rPr>
          <w:rFonts w:hint="eastAsia" w:ascii="仿宋" w:hAnsi="仿宋" w:eastAsia="仿宋" w:cs="仿宋"/>
          <w:sz w:val="32"/>
          <w:szCs w:val="32"/>
          <w:highlight w:val="none"/>
          <w:lang w:val="en-US" w:eastAsia="zh-CN"/>
        </w:rPr>
        <w:t>按照</w:t>
      </w:r>
      <w:r>
        <w:rPr>
          <w:rFonts w:hint="eastAsia" w:ascii="仿宋" w:hAnsi="仿宋" w:eastAsia="仿宋" w:cs="仿宋"/>
          <w:sz w:val="32"/>
          <w:szCs w:val="32"/>
          <w:highlight w:val="none"/>
          <w:lang w:eastAsia="zh-CN"/>
        </w:rPr>
        <w:t>河南省《城市房屋建筑和市政基础设施工程及道路扬尘污染防治标准》（</w:t>
      </w:r>
      <w:r>
        <w:rPr>
          <w:rFonts w:hint="eastAsia" w:ascii="仿宋" w:hAnsi="仿宋" w:eastAsia="仿宋" w:cs="仿宋"/>
          <w:sz w:val="32"/>
          <w:szCs w:val="32"/>
          <w:highlight w:val="none"/>
          <w:lang w:val="en-US" w:eastAsia="zh-CN"/>
        </w:rPr>
        <w:t>DBJ41/T174-2020</w:t>
      </w:r>
      <w:r>
        <w:rPr>
          <w:rFonts w:hint="eastAsia" w:ascii="仿宋" w:hAnsi="仿宋" w:eastAsia="仿宋" w:cs="仿宋"/>
          <w:sz w:val="32"/>
          <w:szCs w:val="32"/>
          <w:highlight w:val="none"/>
          <w:lang w:eastAsia="zh-CN"/>
        </w:rPr>
        <w:t>）要求，</w:t>
      </w:r>
      <w:r>
        <w:rPr>
          <w:rFonts w:hint="eastAsia" w:ascii="仿宋" w:hAnsi="仿宋" w:eastAsia="仿宋" w:cs="仿宋"/>
          <w:sz w:val="32"/>
          <w:szCs w:val="32"/>
          <w:highlight w:val="none"/>
          <w:lang w:val="en-US" w:eastAsia="zh-CN"/>
        </w:rPr>
        <w:t>加强施工期管理，工地</w:t>
      </w:r>
      <w:r>
        <w:rPr>
          <w:rFonts w:hint="eastAsia" w:ascii="仿宋" w:hAnsi="仿宋" w:eastAsia="仿宋" w:cs="仿宋"/>
          <w:sz w:val="32"/>
          <w:szCs w:val="32"/>
          <w:highlight w:val="none"/>
          <w:lang w:eastAsia="zh-CN"/>
        </w:rPr>
        <w:t>开工前做到“六个到位”、施工过程中执行“6个100%”、施工现场要做到“两个禁止”。</w:t>
      </w:r>
      <w:r>
        <w:rPr>
          <w:rFonts w:hint="eastAsia" w:ascii="仿宋" w:hAnsi="仿宋" w:eastAsia="仿宋" w:cs="仿宋"/>
          <w:sz w:val="32"/>
          <w:szCs w:val="32"/>
          <w:highlight w:val="none"/>
          <w:lang w:val="en-US" w:eastAsia="zh-CN"/>
        </w:rPr>
        <w:t>工地施工机械应按要求向生态环境部门登记备案并悬挂环保标牌。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lang w:eastAsia="zh-CN"/>
        </w:rPr>
        <w:t>噪声。采用低噪声施工机械，严格执行《建筑施工场界环境噪声排放标准》（GB12523-2011）中有关规定，合理安排各类施工机械的工作时间，防止噪声扰民。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lang w:eastAsia="zh-CN"/>
        </w:rPr>
        <w:t>固废。生活垃圾分类收集后交由环卫部门处置</w:t>
      </w:r>
      <w:r>
        <w:rPr>
          <w:rFonts w:hint="eastAsia" w:ascii="仿宋" w:hAnsi="仿宋" w:eastAsia="仿宋" w:cs="仿宋"/>
          <w:color w:val="000000"/>
          <w:sz w:val="32"/>
          <w:szCs w:val="32"/>
          <w:lang w:eastAsia="zh-CN"/>
        </w:rPr>
        <w:t>；建筑垃圾和工程弃土弃渣及时清运、妥善处置，不得长期堆存、随意倾倒。</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生态保护。施工期应严格落实生态保护和水土保持各项措施。施工结束后，应及时对施工便道等临时占地进行土地平整、表土回覆和植被恢复。</w:t>
      </w:r>
    </w:p>
    <w:p>
      <w:pPr>
        <w:pStyle w:val="9"/>
        <w:keepNext w:val="0"/>
        <w:keepLines w:val="0"/>
        <w:pageBreakBefore w:val="0"/>
        <w:kinsoku/>
        <w:overflowPunct/>
        <w:topLinePunct w:val="0"/>
        <w:bidi w:val="0"/>
        <w:snapToGrid/>
        <w:spacing w:line="52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w:t>
      </w:r>
      <w:r>
        <w:rPr>
          <w:rFonts w:hint="eastAsia" w:ascii="仿宋" w:hAnsi="仿宋" w:eastAsia="仿宋" w:cs="仿宋"/>
          <w:color w:val="000000"/>
          <w:sz w:val="32"/>
          <w:szCs w:val="32"/>
        </w:rPr>
        <w:t>项目</w:t>
      </w:r>
      <w:r>
        <w:rPr>
          <w:rFonts w:hint="eastAsia" w:ascii="仿宋" w:hAnsi="仿宋" w:eastAsia="仿宋" w:cs="仿宋"/>
          <w:color w:val="000000"/>
          <w:sz w:val="32"/>
          <w:szCs w:val="32"/>
          <w:lang w:val="en-US" w:eastAsia="zh-CN"/>
        </w:rPr>
        <w:t>建成后</w:t>
      </w:r>
      <w:r>
        <w:rPr>
          <w:rFonts w:hint="eastAsia" w:ascii="仿宋" w:hAnsi="仿宋" w:eastAsia="仿宋" w:cs="仿宋"/>
          <w:color w:val="000000"/>
          <w:sz w:val="32"/>
          <w:szCs w:val="32"/>
        </w:rPr>
        <w:t>外排污染物应满足以下要求</w:t>
      </w:r>
    </w:p>
    <w:p>
      <w:pPr>
        <w:pStyle w:val="10"/>
        <w:keepNext w:val="0"/>
        <w:keepLines w:val="0"/>
        <w:pageBreakBefore w:val="0"/>
        <w:tabs>
          <w:tab w:val="left" w:pos="8598"/>
        </w:tabs>
        <w:kinsoku/>
        <w:overflowPunct/>
        <w:topLinePunct w:val="0"/>
        <w:bidi w:val="0"/>
        <w:snapToGrid/>
        <w:spacing w:line="520" w:lineRule="exact"/>
        <w:ind w:left="0" w:leftChars="0" w:right="0" w:rightChars="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1、废水。本项目站内不设洗车设备，加油车辆不在站内清洗，无生产废水，站内生活污水</w:t>
      </w:r>
      <w:r>
        <w:rPr>
          <w:rFonts w:hint="eastAsia" w:ascii="仿宋" w:hAnsi="仿宋" w:eastAsia="仿宋" w:cs="仿宋"/>
          <w:color w:val="000000"/>
          <w:sz w:val="32"/>
          <w:szCs w:val="32"/>
          <w:lang w:val="en-US" w:eastAsia="zh-CN"/>
        </w:rPr>
        <w:t>经化粪池处理后达到</w:t>
      </w:r>
      <w:r>
        <w:rPr>
          <w:rFonts w:hint="eastAsia" w:ascii="仿宋" w:hAnsi="仿宋" w:eastAsia="仿宋" w:cs="仿宋"/>
          <w:color w:val="000000"/>
          <w:sz w:val="32"/>
          <w:szCs w:val="32"/>
        </w:rPr>
        <w:t>《污水综合排放标准》（GB8978-1996）表4三级标准</w:t>
      </w:r>
      <w:r>
        <w:rPr>
          <w:rFonts w:hint="eastAsia" w:ascii="仿宋" w:hAnsi="仿宋" w:eastAsia="仿宋" w:cs="仿宋"/>
          <w:color w:val="000000"/>
          <w:sz w:val="32"/>
          <w:szCs w:val="32"/>
          <w:lang w:eastAsia="zh-CN"/>
        </w:rPr>
        <w:t>并满足建安区三达水务有限公司进水指标要求</w:t>
      </w:r>
      <w:r>
        <w:rPr>
          <w:rFonts w:hint="eastAsia" w:ascii="仿宋" w:hAnsi="仿宋" w:eastAsia="仿宋" w:cs="仿宋"/>
          <w:color w:val="000000"/>
          <w:sz w:val="32"/>
          <w:szCs w:val="32"/>
        </w:rPr>
        <w:t>，排入城市污水管网，进</w:t>
      </w:r>
      <w:r>
        <w:rPr>
          <w:rFonts w:hint="eastAsia" w:ascii="仿宋" w:hAnsi="仿宋" w:eastAsia="仿宋" w:cs="仿宋"/>
          <w:sz w:val="32"/>
          <w:szCs w:val="32"/>
          <w:highlight w:val="none"/>
          <w:lang w:val="en-US" w:eastAsia="zh-CN"/>
        </w:rPr>
        <w:t>建安区三达水务有限公司深度处理</w:t>
      </w:r>
      <w:r>
        <w:rPr>
          <w:rFonts w:hint="eastAsia" w:ascii="仿宋" w:hAnsi="仿宋" w:eastAsia="仿宋" w:cs="仿宋"/>
          <w:color w:val="000000"/>
          <w:sz w:val="32"/>
          <w:szCs w:val="32"/>
        </w:rPr>
        <w:t>。</w:t>
      </w:r>
    </w:p>
    <w:p>
      <w:pPr>
        <w:pStyle w:val="10"/>
        <w:keepNext w:val="0"/>
        <w:keepLines w:val="0"/>
        <w:pageBreakBefore w:val="0"/>
        <w:tabs>
          <w:tab w:val="left" w:pos="8598"/>
        </w:tabs>
        <w:kinsoku/>
        <w:overflowPunct/>
        <w:topLinePunct w:val="0"/>
        <w:bidi w:val="0"/>
        <w:snapToGrid/>
        <w:spacing w:line="520" w:lineRule="exact"/>
        <w:ind w:left="0" w:leftChars="0" w:right="0" w:righ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2、废气。项目废气污染物主要为油品挥发产生的油气和进出站车辆汽车尾气。设置卸油油气回收系统（一次油气回收）、加油油气回收系统（二次油气回收），非甲烷总烃</w:t>
      </w:r>
      <w:r>
        <w:rPr>
          <w:rFonts w:hint="eastAsia" w:ascii="仿宋" w:hAnsi="仿宋" w:eastAsia="仿宋" w:cs="仿宋"/>
          <w:color w:val="000000"/>
          <w:sz w:val="32"/>
          <w:szCs w:val="32"/>
          <w:lang w:val="en-US" w:eastAsia="zh-CN"/>
        </w:rPr>
        <w:t>无组织排放应</w:t>
      </w:r>
      <w:r>
        <w:rPr>
          <w:rFonts w:hint="eastAsia" w:ascii="仿宋" w:hAnsi="仿宋" w:eastAsia="仿宋" w:cs="仿宋"/>
          <w:color w:val="000000"/>
          <w:sz w:val="32"/>
          <w:szCs w:val="32"/>
        </w:rPr>
        <w:t>满足《大气污染物综合排放标准》（GB16297—1996）</w:t>
      </w:r>
      <w:r>
        <w:rPr>
          <w:rFonts w:hint="eastAsia" w:ascii="仿宋" w:hAnsi="仿宋" w:eastAsia="仿宋" w:cs="仿宋"/>
          <w:color w:val="000000"/>
          <w:sz w:val="32"/>
          <w:szCs w:val="32"/>
          <w:lang w:eastAsia="zh-CN"/>
        </w:rPr>
        <w:t>表</w:t>
      </w:r>
      <w:r>
        <w:rPr>
          <w:rFonts w:hint="eastAsia" w:ascii="仿宋" w:hAnsi="仿宋" w:eastAsia="仿宋" w:cs="仿宋"/>
          <w:color w:val="000000"/>
          <w:sz w:val="32"/>
          <w:szCs w:val="32"/>
          <w:lang w:val="en-US" w:eastAsia="zh-CN"/>
        </w:rPr>
        <w:t>2无组织排放监控浓度限值，</w:t>
      </w:r>
      <w:r>
        <w:rPr>
          <w:rFonts w:hint="eastAsia" w:ascii="仿宋" w:hAnsi="仿宋" w:eastAsia="仿宋" w:cs="仿宋"/>
          <w:color w:val="000000"/>
          <w:sz w:val="32"/>
          <w:szCs w:val="32"/>
        </w:rPr>
        <w:t>同时满足</w:t>
      </w:r>
      <w:r>
        <w:rPr>
          <w:rFonts w:hint="eastAsia" w:ascii="仿宋" w:hAnsi="仿宋" w:eastAsia="仿宋" w:cs="仿宋"/>
          <w:color w:val="000000"/>
          <w:sz w:val="32"/>
          <w:szCs w:val="32"/>
          <w:lang w:val="en-US" w:eastAsia="zh-CN"/>
        </w:rPr>
        <w:t>《挥发性有机物无组织排放控制标准》（GB37822-2019）限值标准要求。</w:t>
      </w:r>
    </w:p>
    <w:p>
      <w:pPr>
        <w:pStyle w:val="10"/>
        <w:keepNext w:val="0"/>
        <w:keepLines w:val="0"/>
        <w:pageBreakBefore w:val="0"/>
        <w:tabs>
          <w:tab w:val="left" w:pos="8598"/>
        </w:tabs>
        <w:kinsoku/>
        <w:overflowPunct/>
        <w:topLinePunct w:val="0"/>
        <w:bidi w:val="0"/>
        <w:snapToGrid/>
        <w:spacing w:line="520" w:lineRule="exact"/>
        <w:ind w:left="0" w:leftChars="0" w:right="0" w:rightChars="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3、噪声。对</w:t>
      </w:r>
      <w:r>
        <w:rPr>
          <w:rFonts w:hint="eastAsia" w:ascii="仿宋" w:hAnsi="仿宋" w:eastAsia="仿宋" w:cs="仿宋"/>
          <w:color w:val="000000"/>
          <w:sz w:val="32"/>
          <w:szCs w:val="32"/>
          <w:lang w:val="en-US" w:eastAsia="zh-CN"/>
        </w:rPr>
        <w:t>高噪声设备</w:t>
      </w:r>
      <w:r>
        <w:rPr>
          <w:rFonts w:hint="eastAsia" w:ascii="仿宋" w:hAnsi="仿宋" w:eastAsia="仿宋" w:cs="仿宋"/>
          <w:color w:val="000000"/>
          <w:sz w:val="32"/>
          <w:szCs w:val="32"/>
        </w:rPr>
        <w:t>采取隔音、减振措施，厂界噪声应满足《工业企业厂界环境噪声排放标准》(GB12348-2008)表1中2类标准要求。</w:t>
      </w:r>
    </w:p>
    <w:p>
      <w:pPr>
        <w:pStyle w:val="10"/>
        <w:keepNext w:val="0"/>
        <w:keepLines w:val="0"/>
        <w:pageBreakBefore w:val="0"/>
        <w:tabs>
          <w:tab w:val="left" w:pos="8598"/>
        </w:tabs>
        <w:kinsoku/>
        <w:overflowPunct/>
        <w:topLinePunct w:val="0"/>
        <w:bidi w:val="0"/>
        <w:snapToGrid/>
        <w:spacing w:line="520" w:lineRule="exact"/>
        <w:ind w:left="0" w:leftChars="0" w:right="0" w:rightChars="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、固废。项目固体废物主要为油罐清洗产生的清罐废物和员工及司乘人员产生的生活垃圾。清罐废物属于危险废物，清理后交有资质单位进行处置。生活垃圾收集后，交由环卫部门统一处置。</w:t>
      </w:r>
    </w:p>
    <w:p>
      <w:pPr>
        <w:pStyle w:val="10"/>
        <w:keepNext w:val="0"/>
        <w:keepLines w:val="0"/>
        <w:pageBreakBefore w:val="0"/>
        <w:tabs>
          <w:tab w:val="left" w:pos="8598"/>
        </w:tabs>
        <w:kinsoku/>
        <w:overflowPunct/>
        <w:topLinePunct w:val="0"/>
        <w:bidi w:val="0"/>
        <w:snapToGrid/>
        <w:spacing w:line="520" w:lineRule="exact"/>
        <w:ind w:left="0" w:leftChars="0" w:right="0" w:rightChars="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5、地下水。项目站内采取分区防渗，储罐采用双层罐，做好防渗处理，同时设置地下水监测井。</w:t>
      </w:r>
    </w:p>
    <w:p>
      <w:pPr>
        <w:pStyle w:val="10"/>
        <w:keepNext w:val="0"/>
        <w:keepLines w:val="0"/>
        <w:pageBreakBefore w:val="0"/>
        <w:tabs>
          <w:tab w:val="left" w:pos="8598"/>
        </w:tabs>
        <w:kinsoku/>
        <w:overflowPunct/>
        <w:topLinePunct w:val="0"/>
        <w:bidi w:val="0"/>
        <w:snapToGrid/>
        <w:spacing w:line="520" w:lineRule="exact"/>
        <w:ind w:left="0" w:leftChars="0" w:right="0" w:rightChars="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六、</w:t>
      </w:r>
      <w:r>
        <w:rPr>
          <w:rFonts w:hint="eastAsia" w:ascii="仿宋" w:hAnsi="仿宋" w:eastAsia="仿宋" w:cs="仿宋"/>
          <w:color w:val="000000"/>
          <w:sz w:val="32"/>
          <w:szCs w:val="32"/>
        </w:rPr>
        <w:t>本项目建成后，主要污染物</w:t>
      </w:r>
      <w:r>
        <w:rPr>
          <w:rFonts w:hint="eastAsia" w:ascii="仿宋" w:hAnsi="仿宋" w:eastAsia="仿宋" w:cs="仿宋"/>
          <w:color w:val="000000"/>
          <w:sz w:val="32"/>
          <w:szCs w:val="32"/>
          <w:lang w:eastAsia="zh-CN"/>
        </w:rPr>
        <w:t>排放</w:t>
      </w:r>
      <w:r>
        <w:rPr>
          <w:rFonts w:hint="eastAsia" w:ascii="仿宋" w:hAnsi="仿宋" w:eastAsia="仿宋" w:cs="仿宋"/>
          <w:color w:val="000000"/>
          <w:sz w:val="32"/>
          <w:szCs w:val="32"/>
        </w:rPr>
        <w:t>控制指标（出厂量）为</w:t>
      </w:r>
      <w:r>
        <w:rPr>
          <w:rFonts w:hint="eastAsia" w:ascii="仿宋" w:hAnsi="仿宋" w:eastAsia="仿宋" w:cs="仿宋"/>
          <w:sz w:val="32"/>
          <w:szCs w:val="32"/>
        </w:rPr>
        <w:t>COD</w:t>
      </w:r>
      <w:r>
        <w:rPr>
          <w:rFonts w:hint="eastAsia" w:ascii="仿宋" w:hAnsi="仿宋" w:eastAsia="仿宋" w:cs="仿宋"/>
          <w:sz w:val="32"/>
          <w:szCs w:val="32"/>
          <w:lang w:val="en-US" w:eastAsia="zh-CN"/>
        </w:rPr>
        <w:t xml:space="preserve"> 0.062</w:t>
      </w:r>
      <w:r>
        <w:rPr>
          <w:rFonts w:hint="eastAsia" w:ascii="仿宋" w:hAnsi="仿宋" w:eastAsia="仿宋" w:cs="仿宋"/>
          <w:sz w:val="32"/>
          <w:szCs w:val="32"/>
        </w:rPr>
        <w:t>t/a、氨氮0.</w:t>
      </w:r>
      <w:r>
        <w:rPr>
          <w:rFonts w:hint="eastAsia" w:ascii="仿宋" w:hAnsi="仿宋" w:eastAsia="仿宋" w:cs="仿宋"/>
          <w:sz w:val="32"/>
          <w:szCs w:val="32"/>
          <w:lang w:val="en-US" w:eastAsia="zh-CN"/>
        </w:rPr>
        <w:t>011</w:t>
      </w:r>
      <w:r>
        <w:rPr>
          <w:rFonts w:hint="eastAsia" w:ascii="仿宋" w:hAnsi="仿宋" w:eastAsia="仿宋" w:cs="仿宋"/>
          <w:sz w:val="32"/>
          <w:szCs w:val="32"/>
        </w:rPr>
        <w:t>t/a</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非甲烷总</w:t>
      </w:r>
      <w:bookmarkStart w:id="0" w:name="_GoBack"/>
      <w:bookmarkEnd w:id="0"/>
      <w:r>
        <w:rPr>
          <w:rFonts w:hint="eastAsia" w:ascii="仿宋" w:hAnsi="仿宋" w:eastAsia="仿宋" w:cs="仿宋"/>
          <w:sz w:val="32"/>
          <w:szCs w:val="32"/>
          <w:lang w:val="en-US" w:eastAsia="zh-CN"/>
        </w:rPr>
        <w:t>烃0.874t/a(项目为迁建项目，使用原有排放总量）。</w:t>
      </w:r>
    </w:p>
    <w:p>
      <w:pPr>
        <w:keepNext w:val="0"/>
        <w:keepLines w:val="0"/>
        <w:pageBreakBefore w:val="0"/>
        <w:numPr>
          <w:ilvl w:val="0"/>
          <w:numId w:val="0"/>
        </w:numPr>
        <w:kinsoku/>
        <w:overflowPunct/>
        <w:topLinePunct w:val="0"/>
        <w:autoSpaceDE/>
        <w:autoSpaceDN/>
        <w:bidi w:val="0"/>
        <w:adjustRightInd/>
        <w:snapToGrid/>
        <w:spacing w:line="520" w:lineRule="exact"/>
        <w:ind w:left="0" w:leftChars="0" w:right="0" w:rightChars="0" w:firstLine="640" w:firstLineChars="200"/>
        <w:textAlignment w:val="auto"/>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、项目建设严格执行环境保护设施与主体工程同时设计、同时施工、同时投入使用的环境保护“三同时”制度；</w:t>
      </w:r>
      <w:r>
        <w:rPr>
          <w:rFonts w:hint="eastAsia" w:ascii="仿宋_GB2312" w:eastAsia="仿宋_GB2312"/>
          <w:sz w:val="32"/>
          <w:szCs w:val="32"/>
          <w:lang w:val="en-US" w:eastAsia="zh-CN"/>
        </w:rPr>
        <w:t>项目投入生产前应申请排污许可证</w:t>
      </w:r>
      <w:r>
        <w:rPr>
          <w:rFonts w:hint="eastAsia" w:ascii="仿宋_GB2312" w:eastAsia="仿宋_GB2312"/>
          <w:sz w:val="32"/>
          <w:szCs w:val="32"/>
          <w:lang w:eastAsia="zh-CN"/>
        </w:rPr>
        <w:t>，做到持证排污；</w:t>
      </w:r>
      <w:r>
        <w:rPr>
          <w:rFonts w:hint="eastAsia" w:ascii="仿宋" w:hAnsi="仿宋" w:eastAsia="仿宋" w:cs="仿宋"/>
          <w:sz w:val="32"/>
          <w:szCs w:val="32"/>
          <w:lang w:eastAsia="zh-CN"/>
        </w:rPr>
        <w:t>项目建成后，须按规定程序进行竣工环境保护验收，验收合格后，方可投入正式运行。</w:t>
      </w:r>
      <w:r>
        <w:rPr>
          <w:rFonts w:hint="eastAsia" w:ascii="仿宋" w:hAnsi="仿宋" w:eastAsia="仿宋" w:cs="仿宋"/>
          <w:sz w:val="32"/>
          <w:szCs w:val="32"/>
        </w:rPr>
        <w:t>如果今后国家或我省颁布严于本批复指标的新标准，届时你公司应按新标准执行。</w:t>
      </w:r>
    </w:p>
    <w:p>
      <w:pPr>
        <w:keepNext w:val="0"/>
        <w:keepLines w:val="0"/>
        <w:pageBreakBefore w:val="0"/>
        <w:numPr>
          <w:ilvl w:val="0"/>
          <w:numId w:val="0"/>
        </w:numPr>
        <w:kinsoku/>
        <w:overflowPunct/>
        <w:topLinePunct w:val="0"/>
        <w:bidi w:val="0"/>
        <w:snapToGrid/>
        <w:spacing w:line="52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八</w:t>
      </w:r>
      <w:r>
        <w:rPr>
          <w:rFonts w:hint="eastAsia" w:ascii="仿宋" w:hAnsi="仿宋" w:eastAsia="仿宋" w:cs="仿宋"/>
          <w:sz w:val="32"/>
          <w:szCs w:val="32"/>
          <w:lang w:eastAsia="zh-CN"/>
        </w:rPr>
        <w:t>、</w:t>
      </w:r>
      <w:r>
        <w:rPr>
          <w:rFonts w:hint="eastAsia" w:ascii="仿宋" w:hAnsi="仿宋" w:eastAsia="仿宋" w:cs="仿宋"/>
          <w:sz w:val="32"/>
          <w:szCs w:val="32"/>
        </w:rPr>
        <w:t>项目</w:t>
      </w:r>
      <w:r>
        <w:rPr>
          <w:rFonts w:hint="eastAsia" w:ascii="仿宋" w:hAnsi="仿宋" w:eastAsia="仿宋" w:cs="仿宋"/>
          <w:color w:val="000000"/>
          <w:sz w:val="32"/>
          <w:szCs w:val="32"/>
        </w:rPr>
        <w:t>自本批复下达之日起，超过5年方决定开工建设的，环境影响评价文件应报我局重新审核</w:t>
      </w:r>
      <w:r>
        <w:rPr>
          <w:rFonts w:hint="eastAsia" w:ascii="仿宋" w:hAnsi="仿宋" w:eastAsia="仿宋" w:cs="仿宋"/>
          <w:sz w:val="32"/>
          <w:szCs w:val="32"/>
        </w:rPr>
        <w:t xml:space="preserve">。如建设项目的性质、规模、地点、采用的生产工艺或者防治污染措施发生重大变动，应当重新报批建设项目的环境影响评价文件。              </w:t>
      </w:r>
    </w:p>
    <w:p>
      <w:pPr>
        <w:keepNext w:val="0"/>
        <w:keepLines w:val="0"/>
        <w:pageBreakBefore w:val="0"/>
        <w:kinsoku/>
        <w:overflowPunct/>
        <w:topLinePunct w:val="0"/>
        <w:bidi w:val="0"/>
        <w:snapToGrid/>
        <w:spacing w:line="520" w:lineRule="exact"/>
        <w:ind w:left="0" w:leftChars="0" w:right="0" w:rightChars="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overflowPunct/>
        <w:topLinePunct w:val="0"/>
        <w:bidi w:val="0"/>
        <w:snapToGrid/>
        <w:spacing w:line="520" w:lineRule="exact"/>
        <w:ind w:left="0" w:leftChars="0" w:right="0" w:rightChars="0"/>
        <w:textAlignment w:val="auto"/>
        <w:rPr>
          <w:rFonts w:hint="eastAsia" w:ascii="仿宋" w:hAnsi="仿宋" w:eastAsia="仿宋" w:cs="仿宋"/>
          <w:sz w:val="32"/>
          <w:szCs w:val="32"/>
        </w:rPr>
      </w:pPr>
    </w:p>
    <w:p>
      <w:pPr>
        <w:keepNext w:val="0"/>
        <w:keepLines w:val="0"/>
        <w:pageBreakBefore w:val="0"/>
        <w:kinsoku/>
        <w:overflowPunct/>
        <w:topLinePunct w:val="0"/>
        <w:bidi w:val="0"/>
        <w:snapToGrid/>
        <w:spacing w:line="520" w:lineRule="exact"/>
        <w:ind w:left="0" w:leftChars="0" w:right="0" w:rightChars="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w:t>
      </w:r>
      <w:r>
        <w:rPr>
          <w:rFonts w:hint="eastAsia" w:ascii="仿宋" w:hAnsi="仿宋" w:eastAsia="仿宋" w:cs="仿宋"/>
          <w:sz w:val="32"/>
          <w:szCs w:val="32"/>
          <w:lang w:val="en-US" w:eastAsia="zh-CN"/>
        </w:rPr>
        <w:t>020</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w:t>
      </w:r>
    </w:p>
    <w:p>
      <w:pPr>
        <w:pStyle w:val="2"/>
        <w:keepNext w:val="0"/>
        <w:keepLines w:val="0"/>
        <w:pageBreakBefore w:val="0"/>
        <w:kinsoku/>
        <w:overflowPunct/>
        <w:topLinePunct w:val="0"/>
        <w:bidi w:val="0"/>
        <w:snapToGrid/>
        <w:spacing w:after="0" w:line="520" w:lineRule="exact"/>
        <w:textAlignment w:val="auto"/>
        <w:rPr>
          <w:rFonts w:hint="eastAsia"/>
        </w:rPr>
      </w:pPr>
    </w:p>
    <w:p>
      <w:pPr>
        <w:pStyle w:val="2"/>
        <w:keepNext w:val="0"/>
        <w:keepLines w:val="0"/>
        <w:pageBreakBefore w:val="0"/>
        <w:kinsoku/>
        <w:overflowPunct/>
        <w:topLinePunct w:val="0"/>
        <w:bidi w:val="0"/>
        <w:snapToGrid/>
        <w:spacing w:after="0" w:line="520" w:lineRule="exact"/>
        <w:textAlignment w:val="auto"/>
        <w:rPr>
          <w:rFonts w:hint="eastAsia"/>
        </w:rPr>
      </w:pPr>
    </w:p>
    <w:p>
      <w:pPr>
        <w:keepNext w:val="0"/>
        <w:keepLines w:val="0"/>
        <w:pageBreakBefore w:val="0"/>
        <w:kinsoku/>
        <w:overflowPunct/>
        <w:topLinePunct w:val="0"/>
        <w:bidi w:val="0"/>
        <w:snapToGrid/>
        <w:spacing w:line="520" w:lineRule="exact"/>
        <w:textAlignment w:val="auto"/>
        <w:rPr>
          <w:rFonts w:hint="eastAsia"/>
        </w:rPr>
      </w:pPr>
    </w:p>
    <w:p>
      <w:pPr>
        <w:pStyle w:val="2"/>
        <w:keepNext w:val="0"/>
        <w:keepLines w:val="0"/>
        <w:pageBreakBefore w:val="0"/>
        <w:kinsoku/>
        <w:overflowPunct/>
        <w:topLinePunct w:val="0"/>
        <w:bidi w:val="0"/>
        <w:snapToGrid/>
        <w:spacing w:after="0" w:line="520" w:lineRule="exact"/>
        <w:textAlignment w:val="auto"/>
        <w:rPr>
          <w:rFonts w:hint="eastAsia"/>
        </w:rPr>
      </w:pPr>
    </w:p>
    <w:p>
      <w:pPr>
        <w:keepNext w:val="0"/>
        <w:keepLines w:val="0"/>
        <w:pageBreakBefore w:val="0"/>
        <w:pBdr>
          <w:top w:val="single" w:color="auto" w:sz="4" w:space="0"/>
          <w:bottom w:val="single" w:color="auto" w:sz="4" w:space="0"/>
        </w:pBdr>
        <w:kinsoku/>
        <w:wordWrap w:val="0"/>
        <w:overflowPunct/>
        <w:topLinePunct w:val="0"/>
        <w:bidi w:val="0"/>
        <w:snapToGrid/>
        <w:spacing w:line="520" w:lineRule="exact"/>
        <w:ind w:left="0" w:leftChars="0" w:right="0" w:rightChars="0"/>
        <w:textAlignment w:val="auto"/>
        <w:rPr>
          <w:rFonts w:hint="eastAsia" w:ascii="仿宋" w:hAnsi="仿宋" w:eastAsia="仿宋" w:cs="仿宋"/>
          <w:sz w:val="32"/>
          <w:szCs w:val="32"/>
        </w:rPr>
      </w:pPr>
      <w:r>
        <w:rPr>
          <w:rFonts w:hint="eastAsia" w:ascii="仿宋" w:hAnsi="仿宋" w:eastAsia="仿宋" w:cs="仿宋"/>
          <w:sz w:val="32"/>
          <w:szCs w:val="32"/>
        </w:rPr>
        <w:t>抄送：许昌市生态环境综合行政执法支队，</w:t>
      </w:r>
      <w:r>
        <w:rPr>
          <w:rFonts w:hint="eastAsia" w:ascii="仿宋" w:hAnsi="仿宋" w:eastAsia="仿宋" w:cs="仿宋"/>
          <w:i w:val="0"/>
          <w:caps w:val="0"/>
          <w:color w:val="auto"/>
          <w:spacing w:val="0"/>
          <w:sz w:val="32"/>
          <w:szCs w:val="32"/>
          <w:lang w:eastAsia="zh-CN"/>
        </w:rPr>
        <w:t>许昌市</w:t>
      </w:r>
      <w:r>
        <w:rPr>
          <w:rFonts w:hint="eastAsia" w:ascii="仿宋" w:hAnsi="仿宋" w:eastAsia="仿宋" w:cs="仿宋"/>
          <w:i w:val="0"/>
          <w:caps w:val="0"/>
          <w:color w:val="auto"/>
          <w:spacing w:val="0"/>
          <w:sz w:val="32"/>
          <w:szCs w:val="32"/>
          <w:lang w:val="en-US" w:eastAsia="zh-CN"/>
        </w:rPr>
        <w:t>生态环境局示范区分局,</w:t>
      </w:r>
      <w:r>
        <w:rPr>
          <w:rFonts w:hint="eastAsia" w:ascii="仿宋" w:hAnsi="仿宋" w:eastAsia="仿宋" w:cs="仿宋"/>
          <w:sz w:val="32"/>
          <w:szCs w:val="32"/>
          <w:lang w:val="en-US" w:eastAsia="zh-CN"/>
        </w:rPr>
        <w:t>北京华夏国润环保科技有限公司</w:t>
      </w:r>
      <w:r>
        <w:rPr>
          <w:rFonts w:hint="eastAsia" w:ascii="仿宋" w:hAnsi="仿宋" w:eastAsia="仿宋" w:cs="仿宋"/>
          <w:sz w:val="32"/>
          <w:szCs w:val="32"/>
        </w:rPr>
        <w:t>。</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erNUXQAAAAAwEAAA8AAAAAAAAAAQAgAAAAIgAAAGRycy9k&#10;b3ducmV2LnhtbFBLAQIUABQAAAAIAIdO4kB62JEQ0QEAAKQDAAAOAAAAAAAAAAEAIAAAAB8BAABk&#10;cnMvZTJvRG9jLnhtbFBLBQYAAAAABgAGAFkBAABi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7F13C"/>
    <w:multiLevelType w:val="singleLevel"/>
    <w:tmpl w:val="6997F1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556E7"/>
    <w:rsid w:val="0BDA35FD"/>
    <w:rsid w:val="0E507C4A"/>
    <w:rsid w:val="259A7BE9"/>
    <w:rsid w:val="27295309"/>
    <w:rsid w:val="2A362175"/>
    <w:rsid w:val="339F1BC5"/>
    <w:rsid w:val="542F4679"/>
    <w:rsid w:val="572B21E1"/>
    <w:rsid w:val="59072A14"/>
    <w:rsid w:val="667505B7"/>
    <w:rsid w:val="6B7503C2"/>
    <w:rsid w:val="6DC31D5C"/>
    <w:rsid w:val="7AD53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lock Text"/>
    <w:basedOn w:val="1"/>
    <w:next w:val="1"/>
    <w:qFormat/>
    <w:uiPriority w:val="0"/>
    <w:pPr>
      <w:spacing w:after="120"/>
      <w:ind w:left="1440" w:leftChars="700" w:right="1440" w:rightChars="700"/>
    </w:pPr>
    <w:rPr>
      <w:rFonts w:ascii="Calibri" w:hAnsi="Calibri"/>
    </w:rPr>
  </w:style>
  <w:style w:type="paragraph" w:styleId="4">
    <w:name w:val="Body Text"/>
    <w:basedOn w:val="1"/>
    <w:qFormat/>
    <w:uiPriority w:val="0"/>
    <w:rPr>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Default"/>
    <w:unhideWhenUsed/>
    <w:qFormat/>
    <w:uiPriority w:val="99"/>
    <w:pPr>
      <w:widowControl w:val="0"/>
      <w:autoSpaceDE w:val="0"/>
      <w:autoSpaceDN w:val="0"/>
      <w:adjustRightInd w:val="0"/>
    </w:pPr>
    <w:rPr>
      <w:rFonts w:ascii="宋体" w:hAnsi="宋体" w:eastAsiaTheme="minorEastAsia" w:cstheme="minorBidi"/>
      <w:color w:val="000000"/>
      <w:sz w:val="24"/>
      <w:szCs w:val="22"/>
      <w:lang w:val="en-US" w:eastAsia="zh-CN" w:bidi="ar-SA"/>
    </w:rPr>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yue</cp:lastModifiedBy>
  <cp:lastPrinted>2020-12-15T05:07:32Z</cp:lastPrinted>
  <dcterms:modified xsi:type="dcterms:W3CDTF">2020-12-15T05:08:15Z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