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许环建审〔20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75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75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许昌市生态环境局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75"/>
        <w:jc w:val="center"/>
        <w:textAlignment w:val="auto"/>
        <w:outlineLvl w:val="9"/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关于西气东输二线平泰支线3#阀室-许昌生物医药产业园天然气支线项目环境影响报告书的批复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75"/>
        <w:jc w:val="left"/>
        <w:textAlignment w:val="auto"/>
        <w:outlineLvl w:val="9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中石油昆仑燃气有限公司河南分公司</w:t>
      </w:r>
      <w:r>
        <w:rPr>
          <w:rFonts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你单位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  <w:t>（统一社会信用代码：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91410100576337482T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上报的由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河南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咏蓝环境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科技有限公司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编制完成的《西气东输二线平泰支线3#阀室-许昌生物医药产业园天然气支线管道工程项目环境影响报告书（报批版）》（以下简称《报告书》）收悉，并已在我局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《报告书》内容符合国家有关法律法规要求和建设项目环境管理规定，评价结论可信。我局批准该《报告书》，原则同意你单位按照《报告书》所列项目的性质、规模、地点、采用的环境保护对策进行项目建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二、你单位应按照《关于印发建设项目环境影响评价信息公开机制方案的通知》（环发〔2015〕162号）要求，主动公开业经批准的《报告表》，做好建设项目环境信息公开工作，并接受相关方的咨询。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三、你单位应全面落实《报告书》提出的各项环境保护措施，确保各项环境保护设施与主体工程同时设计、同时施工、同时投入使用，确保各项污染物达标排放。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（一）向设计单位提供《报告书》和本批复文件，确保项目设计按照环境保护设计规范要求，落实防治环境污染和生态破坏的措施以及环保设施投资概算。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（二）依据《报告书》和本批复文件，对项目建设过程中产生的废水、废气、固体废物、噪声等污染，以及因施工对自然、生态环境造成的破坏，采取相应的防治措施。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（三）项目施工期应满足以下要求：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1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项目穿越河流、高速公路及国道的环保要求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本项目采用定向钻形式穿越颍汝干渠及3处</w:t>
      </w:r>
      <w:r>
        <w:rPr>
          <w:rFonts w:hint="eastAsia" w:eastAsia="仿宋_GB2312"/>
          <w:color w:val="auto"/>
          <w:kern w:val="2"/>
          <w:sz w:val="32"/>
          <w:szCs w:val="32"/>
        </w:rPr>
        <w:t>小型河流（白沙东干渠、清泥河和洗眉河）</w:t>
      </w:r>
      <w:r>
        <w:rPr>
          <w:rFonts w:hint="eastAsia" w:eastAsia="仿宋_GB2312"/>
          <w:sz w:val="32"/>
          <w:szCs w:val="32"/>
        </w:rPr>
        <w:t>、高速公路和国道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不</w:t>
      </w:r>
      <w:r>
        <w:rPr>
          <w:rFonts w:hint="eastAsia" w:eastAsia="仿宋_GB2312"/>
          <w:sz w:val="32"/>
          <w:szCs w:val="32"/>
          <w:lang w:val="en-US" w:eastAsia="zh-CN"/>
        </w:rPr>
        <w:t>得</w:t>
      </w:r>
      <w:r>
        <w:rPr>
          <w:rFonts w:hint="eastAsia"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饮用水源一级</w:t>
      </w:r>
      <w:r>
        <w:rPr>
          <w:rFonts w:hint="eastAsia" w:eastAsia="仿宋_GB2312"/>
          <w:sz w:val="32"/>
          <w:szCs w:val="32"/>
        </w:rPr>
        <w:t>保护区范围内设置施工营地、泥浆池，不堆放弃土、弃渣等固废，开展施工监理，将施工活动严格控制在施工作业带范围内，并加强日常巡护；施工结束后要尽快恢复出、入土场地的原貌，减少水土流失。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、废水：</w:t>
      </w:r>
      <w:r>
        <w:rPr>
          <w:rFonts w:hint="eastAsia" w:ascii="仿宋_GB2312" w:hAnsi="宋体" w:eastAsia="仿宋_GB2312"/>
          <w:sz w:val="32"/>
          <w:szCs w:val="32"/>
        </w:rPr>
        <w:t>工程</w:t>
      </w:r>
      <w:r>
        <w:rPr>
          <w:rFonts w:hint="eastAsia" w:eastAsia="仿宋_GB2312"/>
          <w:sz w:val="32"/>
          <w:szCs w:val="32"/>
        </w:rPr>
        <w:t>不</w:t>
      </w:r>
      <w:r>
        <w:rPr>
          <w:rFonts w:hint="eastAsia" w:eastAsia="仿宋_GB2312"/>
          <w:sz w:val="32"/>
          <w:szCs w:val="32"/>
          <w:lang w:eastAsia="zh-CN"/>
        </w:rPr>
        <w:t>得</w:t>
      </w:r>
      <w:r>
        <w:rPr>
          <w:rFonts w:hint="eastAsia" w:eastAsia="仿宋_GB2312"/>
          <w:sz w:val="32"/>
          <w:szCs w:val="32"/>
        </w:rPr>
        <w:t>在河流两堤外</w:t>
      </w:r>
      <w:r>
        <w:rPr>
          <w:rFonts w:hint="eastAsia" w:eastAsia="仿宋_GB2312"/>
          <w:sz w:val="32"/>
          <w:szCs w:val="32"/>
          <w:lang w:eastAsia="zh-CN"/>
        </w:rPr>
        <w:t>沿线</w:t>
      </w:r>
      <w:r>
        <w:rPr>
          <w:rFonts w:hint="eastAsia" w:eastAsia="仿宋_GB2312"/>
          <w:sz w:val="32"/>
          <w:szCs w:val="32"/>
        </w:rPr>
        <w:t>内设立施工营地和施工临时厕所。工程</w:t>
      </w:r>
      <w:r>
        <w:rPr>
          <w:rFonts w:eastAsia="仿宋_GB2312"/>
          <w:sz w:val="32"/>
          <w:szCs w:val="32"/>
        </w:rPr>
        <w:t>在试压管段末端许昌门站设置临时</w:t>
      </w:r>
      <w:r>
        <w:rPr>
          <w:rFonts w:hint="eastAsia" w:eastAsia="仿宋_GB2312"/>
          <w:sz w:val="32"/>
          <w:szCs w:val="32"/>
        </w:rPr>
        <w:t>沉淀</w:t>
      </w:r>
      <w:r>
        <w:rPr>
          <w:rFonts w:eastAsia="仿宋_GB2312"/>
          <w:sz w:val="32"/>
          <w:szCs w:val="32"/>
        </w:rPr>
        <w:t>地，将</w:t>
      </w:r>
      <w:r>
        <w:rPr>
          <w:rFonts w:hint="eastAsia" w:eastAsia="仿宋_GB2312"/>
          <w:sz w:val="32"/>
          <w:szCs w:val="32"/>
        </w:rPr>
        <w:t>清管、</w:t>
      </w:r>
      <w:r>
        <w:rPr>
          <w:rFonts w:eastAsia="仿宋_GB2312"/>
          <w:sz w:val="32"/>
          <w:szCs w:val="32"/>
        </w:rPr>
        <w:t>试压废水排入沉淀池中沉淀过滤后回用于下一管道清管、试压或场地施工</w:t>
      </w:r>
      <w:r>
        <w:rPr>
          <w:rFonts w:hint="eastAsia" w:eastAsia="仿宋_GB2312"/>
          <w:sz w:val="32"/>
          <w:szCs w:val="32"/>
        </w:rPr>
        <w:t>降尘</w:t>
      </w:r>
      <w:r>
        <w:rPr>
          <w:rFonts w:eastAsia="仿宋_GB2312"/>
          <w:sz w:val="32"/>
          <w:szCs w:val="32"/>
        </w:rPr>
        <w:t>用水。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废弃泥浆在泥浆池中和沉淀后的上清液用于洒水降尘。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3、废气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项目按照《河南省污染防治攻坚战领导小组办公室关于印发河南省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201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9年大气污染防治攻坚战行动方案的通知》（豫环攻坚办〔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201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9〕25号）、《关于印发许昌市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2019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年大气污染防治攻坚实施方案的通知》（许环攻坚〔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2019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〕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号）要求，分段作业、择时施工，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严格落实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施工工地“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六个百分之百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”。需要回填的土方和暂时不能开工的建设用地、裸露地面实现覆盖、绿化或者铺装。在施工作业带与村庄之间，颍汝干渠穿越段东西各</w:t>
      </w:r>
      <w:r>
        <w:rPr>
          <w:rFonts w:eastAsia="仿宋_GB2312"/>
          <w:color w:val="auto"/>
          <w:kern w:val="2"/>
          <w:sz w:val="32"/>
          <w:szCs w:val="32"/>
          <w:lang w:val="en-US" w:eastAsia="zh-CN"/>
        </w:rPr>
        <w:t>100m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内，设置流动隔声抑尘板、临时覆盖，对施工场地进行洒水抑尘。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施工过程中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非道路移动机械必须使用经过登记备案的机械设备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；现场焊接配套移动式焊接烟尘净化器，将焊接烟尘净化处理后排放。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、噪声：施工方应采用低噪声施工机械施工，合理安排施工机械，高噪声设备远离居民区，分段施工，在敏感区施工段设置隔声屏障，施工噪声执行《建筑施工场界环境噪声排放标准》（GB12523-2011）中有关规定，合理安排各类施工机械的工作时间，严禁夜间时段（22：00-次日6：00）施工，防止噪声扰民。如必须夜间施工的，必须向相关部门申请，征得同意后方可施工，并告知周边居民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yellow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、固废：</w:t>
      </w:r>
      <w:r>
        <w:rPr>
          <w:rFonts w:hint="eastAsia" w:eastAsia="仿宋_GB2312"/>
          <w:sz w:val="32"/>
          <w:szCs w:val="32"/>
        </w:rPr>
        <w:t>施工期产生的固体废物主要有</w:t>
      </w:r>
      <w:r>
        <w:rPr>
          <w:rFonts w:eastAsia="仿宋_GB2312"/>
          <w:sz w:val="32"/>
          <w:szCs w:val="32"/>
        </w:rPr>
        <w:t>定向钻施工过程中产生的</w:t>
      </w:r>
      <w:r>
        <w:rPr>
          <w:rFonts w:hint="eastAsia" w:eastAsia="仿宋_GB2312"/>
          <w:sz w:val="32"/>
          <w:szCs w:val="32"/>
        </w:rPr>
        <w:t>废弃泥浆及钻屑、施工废料、生活垃圾等。废弃</w:t>
      </w:r>
      <w:r>
        <w:rPr>
          <w:rFonts w:eastAsia="仿宋_GB2312"/>
          <w:sz w:val="32"/>
          <w:szCs w:val="32"/>
        </w:rPr>
        <w:t>泥浆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固化处理，并恢复原有植被。</w:t>
      </w:r>
      <w:r>
        <w:rPr>
          <w:rFonts w:hint="eastAsia" w:eastAsia="仿宋_GB2312"/>
          <w:sz w:val="32"/>
          <w:szCs w:val="32"/>
        </w:rPr>
        <w:t>施工废料（碎铁屑、废防腐材料、废焊条等）收集后外售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综合利用，废混凝土交建筑垃圾再生利用厂家回收再利用。生活垃圾依托附近村庄收集设施收集后由当地环卫部门清运。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6、生态保护：</w:t>
      </w:r>
      <w:r>
        <w:rPr>
          <w:rFonts w:eastAsia="仿宋_GB2312"/>
          <w:sz w:val="32"/>
          <w:szCs w:val="32"/>
        </w:rPr>
        <w:t>项目施工期无弃方产生</w:t>
      </w:r>
      <w:r>
        <w:rPr>
          <w:rFonts w:hint="eastAsia" w:eastAsia="仿宋_GB2312"/>
          <w:sz w:val="32"/>
          <w:szCs w:val="32"/>
        </w:rPr>
        <w:t>，不设置取、弃土场。</w:t>
      </w:r>
      <w:r>
        <w:rPr>
          <w:rFonts w:hint="eastAsia" w:ascii="仿宋_GB2312" w:eastAsia="仿宋_GB2312"/>
          <w:sz w:val="32"/>
          <w:szCs w:val="32"/>
        </w:rPr>
        <w:t>施工期</w:t>
      </w:r>
      <w:r>
        <w:rPr>
          <w:rFonts w:hint="eastAsia" w:eastAsia="仿宋_GB2312"/>
          <w:sz w:val="32"/>
          <w:szCs w:val="32"/>
        </w:rPr>
        <w:t>管沟开挖、管道敷设、站场建设、施工道路修筑等工程活动将对</w:t>
      </w:r>
      <w:r>
        <w:rPr>
          <w:rFonts w:hint="eastAsia" w:ascii="仿宋_GB2312" w:eastAsia="仿宋_GB2312"/>
          <w:sz w:val="32"/>
          <w:szCs w:val="32"/>
        </w:rPr>
        <w:t>所占区域的农作物、植被等产生破坏，</w:t>
      </w:r>
      <w:r>
        <w:rPr>
          <w:rFonts w:hint="eastAsia" w:eastAsia="仿宋_GB2312"/>
          <w:sz w:val="32"/>
          <w:szCs w:val="32"/>
        </w:rPr>
        <w:t>管沟开挖施工时控制施工作业带宽度，不增加临时占地的面积；采取分层开挖、分层堆放、分层回填的方式，施工结束后及时进行平整、复耕、地貌恢复。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（四）项目运营期应满足以下要求：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1、废水：项目运营期废水主要是门站员工生活污水、</w:t>
      </w:r>
      <w:r>
        <w:rPr>
          <w:rFonts w:hint="eastAsia" w:eastAsia="仿宋_GB2312"/>
          <w:sz w:val="32"/>
          <w:szCs w:val="32"/>
        </w:rPr>
        <w:t>地面冲洗废水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经化粪池处理后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  <w:t>满足《污水综合排放标准》（GB8978-1996）表4三级标准及污水处理厂进水水质要求，排入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许昌市生物医药产业园污水处理厂处理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、废气：清管作业废气、分离器检修废气、系统超压放空排放的天然气经15米高放散管高空排放（元木站利用原有放散管，截断阀室和许昌门站各新建1根15米高放散管），恶臭气体浓度达到《恶臭污染物排放标准》(GB14554-93)恶臭污染物厂界标准值中二级标准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3、噪声：</w:t>
      </w:r>
      <w:r>
        <w:rPr>
          <w:rFonts w:hint="eastAsia" w:eastAsia="仿宋_GB2312"/>
          <w:sz w:val="32"/>
          <w:szCs w:val="32"/>
        </w:rPr>
        <w:t>站场、阀室内天然气放空系统、分离器、调压系统等</w:t>
      </w:r>
      <w:r>
        <w:rPr>
          <w:rFonts w:eastAsia="仿宋_GB2312"/>
          <w:sz w:val="32"/>
          <w:szCs w:val="32"/>
        </w:rPr>
        <w:t>噪声</w:t>
      </w:r>
      <w:r>
        <w:rPr>
          <w:rFonts w:hint="eastAsia" w:eastAsia="仿宋_GB2312"/>
          <w:sz w:val="32"/>
          <w:szCs w:val="32"/>
          <w:lang w:val="en-US" w:eastAsia="zh-CN"/>
        </w:rPr>
        <w:t>源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采取隔音、减振措施，厂界噪声应满足《工业企业厂界环境噪声排放标准》(GB12348-2008)表1中2类标准要求。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  <w:t>、固废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：运营期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</w:rPr>
        <w:t>生活垃圾交由环卫部门处置。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清管废液、废渣及分离器检修粉尘为危险废物，贮存于危废暂存间，定期交有资质单位处置。</w:t>
      </w:r>
    </w:p>
    <w:p>
      <w:pPr>
        <w:pStyle w:val="8"/>
        <w:rPr>
          <w:lang w:val="en-US"/>
        </w:rPr>
      </w:pP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 xml:space="preserve">    5、项目完成后污染物排放总量为废水污染物出厂量COD 0.2196t/a、氨氮0.0248t/a，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四、项目建设严格执行环境保护设施与主体工程同时设计、同时施工、同时投入使用的环境保护“三同时”制度。项目建成后，须按规定程序进行竣工环境保护验收，验收合格后，方可投入正式运行。</w:t>
      </w:r>
      <w:r>
        <w:rPr>
          <w:rFonts w:hint="eastAsia" w:ascii="仿宋_GB2312" w:eastAsia="仿宋_GB2312"/>
          <w:sz w:val="32"/>
          <w:szCs w:val="32"/>
        </w:rPr>
        <w:t>如果今后国家或我省颁布严于本批复指标的新标准，届时你公司应按新标准执行。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outlineLvl w:val="9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五、项目自本批复下达之日起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，超过5年方决定开工建设的，环境影响评价文件应报我局重新审核。项目的性质、规模、地点、采用的工艺或防治污染、防治生态破坏的措施发生重大变动的，应当重新报批项目的环境影响评价文件。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75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        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403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 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403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403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2019年12月12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pStyle w:val="8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8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8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8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8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8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抄送：许昌市环境监察支队，许昌市生态环境局禹州分局，许昌市生态环境局建安分局，许昌市生态环境局开发区分局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河南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咏蓝环境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科技有限公司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E77"/>
    <w:multiLevelType w:val="multilevel"/>
    <w:tmpl w:val="39C16E77"/>
    <w:lvl w:ilvl="0" w:tentative="0">
      <w:start w:val="1"/>
      <w:numFmt w:val="decimal"/>
      <w:lvlText w:val="%1."/>
      <w:lvlJc w:val="left"/>
      <w:pPr>
        <w:ind w:left="851" w:hanging="425"/>
      </w:pPr>
      <w:rPr>
        <w:rFonts w:hint="default" w:ascii="Times New Roman" w:hAnsi="Times New Roman" w:cs="Times New Roman"/>
        <w:sz w:val="44"/>
        <w:szCs w:val="44"/>
      </w:rPr>
    </w:lvl>
    <w:lvl w:ilvl="1" w:tentative="0">
      <w:start w:val="1"/>
      <w:numFmt w:val="decimal"/>
      <w:lvlText w:val="%1.%2."/>
      <w:lvlJc w:val="left"/>
      <w:pPr>
        <w:ind w:left="1560" w:hanging="567"/>
      </w:pPr>
      <w:rPr>
        <w:rFonts w:hint="eastAsia"/>
        <w:b w:val="0"/>
      </w:rPr>
    </w:lvl>
    <w:lvl w:ilvl="2" w:tentative="0">
      <w:start w:val="1"/>
      <w:numFmt w:val="decimal"/>
      <w:lvlText w:val="%1.%2.%3."/>
      <w:lvlJc w:val="left"/>
      <w:pPr>
        <w:ind w:left="1560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pStyle w:val="10"/>
      <w:lvlText w:val="%1.%2.%3.%4."/>
      <w:lvlJc w:val="left"/>
      <w:pPr>
        <w:ind w:left="1985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93315"/>
    <w:rsid w:val="0801758C"/>
    <w:rsid w:val="15304509"/>
    <w:rsid w:val="1AF07B7F"/>
    <w:rsid w:val="1D127D65"/>
    <w:rsid w:val="1D6623A2"/>
    <w:rsid w:val="2340174F"/>
    <w:rsid w:val="24644CCA"/>
    <w:rsid w:val="24647B5D"/>
    <w:rsid w:val="29930C72"/>
    <w:rsid w:val="3776709F"/>
    <w:rsid w:val="40396FC6"/>
    <w:rsid w:val="40DF1CE9"/>
    <w:rsid w:val="4E4E42AB"/>
    <w:rsid w:val="50A47BE0"/>
    <w:rsid w:val="548D2DDB"/>
    <w:rsid w:val="5578387C"/>
    <w:rsid w:val="59891028"/>
    <w:rsid w:val="5B6C27BD"/>
    <w:rsid w:val="62770CB0"/>
    <w:rsid w:val="645F2D53"/>
    <w:rsid w:val="684C56F2"/>
    <w:rsid w:val="74CB5CA2"/>
    <w:rsid w:val="774D5D85"/>
    <w:rsid w:val="777A26DE"/>
    <w:rsid w:val="78F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9">
    <w:name w:val="正   文"/>
    <w:basedOn w:val="1"/>
    <w:qFormat/>
    <w:uiPriority w:val="0"/>
    <w:pPr>
      <w:spacing w:line="520" w:lineRule="exact"/>
      <w:ind w:firstLine="425" w:firstLineChars="177"/>
    </w:pPr>
    <w:rPr>
      <w:color w:val="000000"/>
      <w:kern w:val="0"/>
      <w:sz w:val="24"/>
    </w:rPr>
  </w:style>
  <w:style w:type="paragraph" w:customStyle="1" w:styleId="10">
    <w:name w:val="标  题4"/>
    <w:basedOn w:val="1"/>
    <w:qFormat/>
    <w:uiPriority w:val="0"/>
    <w:pPr>
      <w:numPr>
        <w:ilvl w:val="3"/>
        <w:numId w:val="1"/>
      </w:numPr>
      <w:spacing w:line="56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2019-12-06T00:31:00Z</cp:lastPrinted>
  <dcterms:modified xsi:type="dcterms:W3CDTF">2019-12-13T03:38:28Z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